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BAECE2">
      <w:pPr>
        <w:spacing w:line="540" w:lineRule="exact"/>
        <w:ind w:firstLine="437"/>
        <w:rPr>
          <w:rFonts w:hint="eastAsia"/>
          <w:color w:val="auto"/>
          <w:sz w:val="28"/>
          <w:szCs w:val="28"/>
          <w:highlight w:val="none"/>
        </w:rPr>
      </w:pPr>
    </w:p>
    <w:p w14:paraId="655A452D">
      <w:pPr>
        <w:spacing w:line="360" w:lineRule="auto"/>
        <w:jc w:val="center"/>
        <w:rPr>
          <w:rFonts w:cs="宋体"/>
          <w:b/>
          <w:bCs/>
          <w:color w:val="auto"/>
          <w:sz w:val="48"/>
          <w:szCs w:val="48"/>
          <w:highlight w:val="none"/>
        </w:rPr>
      </w:pPr>
      <w:r>
        <w:rPr>
          <w:rFonts w:hint="eastAsia" w:cs="宋体"/>
          <w:b/>
          <w:bCs/>
          <w:color w:val="auto"/>
          <w:sz w:val="48"/>
          <w:szCs w:val="48"/>
          <w:highlight w:val="none"/>
        </w:rPr>
        <w:t>广西壮族自治区房屋建筑和市政基础设施工程施工招标文件范本（</w:t>
      </w:r>
      <w:r>
        <w:rPr>
          <w:rFonts w:hint="eastAsia"/>
          <w:b/>
          <w:bCs/>
          <w:color w:val="auto"/>
          <w:sz w:val="48"/>
          <w:szCs w:val="48"/>
          <w:highlight w:val="none"/>
          <w:lang w:eastAsia="zh-CN"/>
        </w:rPr>
        <w:t>2026年版</w:t>
      </w:r>
      <w:r>
        <w:rPr>
          <w:rFonts w:hint="eastAsia" w:cs="宋体"/>
          <w:b/>
          <w:bCs/>
          <w:color w:val="auto"/>
          <w:sz w:val="48"/>
          <w:szCs w:val="48"/>
          <w:highlight w:val="none"/>
        </w:rPr>
        <w:t>）</w:t>
      </w:r>
    </w:p>
    <w:p w14:paraId="6330EBC3">
      <w:pPr>
        <w:spacing w:line="360" w:lineRule="auto"/>
        <w:ind w:firstLine="437"/>
        <w:jc w:val="center"/>
        <w:rPr>
          <w:rFonts w:hint="default" w:eastAsia="宋体"/>
          <w:b/>
          <w:color w:val="auto"/>
          <w:sz w:val="52"/>
          <w:szCs w:val="52"/>
          <w:highlight w:val="none"/>
          <w:lang w:val="en-US" w:eastAsia="zh-CN"/>
        </w:rPr>
      </w:pPr>
      <w:r>
        <w:rPr>
          <w:rFonts w:hint="eastAsia"/>
          <w:b/>
          <w:color w:val="auto"/>
          <w:sz w:val="52"/>
          <w:szCs w:val="52"/>
          <w:highlight w:val="none"/>
          <w:lang w:val="en-US" w:eastAsia="zh-CN"/>
        </w:rPr>
        <w:t xml:space="preserve">  </w:t>
      </w:r>
    </w:p>
    <w:p w14:paraId="2F9D6714">
      <w:pPr>
        <w:spacing w:line="540" w:lineRule="exact"/>
        <w:rPr>
          <w:color w:val="auto"/>
          <w:sz w:val="28"/>
          <w:szCs w:val="28"/>
          <w:highlight w:val="none"/>
        </w:rPr>
      </w:pPr>
    </w:p>
    <w:p w14:paraId="54879F14">
      <w:pPr>
        <w:pStyle w:val="136"/>
        <w:jc w:val="center"/>
        <w:rPr>
          <w:color w:val="auto"/>
          <w:sz w:val="32"/>
          <w:szCs w:val="32"/>
          <w:highlight w:val="none"/>
        </w:rPr>
      </w:pPr>
      <w:r>
        <w:rPr>
          <w:color w:val="auto"/>
          <w:sz w:val="32"/>
          <w:szCs w:val="32"/>
          <w:highlight w:val="none"/>
          <w:u w:val="single"/>
        </w:rPr>
        <w:t xml:space="preserve">      </w:t>
      </w:r>
      <w:r>
        <w:rPr>
          <w:rFonts w:hint="eastAsia" w:cs="宋体"/>
          <w:color w:val="auto"/>
          <w:sz w:val="32"/>
          <w:szCs w:val="32"/>
          <w:highlight w:val="none"/>
          <w:u w:val="single"/>
          <w:lang w:eastAsia="zh-CN"/>
        </w:rPr>
        <w:t>广西警察学院长湖校区3号学员公寓楼改造工程（重）</w:t>
      </w:r>
      <w:r>
        <w:rPr>
          <w:color w:val="auto"/>
          <w:sz w:val="32"/>
          <w:szCs w:val="32"/>
          <w:highlight w:val="none"/>
          <w:u w:val="single"/>
        </w:rPr>
        <w:t xml:space="preserve">     </w:t>
      </w:r>
      <w:r>
        <w:rPr>
          <w:rFonts w:hint="eastAsia" w:cs="宋体"/>
          <w:color w:val="auto"/>
          <w:sz w:val="32"/>
          <w:szCs w:val="32"/>
          <w:highlight w:val="none"/>
        </w:rPr>
        <w:t>施工招标</w:t>
      </w:r>
    </w:p>
    <w:p w14:paraId="4F5861EE">
      <w:pPr>
        <w:spacing w:line="460" w:lineRule="exact"/>
        <w:ind w:firstLine="437"/>
        <w:rPr>
          <w:color w:val="auto"/>
          <w:highlight w:val="none"/>
        </w:rPr>
      </w:pPr>
    </w:p>
    <w:p w14:paraId="31C0C2DE">
      <w:pPr>
        <w:spacing w:line="540" w:lineRule="exact"/>
        <w:rPr>
          <w:color w:val="auto"/>
          <w:highlight w:val="none"/>
        </w:rPr>
      </w:pPr>
    </w:p>
    <w:p w14:paraId="3DFD21DF">
      <w:pPr>
        <w:spacing w:line="540" w:lineRule="exact"/>
        <w:rPr>
          <w:color w:val="auto"/>
          <w:highlight w:val="none"/>
        </w:rPr>
      </w:pPr>
    </w:p>
    <w:p w14:paraId="7C75F5C0">
      <w:pPr>
        <w:jc w:val="center"/>
        <w:rPr>
          <w:color w:val="auto"/>
          <w:sz w:val="72"/>
          <w:szCs w:val="72"/>
          <w:highlight w:val="none"/>
        </w:rPr>
      </w:pPr>
      <w:r>
        <w:rPr>
          <w:rFonts w:hint="eastAsia" w:cs="宋体"/>
          <w:color w:val="auto"/>
          <w:sz w:val="72"/>
          <w:szCs w:val="72"/>
          <w:highlight w:val="none"/>
        </w:rPr>
        <w:t>招</w:t>
      </w:r>
      <w:r>
        <w:rPr>
          <w:color w:val="auto"/>
          <w:sz w:val="72"/>
          <w:szCs w:val="72"/>
          <w:highlight w:val="none"/>
        </w:rPr>
        <w:t xml:space="preserve"> </w:t>
      </w:r>
      <w:r>
        <w:rPr>
          <w:rFonts w:hint="eastAsia" w:cs="宋体"/>
          <w:color w:val="auto"/>
          <w:sz w:val="72"/>
          <w:szCs w:val="72"/>
          <w:highlight w:val="none"/>
        </w:rPr>
        <w:t>标</w:t>
      </w:r>
      <w:r>
        <w:rPr>
          <w:color w:val="auto"/>
          <w:sz w:val="72"/>
          <w:szCs w:val="72"/>
          <w:highlight w:val="none"/>
        </w:rPr>
        <w:t xml:space="preserve"> </w:t>
      </w:r>
      <w:r>
        <w:rPr>
          <w:rFonts w:hint="eastAsia" w:cs="宋体"/>
          <w:color w:val="auto"/>
          <w:sz w:val="72"/>
          <w:szCs w:val="72"/>
          <w:highlight w:val="none"/>
        </w:rPr>
        <w:t>文</w:t>
      </w:r>
      <w:r>
        <w:rPr>
          <w:color w:val="auto"/>
          <w:sz w:val="72"/>
          <w:szCs w:val="72"/>
          <w:highlight w:val="none"/>
        </w:rPr>
        <w:t xml:space="preserve"> </w:t>
      </w:r>
      <w:r>
        <w:rPr>
          <w:rFonts w:hint="eastAsia" w:cs="宋体"/>
          <w:color w:val="auto"/>
          <w:sz w:val="72"/>
          <w:szCs w:val="72"/>
          <w:highlight w:val="none"/>
        </w:rPr>
        <w:t>件</w:t>
      </w:r>
    </w:p>
    <w:p w14:paraId="2B4F0E13">
      <w:pPr>
        <w:spacing w:line="540" w:lineRule="exact"/>
        <w:ind w:firstLine="437"/>
        <w:rPr>
          <w:color w:val="auto"/>
          <w:highlight w:val="none"/>
        </w:rPr>
      </w:pPr>
    </w:p>
    <w:p w14:paraId="3CE75970">
      <w:pPr>
        <w:spacing w:line="540" w:lineRule="exact"/>
        <w:ind w:firstLine="437"/>
        <w:rPr>
          <w:color w:val="auto"/>
          <w:highlight w:val="none"/>
        </w:rPr>
      </w:pPr>
    </w:p>
    <w:p w14:paraId="3798F853">
      <w:pPr>
        <w:spacing w:line="540" w:lineRule="exact"/>
        <w:ind w:firstLine="1540" w:firstLineChars="550"/>
        <w:jc w:val="left"/>
        <w:rPr>
          <w:rFonts w:hint="eastAsia" w:ascii="Times New Roman" w:hAnsi="Times New Roman" w:cs="Times New Roman"/>
          <w:color w:val="auto"/>
          <w:sz w:val="32"/>
          <w:szCs w:val="32"/>
          <w:highlight w:val="none"/>
        </w:rPr>
      </w:pPr>
      <w:r>
        <w:rPr>
          <w:color w:val="auto"/>
          <w:sz w:val="28"/>
          <w:szCs w:val="28"/>
          <w:highlight w:val="none"/>
        </w:rPr>
        <w:t xml:space="preserve"> </w:t>
      </w:r>
    </w:p>
    <w:p w14:paraId="5EB15FA7">
      <w:pPr>
        <w:spacing w:line="540" w:lineRule="exact"/>
        <w:ind w:firstLine="1760" w:firstLineChars="550"/>
        <w:jc w:val="left"/>
        <w:rPr>
          <w:color w:val="auto"/>
          <w:sz w:val="28"/>
          <w:szCs w:val="28"/>
          <w:highlight w:val="none"/>
          <w:u w:val="single"/>
        </w:rPr>
      </w:pPr>
      <w:r>
        <w:rPr>
          <w:rFonts w:hint="eastAsia" w:ascii="Times New Roman" w:hAnsi="Times New Roman" w:cs="Times New Roman"/>
          <w:color w:val="auto"/>
          <w:sz w:val="32"/>
          <w:szCs w:val="32"/>
          <w:highlight w:val="none"/>
        </w:rPr>
        <w:t>招标项目编号：</w:t>
      </w:r>
      <w:r>
        <w:rPr>
          <w:color w:val="auto"/>
          <w:sz w:val="32"/>
          <w:szCs w:val="32"/>
          <w:highlight w:val="none"/>
          <w:u w:val="single"/>
        </w:rPr>
        <w:t xml:space="preserve">                    </w:t>
      </w:r>
      <w:r>
        <w:rPr>
          <w:rFonts w:hint="eastAsia" w:ascii="Times New Roman" w:hAnsi="Times New Roman" w:cs="Times New Roman"/>
          <w:color w:val="auto"/>
          <w:sz w:val="32"/>
          <w:szCs w:val="32"/>
          <w:highlight w:val="none"/>
          <w:u w:val="single"/>
        </w:rPr>
        <w:t xml:space="preserve">     </w:t>
      </w:r>
      <w:r>
        <w:rPr>
          <w:rFonts w:hint="eastAsia" w:ascii="Times New Roman" w:hAnsi="Times New Roman" w:cs="Times New Roman"/>
          <w:color w:val="auto"/>
          <w:sz w:val="32"/>
          <w:szCs w:val="32"/>
          <w:highlight w:val="none"/>
        </w:rPr>
        <w:t xml:space="preserve">   </w:t>
      </w:r>
    </w:p>
    <w:p w14:paraId="79283B09">
      <w:pPr>
        <w:spacing w:line="540" w:lineRule="exact"/>
        <w:ind w:firstLine="437"/>
        <w:rPr>
          <w:color w:val="auto"/>
          <w:highlight w:val="none"/>
        </w:rPr>
      </w:pPr>
    </w:p>
    <w:p w14:paraId="62DAC00B">
      <w:pPr>
        <w:spacing w:line="540" w:lineRule="exact"/>
        <w:ind w:firstLine="437"/>
        <w:rPr>
          <w:color w:val="auto"/>
          <w:highlight w:val="none"/>
        </w:rPr>
      </w:pPr>
    </w:p>
    <w:p w14:paraId="405A1A71">
      <w:pPr>
        <w:spacing w:line="540" w:lineRule="exact"/>
        <w:ind w:firstLine="437"/>
        <w:rPr>
          <w:color w:val="auto"/>
          <w:sz w:val="32"/>
          <w:szCs w:val="32"/>
        </w:rPr>
      </w:pPr>
      <w:r>
        <w:rPr>
          <w:color w:val="auto"/>
          <w:sz w:val="32"/>
          <w:szCs w:val="32"/>
          <w:highlight w:val="none"/>
        </w:rPr>
        <w:t xml:space="preserve">  </w:t>
      </w:r>
      <w:r>
        <w:rPr>
          <w:color w:val="auto"/>
          <w:sz w:val="32"/>
          <w:szCs w:val="32"/>
          <w:highlight w:val="white"/>
        </w:rPr>
        <w:t xml:space="preserve">  </w:t>
      </w:r>
      <w:r>
        <w:rPr>
          <w:rFonts w:hint="eastAsia" w:cs="宋体"/>
          <w:color w:val="auto"/>
          <w:sz w:val="32"/>
          <w:szCs w:val="32"/>
          <w:highlight w:val="white"/>
        </w:rPr>
        <w:t>招</w:t>
      </w:r>
      <w:r>
        <w:rPr>
          <w:color w:val="auto"/>
          <w:sz w:val="32"/>
          <w:szCs w:val="32"/>
          <w:highlight w:val="white"/>
        </w:rPr>
        <w:t xml:space="preserve"> </w:t>
      </w:r>
      <w:r>
        <w:rPr>
          <w:rFonts w:hint="eastAsia" w:cs="宋体"/>
          <w:color w:val="auto"/>
          <w:sz w:val="32"/>
          <w:szCs w:val="32"/>
          <w:highlight w:val="white"/>
        </w:rPr>
        <w:t>标</w:t>
      </w:r>
      <w:r>
        <w:rPr>
          <w:color w:val="auto"/>
          <w:sz w:val="32"/>
          <w:szCs w:val="32"/>
          <w:highlight w:val="white"/>
        </w:rPr>
        <w:t xml:space="preserve"> </w:t>
      </w:r>
      <w:r>
        <w:rPr>
          <w:rFonts w:hint="eastAsia" w:cs="宋体"/>
          <w:color w:val="auto"/>
          <w:sz w:val="32"/>
          <w:szCs w:val="32"/>
          <w:highlight w:val="white"/>
        </w:rPr>
        <w:t>人：</w:t>
      </w:r>
      <w:r>
        <w:rPr>
          <w:rFonts w:hint="eastAsia" w:cs="宋体"/>
          <w:color w:val="auto"/>
          <w:sz w:val="32"/>
          <w:szCs w:val="32"/>
          <w:highlight w:val="white"/>
          <w:lang w:eastAsia="zh-CN"/>
        </w:rPr>
        <w:t>广西警察学院</w:t>
      </w:r>
      <w:r>
        <w:rPr>
          <w:rFonts w:hint="eastAsia" w:cs="宋体"/>
          <w:color w:val="auto"/>
          <w:sz w:val="32"/>
          <w:szCs w:val="32"/>
          <w:highlight w:val="white"/>
        </w:rPr>
        <w:t>（盖单位公章）</w:t>
      </w:r>
    </w:p>
    <w:p w14:paraId="62F63C63">
      <w:pPr>
        <w:spacing w:line="540" w:lineRule="exact"/>
        <w:ind w:firstLine="437"/>
        <w:rPr>
          <w:color w:val="auto"/>
          <w:sz w:val="32"/>
          <w:szCs w:val="32"/>
        </w:rPr>
      </w:pPr>
    </w:p>
    <w:p w14:paraId="4A6322EC">
      <w:pPr>
        <w:spacing w:line="540" w:lineRule="exact"/>
        <w:ind w:firstLine="437"/>
        <w:rPr>
          <w:color w:val="auto"/>
          <w:sz w:val="32"/>
          <w:szCs w:val="32"/>
        </w:rPr>
      </w:pPr>
      <w:r>
        <w:rPr>
          <w:color w:val="auto"/>
          <w:sz w:val="32"/>
          <w:szCs w:val="32"/>
          <w:highlight w:val="white"/>
        </w:rPr>
        <w:t xml:space="preserve">   </w:t>
      </w:r>
      <w:r>
        <w:rPr>
          <w:rFonts w:hint="eastAsia" w:cs="宋体"/>
          <w:color w:val="auto"/>
          <w:sz w:val="32"/>
          <w:szCs w:val="32"/>
          <w:highlight w:val="white"/>
        </w:rPr>
        <w:t>招标代理机构：</w:t>
      </w:r>
      <w:bookmarkStart w:id="0" w:name="EBd4a2c0ff31174c7e9caaa131ad6a9e3b"/>
      <w:r>
        <w:rPr>
          <w:rFonts w:hint="eastAsia" w:cs="宋体"/>
          <w:color w:val="auto"/>
          <w:sz w:val="32"/>
          <w:szCs w:val="32"/>
          <w:highlight w:val="white"/>
        </w:rPr>
        <w:t>广西建设工程机电设备招标中心有限公司</w:t>
      </w:r>
      <w:bookmarkEnd w:id="0"/>
      <w:r>
        <w:rPr>
          <w:rFonts w:hint="eastAsia" w:cs="宋体"/>
          <w:color w:val="auto"/>
          <w:sz w:val="32"/>
          <w:szCs w:val="32"/>
          <w:highlight w:val="white"/>
        </w:rPr>
        <w:t>（盖单位公章）</w:t>
      </w:r>
    </w:p>
    <w:p w14:paraId="2D0124F1">
      <w:pPr>
        <w:spacing w:line="540" w:lineRule="exact"/>
        <w:ind w:firstLine="437"/>
        <w:rPr>
          <w:color w:val="auto"/>
          <w:sz w:val="32"/>
          <w:szCs w:val="32"/>
        </w:rPr>
      </w:pPr>
    </w:p>
    <w:p w14:paraId="22D24AE0">
      <w:pPr>
        <w:spacing w:line="540" w:lineRule="exact"/>
        <w:ind w:firstLine="437"/>
        <w:rPr>
          <w:color w:val="auto"/>
          <w:sz w:val="32"/>
          <w:szCs w:val="32"/>
        </w:rPr>
      </w:pPr>
      <w:r>
        <w:rPr>
          <w:color w:val="auto"/>
          <w:sz w:val="32"/>
          <w:szCs w:val="32"/>
          <w:highlight w:val="white"/>
        </w:rPr>
        <w:t xml:space="preserve">   </w:t>
      </w:r>
      <w:r>
        <w:rPr>
          <w:rFonts w:hint="eastAsia" w:cs="宋体"/>
          <w:color w:val="auto"/>
          <w:sz w:val="32"/>
          <w:szCs w:val="32"/>
          <w:highlight w:val="white"/>
        </w:rPr>
        <w:t>发布日期：</w:t>
      </w:r>
      <w:bookmarkStart w:id="1" w:name="EBd8c1b870cf424a62ae0e2a3a6ef5ce80"/>
      <w:r>
        <w:rPr>
          <w:rFonts w:hint="eastAsia" w:cs="宋体"/>
          <w:color w:val="auto"/>
          <w:sz w:val="32"/>
          <w:szCs w:val="32"/>
          <w:highlight w:val="white"/>
        </w:rPr>
        <w:t>202</w:t>
      </w:r>
      <w:r>
        <w:rPr>
          <w:rFonts w:hint="eastAsia" w:cs="宋体"/>
          <w:color w:val="auto"/>
          <w:sz w:val="32"/>
          <w:szCs w:val="32"/>
          <w:highlight w:val="white"/>
          <w:lang w:val="en-US" w:eastAsia="zh-CN"/>
        </w:rPr>
        <w:t>6</w:t>
      </w:r>
      <w:r>
        <w:rPr>
          <w:rFonts w:hint="eastAsia" w:cs="宋体"/>
          <w:color w:val="auto"/>
          <w:sz w:val="32"/>
          <w:szCs w:val="32"/>
          <w:highlight w:val="white"/>
        </w:rPr>
        <w:t>年</w:t>
      </w:r>
      <w:r>
        <w:rPr>
          <w:rFonts w:hint="eastAsia" w:cs="宋体"/>
          <w:color w:val="auto"/>
          <w:sz w:val="32"/>
          <w:szCs w:val="32"/>
          <w:highlight w:val="white"/>
          <w:lang w:val="en-US" w:eastAsia="zh-CN"/>
        </w:rPr>
        <w:t xml:space="preserve">  </w:t>
      </w:r>
      <w:r>
        <w:rPr>
          <w:rFonts w:hint="eastAsia" w:cs="宋体"/>
          <w:color w:val="auto"/>
          <w:sz w:val="32"/>
          <w:szCs w:val="32"/>
          <w:highlight w:val="white"/>
        </w:rPr>
        <w:t>月</w:t>
      </w:r>
      <w:r>
        <w:rPr>
          <w:rFonts w:hint="eastAsia" w:cs="宋体"/>
          <w:color w:val="auto"/>
          <w:sz w:val="32"/>
          <w:szCs w:val="32"/>
          <w:highlight w:val="white"/>
          <w:lang w:val="en-US" w:eastAsia="zh-CN"/>
        </w:rPr>
        <w:t xml:space="preserve">   </w:t>
      </w:r>
      <w:r>
        <w:rPr>
          <w:rFonts w:hint="eastAsia" w:cs="宋体"/>
          <w:color w:val="auto"/>
          <w:sz w:val="32"/>
          <w:szCs w:val="32"/>
          <w:highlight w:val="white"/>
        </w:rPr>
        <w:t>日</w:t>
      </w:r>
      <w:bookmarkEnd w:id="1"/>
    </w:p>
    <w:p w14:paraId="719F1606">
      <w:pPr>
        <w:spacing w:line="540" w:lineRule="exact"/>
        <w:ind w:firstLine="437"/>
        <w:rPr>
          <w:color w:val="auto"/>
          <w:sz w:val="32"/>
          <w:szCs w:val="32"/>
          <w:highlight w:val="none"/>
        </w:rPr>
      </w:pPr>
    </w:p>
    <w:p w14:paraId="69A3DDE9">
      <w:pPr>
        <w:spacing w:line="540" w:lineRule="exact"/>
        <w:ind w:firstLine="437"/>
        <w:rPr>
          <w:color w:val="auto"/>
          <w:sz w:val="32"/>
          <w:szCs w:val="32"/>
          <w:highlight w:val="none"/>
        </w:rPr>
      </w:pPr>
    </w:p>
    <w:p w14:paraId="4EF1500E">
      <w:pPr>
        <w:spacing w:after="360" w:afterLines="150" w:line="540" w:lineRule="exact"/>
        <w:jc w:val="center"/>
        <w:rPr>
          <w:b/>
          <w:bCs/>
          <w:color w:val="auto"/>
          <w:sz w:val="52"/>
          <w:szCs w:val="52"/>
          <w:highlight w:val="none"/>
        </w:rPr>
      </w:pPr>
      <w:r>
        <w:rPr>
          <w:rFonts w:hint="eastAsia" w:cs="宋体"/>
          <w:b/>
          <w:bCs/>
          <w:color w:val="auto"/>
          <w:sz w:val="52"/>
          <w:szCs w:val="52"/>
          <w:highlight w:val="none"/>
        </w:rPr>
        <w:t>使用说明</w:t>
      </w:r>
    </w:p>
    <w:p w14:paraId="4F17B7AA">
      <w:pPr>
        <w:tabs>
          <w:tab w:val="left" w:pos="1080"/>
        </w:tabs>
        <w:adjustRightInd w:val="0"/>
        <w:snapToGrid w:val="0"/>
        <w:spacing w:line="360" w:lineRule="auto"/>
        <w:ind w:firstLine="420" w:firstLineChars="200"/>
        <w:rPr>
          <w:rFonts w:hint="default" w:ascii="Times New Roman" w:hAnsi="Times New Roman" w:cs="Times New Roman"/>
          <w:color w:val="auto"/>
          <w:highlight w:val="none"/>
        </w:rPr>
      </w:pPr>
      <w:r>
        <w:rPr>
          <w:rFonts w:hint="eastAsia" w:ascii="宋体" w:hAnsi="宋体"/>
          <w:color w:val="auto"/>
          <w:highlight w:val="none"/>
        </w:rPr>
        <w:t>一、《广西壮族自</w:t>
      </w:r>
      <w:r>
        <w:rPr>
          <w:rFonts w:hint="default" w:ascii="Times New Roman" w:hAnsi="Times New Roman" w:cs="Times New Roman"/>
          <w:color w:val="auto"/>
          <w:highlight w:val="none"/>
        </w:rPr>
        <w:t>治区房屋建筑和市政基础设施工程施工招标文件范本》（</w:t>
      </w:r>
      <w:r>
        <w:rPr>
          <w:rFonts w:hint="eastAsia" w:cs="Times New Roman"/>
          <w:color w:val="auto"/>
          <w:highlight w:val="none"/>
          <w:lang w:eastAsia="zh-CN"/>
        </w:rPr>
        <w:t>2026年版</w:t>
      </w:r>
      <w:r>
        <w:rPr>
          <w:rFonts w:hint="default" w:ascii="Times New Roman" w:hAnsi="Times New Roman" w:cs="Times New Roman"/>
          <w:color w:val="auto"/>
          <w:highlight w:val="none"/>
        </w:rPr>
        <w:t>）（以下简称《施工招标文件范本（</w:t>
      </w:r>
      <w:r>
        <w:rPr>
          <w:rFonts w:hint="eastAsia" w:cs="Times New Roman"/>
          <w:color w:val="auto"/>
          <w:highlight w:val="none"/>
          <w:lang w:eastAsia="zh-CN"/>
        </w:rPr>
        <w:t>2026年版</w:t>
      </w:r>
      <w:r>
        <w:rPr>
          <w:rFonts w:hint="default" w:ascii="Times New Roman" w:hAnsi="Times New Roman" w:cs="Times New Roman"/>
          <w:color w:val="auto"/>
          <w:highlight w:val="none"/>
        </w:rPr>
        <w:t>）》）适用于广西壮族自治区行政区域内依法必须进行招标的房屋建筑和市政基础设施工程的施工招标。</w:t>
      </w:r>
    </w:p>
    <w:p w14:paraId="36EE7F51">
      <w:pPr>
        <w:spacing w:line="5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二、《施工招标文件范本（</w:t>
      </w:r>
      <w:r>
        <w:rPr>
          <w:rFonts w:hint="eastAsia" w:cs="Times New Roman"/>
          <w:color w:val="auto"/>
          <w:highlight w:val="none"/>
          <w:lang w:eastAsia="zh-CN"/>
        </w:rPr>
        <w:t>2026年版</w:t>
      </w:r>
      <w:r>
        <w:rPr>
          <w:rFonts w:hint="default" w:ascii="Times New Roman" w:hAnsi="Times New Roman" w:cs="Times New Roman"/>
          <w:color w:val="auto"/>
          <w:highlight w:val="none"/>
        </w:rPr>
        <w:t>）》用相同序号标示的章、节、条、款、项、目，供招标人和投标人选择使用；以空格标示的由招标人填写的内容，招标人应根据招标项目具体特点和实际需要具体化，确实没有需要填写的，在空格中用</w:t>
      </w:r>
      <w:r>
        <w:rPr>
          <w:rFonts w:hint="eastAsia" w:cs="Times New Roman"/>
          <w:color w:val="auto"/>
          <w:highlight w:val="none"/>
          <w:lang w:eastAsia="zh-CN"/>
        </w:rPr>
        <w:t>“</w:t>
      </w:r>
      <w:r>
        <w:rPr>
          <w:rFonts w:hint="eastAsia" w:cs="Times New Roman"/>
          <w:color w:val="auto"/>
          <w:highlight w:val="none"/>
          <w:lang w:val="en-US" w:eastAsia="zh-CN"/>
        </w:rPr>
        <w:t>/</w:t>
      </w:r>
      <w:r>
        <w:rPr>
          <w:rFonts w:hint="eastAsia" w:cs="Times New Roman"/>
          <w:color w:val="auto"/>
          <w:highlight w:val="none"/>
          <w:lang w:eastAsia="zh-CN"/>
        </w:rPr>
        <w:t>”</w:t>
      </w:r>
      <w:r>
        <w:rPr>
          <w:rFonts w:hint="default" w:ascii="Times New Roman" w:hAnsi="Times New Roman" w:cs="Times New Roman"/>
          <w:color w:val="auto"/>
          <w:highlight w:val="none"/>
        </w:rPr>
        <w:t>标示。</w:t>
      </w:r>
    </w:p>
    <w:p w14:paraId="6A323AFD">
      <w:pPr>
        <w:spacing w:line="5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三、招标人按照《施工招标文件范本（</w:t>
      </w:r>
      <w:r>
        <w:rPr>
          <w:rFonts w:hint="eastAsia" w:cs="Times New Roman"/>
          <w:color w:val="auto"/>
          <w:highlight w:val="none"/>
          <w:lang w:eastAsia="zh-CN"/>
        </w:rPr>
        <w:t>2026年版</w:t>
      </w:r>
      <w:r>
        <w:rPr>
          <w:rFonts w:hint="default" w:ascii="Times New Roman" w:hAnsi="Times New Roman" w:cs="Times New Roman"/>
          <w:color w:val="auto"/>
          <w:highlight w:val="none"/>
        </w:rPr>
        <w:t>）》第一章的格式发布招标公告或发出投标邀请书后，将实际发布的招标公告或实际发出的投标邀请书编入发</w:t>
      </w:r>
      <w:r>
        <w:rPr>
          <w:rFonts w:ascii="Times New Roman" w:hAnsi="Times New Roman" w:cs="Times New Roman"/>
          <w:color w:val="auto"/>
          <w:highlight w:val="none"/>
        </w:rPr>
        <w:t>布</w:t>
      </w:r>
      <w:r>
        <w:rPr>
          <w:rFonts w:hint="default" w:ascii="Times New Roman" w:hAnsi="Times New Roman" w:cs="Times New Roman"/>
          <w:color w:val="auto"/>
          <w:highlight w:val="none"/>
        </w:rPr>
        <w:t>的招标文件中，作为投标邀请。其中，招标公告应同时注明发布的所有媒介名称。</w:t>
      </w:r>
    </w:p>
    <w:p w14:paraId="1AFA9D50">
      <w:pPr>
        <w:spacing w:line="500" w:lineRule="exact"/>
        <w:ind w:firstLine="420" w:firstLineChars="20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四、《施工招标文件范本（</w:t>
      </w:r>
      <w:r>
        <w:rPr>
          <w:rFonts w:hint="eastAsia" w:cs="Times New Roman"/>
          <w:color w:val="auto"/>
          <w:highlight w:val="none"/>
          <w:lang w:eastAsia="zh-CN"/>
        </w:rPr>
        <w:t>2026年版</w:t>
      </w:r>
      <w:r>
        <w:rPr>
          <w:rFonts w:hint="default" w:ascii="Times New Roman" w:hAnsi="Times New Roman" w:cs="Times New Roman"/>
          <w:color w:val="auto"/>
          <w:highlight w:val="none"/>
        </w:rPr>
        <w:t>）》第三章</w:t>
      </w:r>
      <w:r>
        <w:rPr>
          <w:rFonts w:hint="eastAsia" w:cs="Times New Roman"/>
          <w:color w:val="auto"/>
          <w:highlight w:val="none"/>
          <w:lang w:eastAsia="zh-CN"/>
        </w:rPr>
        <w:t>“</w:t>
      </w:r>
      <w:r>
        <w:rPr>
          <w:rFonts w:hint="default" w:ascii="Times New Roman" w:hAnsi="Times New Roman" w:cs="Times New Roman"/>
          <w:color w:val="auto"/>
          <w:highlight w:val="none"/>
        </w:rPr>
        <w:t>评标办法</w:t>
      </w:r>
      <w:r>
        <w:rPr>
          <w:rFonts w:hint="eastAsia" w:cs="Times New Roman"/>
          <w:color w:val="auto"/>
          <w:highlight w:val="none"/>
          <w:lang w:eastAsia="zh-CN"/>
        </w:rPr>
        <w:t>”</w:t>
      </w:r>
      <w:r>
        <w:rPr>
          <w:rFonts w:hint="eastAsia" w:cs="Times New Roman"/>
          <w:color w:val="auto"/>
          <w:highlight w:val="none"/>
          <w:lang w:val="en-US" w:eastAsia="zh-CN"/>
        </w:rPr>
        <w:t>规定的范围内</w:t>
      </w:r>
      <w:r>
        <w:rPr>
          <w:rFonts w:hint="default" w:ascii="Times New Roman" w:hAnsi="Times New Roman" w:cs="Times New Roman"/>
          <w:color w:val="auto"/>
          <w:highlight w:val="none"/>
        </w:rPr>
        <w:t>各评审因素的评审标准、</w:t>
      </w:r>
      <w:r>
        <w:rPr>
          <w:rFonts w:hint="default" w:ascii="Times New Roman" w:hAnsi="Times New Roman" w:eastAsia="宋体" w:cs="Times New Roman"/>
          <w:color w:val="auto"/>
          <w:highlight w:val="none"/>
        </w:rPr>
        <w:t>分值和权重等由招标人确定，但国务院有关部门对各评审因素的评审标准、分值和权重等有规定的，从其规定。第三章</w:t>
      </w:r>
      <w:r>
        <w:rPr>
          <w:rFonts w:hint="eastAsia" w:cs="Times New Roman"/>
          <w:color w:val="auto"/>
          <w:highlight w:val="none"/>
          <w:lang w:eastAsia="zh-CN"/>
        </w:rPr>
        <w:t>“</w:t>
      </w:r>
      <w:r>
        <w:rPr>
          <w:rFonts w:hint="default" w:ascii="Times New Roman" w:hAnsi="Times New Roman" w:eastAsia="宋体" w:cs="Times New Roman"/>
          <w:color w:val="auto"/>
          <w:highlight w:val="none"/>
        </w:rPr>
        <w:t>评标办法</w:t>
      </w:r>
      <w:r>
        <w:rPr>
          <w:rFonts w:hint="eastAsia" w:cs="Times New Roman"/>
          <w:color w:val="auto"/>
          <w:highlight w:val="none"/>
          <w:lang w:eastAsia="zh-CN"/>
        </w:rPr>
        <w:t>”</w:t>
      </w:r>
      <w:r>
        <w:rPr>
          <w:rFonts w:hint="default" w:ascii="Times New Roman" w:hAnsi="Times New Roman" w:eastAsia="宋体" w:cs="Times New Roman"/>
          <w:color w:val="auto"/>
          <w:highlight w:val="none"/>
        </w:rPr>
        <w:t>前附表应列明全部评审因素和评审标准，并在本章附录B载明投标人不满足要求即否决其投标的全部条款。</w:t>
      </w:r>
    </w:p>
    <w:p w14:paraId="446E1E93">
      <w:pPr>
        <w:tabs>
          <w:tab w:val="left" w:pos="1080"/>
        </w:tabs>
        <w:spacing w:line="500" w:lineRule="exact"/>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五、《施工招标文件范本（</w:t>
      </w:r>
      <w:r>
        <w:rPr>
          <w:rFonts w:hint="eastAsia" w:cs="Times New Roman"/>
          <w:color w:val="auto"/>
          <w:highlight w:val="none"/>
          <w:lang w:eastAsia="zh-CN"/>
        </w:rPr>
        <w:t>2026年版</w:t>
      </w:r>
      <w:r>
        <w:rPr>
          <w:rFonts w:hint="default" w:ascii="Times New Roman" w:hAnsi="Times New Roman" w:eastAsia="宋体" w:cs="Times New Roman"/>
          <w:color w:val="auto"/>
          <w:highlight w:val="none"/>
        </w:rPr>
        <w:t>）》将根据实际执行过程中出现的问题及时进行修改。《施工招标文件范本（</w:t>
      </w:r>
      <w:r>
        <w:rPr>
          <w:rFonts w:hint="eastAsia" w:cs="Times New Roman"/>
          <w:color w:val="auto"/>
          <w:highlight w:val="none"/>
          <w:lang w:eastAsia="zh-CN"/>
        </w:rPr>
        <w:t>2026年版</w:t>
      </w:r>
      <w:r>
        <w:rPr>
          <w:rFonts w:hint="default" w:ascii="Times New Roman" w:hAnsi="Times New Roman" w:eastAsia="宋体" w:cs="Times New Roman"/>
          <w:color w:val="auto"/>
          <w:highlight w:val="none"/>
        </w:rPr>
        <w:t>）》不明确之处由广西壮族自治区住房和城乡建设厅负责解释。</w:t>
      </w:r>
    </w:p>
    <w:p w14:paraId="5F1AD9CC">
      <w:pPr>
        <w:tabs>
          <w:tab w:val="left" w:pos="1080"/>
        </w:tabs>
        <w:spacing w:line="500" w:lineRule="exact"/>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联系电话： 0771-2260298，电子邮箱：</w:t>
      </w:r>
      <w:r>
        <w:rPr>
          <w:rFonts w:hint="eastAsia"/>
          <w:color w:val="auto"/>
          <w:highlight w:val="none"/>
        </w:rPr>
        <w:t>zjtjzc@zjt.gxzf.gov.cn</w:t>
      </w:r>
      <w:r>
        <w:rPr>
          <w:rFonts w:hint="default" w:ascii="Times New Roman" w:hAnsi="Times New Roman" w:eastAsia="宋体" w:cs="Times New Roman"/>
          <w:color w:val="auto"/>
          <w:highlight w:val="none"/>
        </w:rPr>
        <w:t>。</w:t>
      </w:r>
    </w:p>
    <w:p w14:paraId="554A41ED">
      <w:pPr>
        <w:tabs>
          <w:tab w:val="left" w:pos="1080"/>
        </w:tabs>
        <w:spacing w:line="360" w:lineRule="auto"/>
        <w:ind w:firstLine="420" w:firstLineChars="200"/>
        <w:rPr>
          <w:rFonts w:ascii="宋体" w:hAnsi="宋体" w:cs="宋体"/>
          <w:color w:val="auto"/>
          <w:highlight w:val="none"/>
        </w:rPr>
      </w:pPr>
      <w:r>
        <w:rPr>
          <w:rFonts w:ascii="宋体" w:hAnsi="宋体"/>
          <w:color w:val="auto"/>
          <w:highlight w:val="none"/>
        </w:rPr>
        <w:br w:type="page"/>
      </w:r>
    </w:p>
    <w:p w14:paraId="0F00ADDA">
      <w:pPr>
        <w:spacing w:after="240" w:afterLines="100" w:line="540" w:lineRule="exact"/>
        <w:jc w:val="center"/>
        <w:rPr>
          <w:b/>
          <w:bCs/>
          <w:color w:val="auto"/>
          <w:sz w:val="44"/>
          <w:szCs w:val="44"/>
          <w:highlight w:val="none"/>
        </w:rPr>
      </w:pPr>
      <w:r>
        <w:rPr>
          <w:rFonts w:hint="eastAsia" w:cs="宋体"/>
          <w:b/>
          <w:bCs/>
          <w:color w:val="auto"/>
          <w:sz w:val="44"/>
          <w:szCs w:val="44"/>
          <w:highlight w:val="none"/>
        </w:rPr>
        <w:t>目</w:t>
      </w:r>
      <w:r>
        <w:rPr>
          <w:b/>
          <w:bCs/>
          <w:color w:val="auto"/>
          <w:sz w:val="44"/>
          <w:szCs w:val="44"/>
          <w:highlight w:val="none"/>
        </w:rPr>
        <w:t xml:space="preserve">  </w:t>
      </w:r>
      <w:r>
        <w:rPr>
          <w:rFonts w:hint="eastAsia" w:cs="宋体"/>
          <w:b/>
          <w:bCs/>
          <w:color w:val="auto"/>
          <w:sz w:val="44"/>
          <w:szCs w:val="44"/>
          <w:highlight w:val="none"/>
        </w:rPr>
        <w:t>录</w:t>
      </w:r>
    </w:p>
    <w:p w14:paraId="48854157">
      <w:pPr>
        <w:pStyle w:val="29"/>
        <w:tabs>
          <w:tab w:val="right" w:leader="dot" w:pos="8669"/>
        </w:tabs>
        <w:rPr>
          <w:color w:val="auto"/>
          <w:highlight w:val="none"/>
        </w:rPr>
      </w:pPr>
      <w:r>
        <w:rPr>
          <w:color w:val="auto"/>
          <w:highlight w:val="none"/>
        </w:rPr>
        <w:fldChar w:fldCharType="begin"/>
      </w:r>
      <w:r>
        <w:rPr>
          <w:color w:val="auto"/>
          <w:highlight w:val="none"/>
        </w:rPr>
        <w:instrText xml:space="preserve"> TOC \o "1-1" \h \z \t "</w:instrText>
      </w:r>
      <w:r>
        <w:rPr>
          <w:rFonts w:hint="eastAsia" w:cs="黑体"/>
          <w:color w:val="auto"/>
          <w:highlight w:val="none"/>
        </w:rPr>
        <w:instrText xml:space="preserve">标题</w:instrText>
      </w:r>
      <w:r>
        <w:rPr>
          <w:color w:val="auto"/>
          <w:highlight w:val="none"/>
        </w:rPr>
        <w:instrText xml:space="preserve"> 2,2,</w:instrText>
      </w:r>
      <w:r>
        <w:rPr>
          <w:rFonts w:hint="eastAsia" w:cs="黑体"/>
          <w:color w:val="auto"/>
          <w:highlight w:val="none"/>
        </w:rPr>
        <w:instrText xml:space="preserve">标题</w:instrText>
      </w:r>
      <w:r>
        <w:rPr>
          <w:color w:val="auto"/>
          <w:highlight w:val="none"/>
        </w:rPr>
        <w:instrText xml:space="preserve"> 3,3" </w:instrText>
      </w:r>
      <w:r>
        <w:rPr>
          <w:color w:val="auto"/>
          <w:highlight w:val="none"/>
        </w:rPr>
        <w:fldChar w:fldCharType="separate"/>
      </w:r>
      <w:r>
        <w:rPr>
          <w:color w:val="auto"/>
          <w:highlight w:val="none"/>
        </w:rPr>
        <w:fldChar w:fldCharType="begin"/>
      </w:r>
      <w:r>
        <w:rPr>
          <w:color w:val="auto"/>
          <w:highlight w:val="none"/>
        </w:rPr>
        <w:instrText xml:space="preserve"> HYPERLINK \l _Toc27500 </w:instrText>
      </w:r>
      <w:r>
        <w:rPr>
          <w:color w:val="auto"/>
          <w:highlight w:val="none"/>
        </w:rPr>
        <w:fldChar w:fldCharType="separate"/>
      </w:r>
      <w:r>
        <w:rPr>
          <w:rFonts w:hint="eastAsia" w:cs="黑体"/>
          <w:color w:val="auto"/>
          <w:highlight w:val="none"/>
        </w:rPr>
        <w:t>第一章</w:t>
      </w:r>
      <w:r>
        <w:rPr>
          <w:color w:val="auto"/>
          <w:highlight w:val="none"/>
        </w:rPr>
        <w:t xml:space="preserve">  </w:t>
      </w:r>
      <w:r>
        <w:rPr>
          <w:rFonts w:hint="eastAsia" w:cs="黑体"/>
          <w:color w:val="auto"/>
          <w:highlight w:val="none"/>
        </w:rPr>
        <w:t>招标公告</w:t>
      </w:r>
      <w:r>
        <w:rPr>
          <w:color w:val="auto"/>
          <w:highlight w:val="none"/>
        </w:rPr>
        <w:tab/>
      </w:r>
      <w:r>
        <w:rPr>
          <w:color w:val="auto"/>
          <w:highlight w:val="none"/>
        </w:rPr>
        <w:fldChar w:fldCharType="begin"/>
      </w:r>
      <w:r>
        <w:rPr>
          <w:color w:val="auto"/>
          <w:highlight w:val="none"/>
        </w:rPr>
        <w:instrText xml:space="preserve"> PAGEREF _Toc27500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302E22F4">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_Toc30779 </w:instrText>
      </w:r>
      <w:r>
        <w:rPr>
          <w:color w:val="auto"/>
          <w:highlight w:val="none"/>
        </w:rPr>
        <w:fldChar w:fldCharType="separate"/>
      </w:r>
      <w:r>
        <w:rPr>
          <w:color w:val="auto"/>
          <w:highlight w:val="none"/>
        </w:rPr>
        <w:t xml:space="preserve">1. </w:t>
      </w:r>
      <w:r>
        <w:rPr>
          <w:rFonts w:hint="eastAsia" w:cs="黑体"/>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_Toc30779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2DB47851">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_Toc24390 </w:instrText>
      </w:r>
      <w:r>
        <w:rPr>
          <w:color w:val="auto"/>
          <w:highlight w:val="none"/>
        </w:rPr>
        <w:fldChar w:fldCharType="separate"/>
      </w:r>
      <w:r>
        <w:rPr>
          <w:color w:val="auto"/>
          <w:highlight w:val="none"/>
        </w:rPr>
        <w:t xml:space="preserve">2. </w:t>
      </w:r>
      <w:r>
        <w:rPr>
          <w:rFonts w:hint="eastAsia" w:cs="黑体"/>
          <w:color w:val="auto"/>
          <w:highlight w:val="none"/>
          <w:lang w:eastAsia="zh-CN"/>
        </w:rPr>
        <w:t>招标项目概况与招标范围</w:t>
      </w:r>
      <w:r>
        <w:rPr>
          <w:color w:val="auto"/>
          <w:highlight w:val="none"/>
        </w:rPr>
        <w:tab/>
      </w:r>
      <w:r>
        <w:rPr>
          <w:color w:val="auto"/>
          <w:highlight w:val="none"/>
        </w:rPr>
        <w:fldChar w:fldCharType="begin"/>
      </w:r>
      <w:r>
        <w:rPr>
          <w:color w:val="auto"/>
          <w:highlight w:val="none"/>
        </w:rPr>
        <w:instrText xml:space="preserve"> PAGEREF _Toc24390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3010A5ED">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_Toc18992 </w:instrText>
      </w:r>
      <w:r>
        <w:rPr>
          <w:color w:val="auto"/>
          <w:highlight w:val="none"/>
        </w:rPr>
        <w:fldChar w:fldCharType="separate"/>
      </w:r>
      <w:r>
        <w:rPr>
          <w:color w:val="auto"/>
          <w:highlight w:val="none"/>
        </w:rPr>
        <w:t xml:space="preserve">3. </w:t>
      </w:r>
      <w:r>
        <w:rPr>
          <w:rFonts w:hint="eastAsia" w:cs="黑体"/>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_Toc18992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2FA44975">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_Toc4101 </w:instrText>
      </w:r>
      <w:r>
        <w:rPr>
          <w:color w:val="auto"/>
          <w:highlight w:val="none"/>
        </w:rPr>
        <w:fldChar w:fldCharType="separate"/>
      </w:r>
      <w:r>
        <w:rPr>
          <w:color w:val="auto"/>
          <w:highlight w:val="none"/>
        </w:rPr>
        <w:t xml:space="preserve">4. </w:t>
      </w:r>
      <w:r>
        <w:rPr>
          <w:rFonts w:hint="eastAsia" w:cs="黑体"/>
          <w:color w:val="auto"/>
          <w:highlight w:val="none"/>
        </w:rPr>
        <w:t>招标文件的获取</w:t>
      </w:r>
      <w:r>
        <w:rPr>
          <w:color w:val="auto"/>
          <w:highlight w:val="none"/>
        </w:rPr>
        <w:tab/>
      </w:r>
      <w:r>
        <w:rPr>
          <w:color w:val="auto"/>
          <w:highlight w:val="none"/>
        </w:rPr>
        <w:fldChar w:fldCharType="begin"/>
      </w:r>
      <w:r>
        <w:rPr>
          <w:color w:val="auto"/>
          <w:highlight w:val="none"/>
        </w:rPr>
        <w:instrText xml:space="preserve"> PAGEREF _Toc4101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3F53C2C9">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_Toc14014 </w:instrText>
      </w:r>
      <w:r>
        <w:rPr>
          <w:color w:val="auto"/>
          <w:highlight w:val="none"/>
        </w:rPr>
        <w:fldChar w:fldCharType="separate"/>
      </w:r>
      <w:r>
        <w:rPr>
          <w:color w:val="auto"/>
          <w:highlight w:val="none"/>
        </w:rPr>
        <w:t xml:space="preserve">5. </w:t>
      </w:r>
      <w:r>
        <w:rPr>
          <w:rFonts w:hint="eastAsia" w:cs="黑体"/>
          <w:color w:val="auto"/>
          <w:highlight w:val="none"/>
        </w:rPr>
        <w:t>投标文件的提交及</w:t>
      </w:r>
      <w:r>
        <w:rPr>
          <w:rFonts w:cs="黑体"/>
          <w:color w:val="auto"/>
          <w:highlight w:val="none"/>
        </w:rPr>
        <w:t>不见</w:t>
      </w:r>
      <w:r>
        <w:rPr>
          <w:rFonts w:hint="eastAsia" w:cs="黑体"/>
          <w:color w:val="auto"/>
          <w:highlight w:val="none"/>
        </w:rPr>
        <w:t>面</w:t>
      </w:r>
      <w:r>
        <w:rPr>
          <w:rFonts w:cs="黑体"/>
          <w:color w:val="auto"/>
          <w:highlight w:val="none"/>
        </w:rPr>
        <w:t>开标说明</w:t>
      </w:r>
      <w:r>
        <w:rPr>
          <w:color w:val="auto"/>
          <w:highlight w:val="none"/>
        </w:rPr>
        <w:tab/>
      </w:r>
      <w:r>
        <w:rPr>
          <w:color w:val="auto"/>
          <w:highlight w:val="none"/>
        </w:rPr>
        <w:fldChar w:fldCharType="begin"/>
      </w:r>
      <w:r>
        <w:rPr>
          <w:color w:val="auto"/>
          <w:highlight w:val="none"/>
        </w:rPr>
        <w:instrText xml:space="preserve"> PAGEREF _Toc14014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1236A23C">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_Toc30230 </w:instrText>
      </w:r>
      <w:r>
        <w:rPr>
          <w:color w:val="auto"/>
          <w:highlight w:val="none"/>
        </w:rPr>
        <w:fldChar w:fldCharType="separate"/>
      </w:r>
      <w:r>
        <w:rPr>
          <w:color w:val="auto"/>
          <w:highlight w:val="none"/>
        </w:rPr>
        <w:t xml:space="preserve">6. </w:t>
      </w:r>
      <w:r>
        <w:rPr>
          <w:rFonts w:hint="eastAsia" w:cs="黑体"/>
          <w:color w:val="auto"/>
          <w:highlight w:val="none"/>
        </w:rPr>
        <w:t>评标方式</w:t>
      </w:r>
      <w:r>
        <w:rPr>
          <w:color w:val="auto"/>
          <w:highlight w:val="none"/>
        </w:rPr>
        <w:tab/>
      </w:r>
      <w:r>
        <w:rPr>
          <w:color w:val="auto"/>
          <w:highlight w:val="none"/>
        </w:rPr>
        <w:fldChar w:fldCharType="begin"/>
      </w:r>
      <w:r>
        <w:rPr>
          <w:color w:val="auto"/>
          <w:highlight w:val="none"/>
        </w:rPr>
        <w:instrText xml:space="preserve"> PAGEREF _Toc30230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57E6138C">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_Toc2291 </w:instrText>
      </w:r>
      <w:r>
        <w:rPr>
          <w:color w:val="auto"/>
          <w:highlight w:val="none"/>
        </w:rPr>
        <w:fldChar w:fldCharType="separate"/>
      </w:r>
      <w:r>
        <w:rPr>
          <w:color w:val="auto"/>
          <w:highlight w:val="none"/>
        </w:rPr>
        <w:t xml:space="preserve">7. </w:t>
      </w:r>
      <w:r>
        <w:rPr>
          <w:rFonts w:hint="eastAsia" w:cs="黑体"/>
          <w:color w:val="auto"/>
          <w:highlight w:val="none"/>
        </w:rPr>
        <w:t>预付款和进度款支付方式</w:t>
      </w:r>
      <w:r>
        <w:rPr>
          <w:color w:val="auto"/>
          <w:highlight w:val="none"/>
        </w:rPr>
        <w:tab/>
      </w:r>
      <w:r>
        <w:rPr>
          <w:color w:val="auto"/>
          <w:highlight w:val="none"/>
        </w:rPr>
        <w:fldChar w:fldCharType="begin"/>
      </w:r>
      <w:r>
        <w:rPr>
          <w:color w:val="auto"/>
          <w:highlight w:val="none"/>
        </w:rPr>
        <w:instrText xml:space="preserve"> PAGEREF _Toc2291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7046909E">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_Toc23394 </w:instrText>
      </w:r>
      <w:r>
        <w:rPr>
          <w:color w:val="auto"/>
          <w:highlight w:val="none"/>
        </w:rPr>
        <w:fldChar w:fldCharType="separate"/>
      </w:r>
      <w:r>
        <w:rPr>
          <w:color w:val="auto"/>
          <w:highlight w:val="none"/>
          <w:lang w:val="en-US"/>
        </w:rPr>
        <w:t xml:space="preserve">8. </w:t>
      </w:r>
      <w:r>
        <w:rPr>
          <w:rFonts w:hint="eastAsia" w:cs="黑体"/>
          <w:color w:val="auto"/>
          <w:highlight w:val="none"/>
        </w:rPr>
        <w:t>发布媒介</w:t>
      </w:r>
      <w:r>
        <w:rPr>
          <w:color w:val="auto"/>
          <w:highlight w:val="none"/>
        </w:rPr>
        <w:tab/>
      </w:r>
      <w:r>
        <w:rPr>
          <w:color w:val="auto"/>
          <w:highlight w:val="none"/>
        </w:rPr>
        <w:fldChar w:fldCharType="begin"/>
      </w:r>
      <w:r>
        <w:rPr>
          <w:color w:val="auto"/>
          <w:highlight w:val="none"/>
        </w:rPr>
        <w:instrText xml:space="preserve"> PAGEREF _Toc23394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42411F8C">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_Toc2550 </w:instrText>
      </w:r>
      <w:r>
        <w:rPr>
          <w:color w:val="auto"/>
          <w:highlight w:val="none"/>
        </w:rPr>
        <w:fldChar w:fldCharType="separate"/>
      </w:r>
      <w:r>
        <w:rPr>
          <w:color w:val="auto"/>
          <w:highlight w:val="none"/>
        </w:rPr>
        <w:t xml:space="preserve">9. </w:t>
      </w:r>
      <w:r>
        <w:rPr>
          <w:rFonts w:hint="eastAsia" w:cs="黑体"/>
          <w:color w:val="auto"/>
          <w:highlight w:val="none"/>
          <w:lang w:eastAsia="zh-CN"/>
        </w:rPr>
        <w:t>公共资源交易平台运行服务机构</w:t>
      </w:r>
      <w:r>
        <w:rPr>
          <w:color w:val="auto"/>
          <w:highlight w:val="none"/>
        </w:rPr>
        <w:tab/>
      </w:r>
      <w:r>
        <w:rPr>
          <w:color w:val="auto"/>
          <w:highlight w:val="none"/>
        </w:rPr>
        <w:fldChar w:fldCharType="begin"/>
      </w:r>
      <w:r>
        <w:rPr>
          <w:color w:val="auto"/>
          <w:highlight w:val="none"/>
        </w:rPr>
        <w:instrText xml:space="preserve"> PAGEREF _Toc2550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3D91A254">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_Toc30663 </w:instrText>
      </w:r>
      <w:r>
        <w:rPr>
          <w:color w:val="auto"/>
          <w:highlight w:val="none"/>
        </w:rPr>
        <w:fldChar w:fldCharType="separate"/>
      </w:r>
      <w:r>
        <w:rPr>
          <w:color w:val="auto"/>
          <w:highlight w:val="none"/>
        </w:rPr>
        <w:t xml:space="preserve">10. </w:t>
      </w:r>
      <w:r>
        <w:rPr>
          <w:rFonts w:hint="eastAsia" w:cs="黑体"/>
          <w:color w:val="auto"/>
          <w:highlight w:val="none"/>
        </w:rPr>
        <w:t>监督部门及电话</w:t>
      </w:r>
      <w:r>
        <w:rPr>
          <w:color w:val="auto"/>
          <w:highlight w:val="none"/>
        </w:rPr>
        <w:tab/>
      </w:r>
      <w:r>
        <w:rPr>
          <w:color w:val="auto"/>
          <w:highlight w:val="none"/>
        </w:rPr>
        <w:fldChar w:fldCharType="begin"/>
      </w:r>
      <w:r>
        <w:rPr>
          <w:color w:val="auto"/>
          <w:highlight w:val="none"/>
        </w:rPr>
        <w:instrText xml:space="preserve"> PAGEREF _Toc30663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47B29AAA">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_Toc16413 </w:instrText>
      </w:r>
      <w:r>
        <w:rPr>
          <w:color w:val="auto"/>
          <w:highlight w:val="none"/>
        </w:rPr>
        <w:fldChar w:fldCharType="separate"/>
      </w:r>
      <w:r>
        <w:rPr>
          <w:color w:val="auto"/>
          <w:highlight w:val="none"/>
          <w:lang w:val="en-US"/>
        </w:rPr>
        <w:t xml:space="preserve">11. </w:t>
      </w:r>
      <w:r>
        <w:rPr>
          <w:rFonts w:hint="eastAsia" w:cs="Times New Roman"/>
          <w:color w:val="auto"/>
          <w:szCs w:val="32"/>
          <w:highlight w:val="none"/>
        </w:rPr>
        <w:t>注意事项</w:t>
      </w:r>
      <w:r>
        <w:rPr>
          <w:color w:val="auto"/>
          <w:highlight w:val="none"/>
        </w:rPr>
        <w:tab/>
      </w:r>
      <w:r>
        <w:rPr>
          <w:color w:val="auto"/>
          <w:highlight w:val="none"/>
        </w:rPr>
        <w:fldChar w:fldCharType="begin"/>
      </w:r>
      <w:r>
        <w:rPr>
          <w:color w:val="auto"/>
          <w:highlight w:val="none"/>
        </w:rPr>
        <w:instrText xml:space="preserve"> PAGEREF _Toc16413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2A94CC3B">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_Toc30319 </w:instrText>
      </w:r>
      <w:r>
        <w:rPr>
          <w:color w:val="auto"/>
          <w:highlight w:val="none"/>
        </w:rPr>
        <w:fldChar w:fldCharType="separate"/>
      </w:r>
      <w:r>
        <w:rPr>
          <w:color w:val="auto"/>
          <w:highlight w:val="none"/>
        </w:rPr>
        <w:t xml:space="preserve">12. </w:t>
      </w:r>
      <w:r>
        <w:rPr>
          <w:rFonts w:hint="eastAsia" w:cs="黑体"/>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_Toc30319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0EF3A044">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_Toc5997 </w:instrText>
      </w:r>
      <w:r>
        <w:rPr>
          <w:color w:val="auto"/>
          <w:highlight w:val="none"/>
        </w:rPr>
        <w:fldChar w:fldCharType="separate"/>
      </w:r>
      <w:r>
        <w:rPr>
          <w:rFonts w:hint="eastAsia" w:cs="黑体"/>
          <w:color w:val="auto"/>
          <w:highlight w:val="none"/>
        </w:rPr>
        <w:t>第一章</w:t>
      </w:r>
      <w:r>
        <w:rPr>
          <w:color w:val="auto"/>
          <w:highlight w:val="none"/>
        </w:rPr>
        <w:t xml:space="preserve">  </w:t>
      </w:r>
      <w:r>
        <w:rPr>
          <w:rFonts w:hint="eastAsia" w:cs="黑体"/>
          <w:color w:val="auto"/>
          <w:highlight w:val="none"/>
        </w:rPr>
        <w:t>投标邀请书（适用于邀请招标）</w:t>
      </w:r>
      <w:r>
        <w:rPr>
          <w:color w:val="auto"/>
          <w:highlight w:val="none"/>
        </w:rPr>
        <w:tab/>
      </w:r>
      <w:r>
        <w:rPr>
          <w:color w:val="auto"/>
          <w:highlight w:val="none"/>
        </w:rPr>
        <w:fldChar w:fldCharType="begin"/>
      </w:r>
      <w:r>
        <w:rPr>
          <w:color w:val="auto"/>
          <w:highlight w:val="none"/>
        </w:rPr>
        <w:instrText xml:space="preserve"> PAGEREF _Toc5997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7F30197F">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color w:val="auto"/>
          <w:highlight w:val="none"/>
        </w:rPr>
        <w:t xml:space="preserve">1. </w:t>
      </w:r>
      <w:r>
        <w:rPr>
          <w:rFonts w:hint="eastAsia" w:cs="黑体"/>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_Toc21187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29D9CF10">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_Toc18238 </w:instrText>
      </w:r>
      <w:r>
        <w:rPr>
          <w:color w:val="auto"/>
          <w:highlight w:val="none"/>
        </w:rPr>
        <w:fldChar w:fldCharType="separate"/>
      </w:r>
      <w:r>
        <w:rPr>
          <w:color w:val="auto"/>
          <w:highlight w:val="none"/>
        </w:rPr>
        <w:t xml:space="preserve">2. </w:t>
      </w:r>
      <w:r>
        <w:rPr>
          <w:rFonts w:hint="eastAsia" w:cs="黑体"/>
          <w:color w:val="auto"/>
          <w:highlight w:val="none"/>
          <w:lang w:eastAsia="zh-CN"/>
        </w:rPr>
        <w:t>招标项目概况与招标范围</w:t>
      </w:r>
      <w:r>
        <w:rPr>
          <w:color w:val="auto"/>
          <w:highlight w:val="none"/>
        </w:rPr>
        <w:tab/>
      </w:r>
      <w:r>
        <w:rPr>
          <w:color w:val="auto"/>
          <w:highlight w:val="none"/>
        </w:rPr>
        <w:fldChar w:fldCharType="begin"/>
      </w:r>
      <w:r>
        <w:rPr>
          <w:color w:val="auto"/>
          <w:highlight w:val="none"/>
        </w:rPr>
        <w:instrText xml:space="preserve"> PAGEREF _Toc18238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42490A62">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_Toc12810 </w:instrText>
      </w:r>
      <w:r>
        <w:rPr>
          <w:color w:val="auto"/>
          <w:highlight w:val="none"/>
        </w:rPr>
        <w:fldChar w:fldCharType="separate"/>
      </w:r>
      <w:r>
        <w:rPr>
          <w:color w:val="auto"/>
          <w:highlight w:val="none"/>
        </w:rPr>
        <w:t xml:space="preserve">3. </w:t>
      </w:r>
      <w:r>
        <w:rPr>
          <w:rFonts w:hint="eastAsia" w:cs="黑体"/>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_Toc12810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704B55F0">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_Toc9692 </w:instrText>
      </w:r>
      <w:r>
        <w:rPr>
          <w:color w:val="auto"/>
          <w:highlight w:val="none"/>
        </w:rPr>
        <w:fldChar w:fldCharType="separate"/>
      </w:r>
      <w:r>
        <w:rPr>
          <w:color w:val="auto"/>
          <w:highlight w:val="none"/>
        </w:rPr>
        <w:t xml:space="preserve">4. </w:t>
      </w:r>
      <w:r>
        <w:rPr>
          <w:rFonts w:hint="eastAsia" w:cs="黑体"/>
          <w:color w:val="auto"/>
          <w:highlight w:val="none"/>
        </w:rPr>
        <w:t>招标文件的获取</w:t>
      </w:r>
      <w:r>
        <w:rPr>
          <w:color w:val="auto"/>
          <w:highlight w:val="none"/>
        </w:rPr>
        <w:tab/>
      </w:r>
      <w:r>
        <w:rPr>
          <w:color w:val="auto"/>
          <w:highlight w:val="none"/>
        </w:rPr>
        <w:fldChar w:fldCharType="begin"/>
      </w:r>
      <w:r>
        <w:rPr>
          <w:color w:val="auto"/>
          <w:highlight w:val="none"/>
        </w:rPr>
        <w:instrText xml:space="preserve"> PAGEREF _Toc9692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4365F2A6">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_Toc18168 </w:instrText>
      </w:r>
      <w:r>
        <w:rPr>
          <w:color w:val="auto"/>
          <w:highlight w:val="none"/>
        </w:rPr>
        <w:fldChar w:fldCharType="separate"/>
      </w:r>
      <w:r>
        <w:rPr>
          <w:color w:val="auto"/>
          <w:highlight w:val="none"/>
        </w:rPr>
        <w:t xml:space="preserve">5. </w:t>
      </w:r>
      <w:r>
        <w:rPr>
          <w:rFonts w:hint="eastAsia" w:cs="黑体"/>
          <w:color w:val="auto"/>
          <w:highlight w:val="none"/>
        </w:rPr>
        <w:t>投标文件的提交及不见面开标说明</w:t>
      </w:r>
      <w:r>
        <w:rPr>
          <w:color w:val="auto"/>
          <w:highlight w:val="none"/>
        </w:rPr>
        <w:tab/>
      </w:r>
      <w:r>
        <w:rPr>
          <w:color w:val="auto"/>
          <w:highlight w:val="none"/>
        </w:rPr>
        <w:fldChar w:fldCharType="begin"/>
      </w:r>
      <w:r>
        <w:rPr>
          <w:color w:val="auto"/>
          <w:highlight w:val="none"/>
        </w:rPr>
        <w:instrText xml:space="preserve"> PAGEREF _Toc18168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5047B471">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_Toc25179 </w:instrText>
      </w:r>
      <w:r>
        <w:rPr>
          <w:color w:val="auto"/>
          <w:highlight w:val="none"/>
        </w:rPr>
        <w:fldChar w:fldCharType="separate"/>
      </w:r>
      <w:r>
        <w:rPr>
          <w:color w:val="auto"/>
          <w:highlight w:val="none"/>
        </w:rPr>
        <w:t xml:space="preserve">6. </w:t>
      </w:r>
      <w:r>
        <w:rPr>
          <w:rFonts w:hint="eastAsia" w:cs="黑体"/>
          <w:color w:val="auto"/>
          <w:highlight w:val="none"/>
        </w:rPr>
        <w:t>确认</w:t>
      </w:r>
      <w:r>
        <w:rPr>
          <w:color w:val="auto"/>
          <w:highlight w:val="none"/>
        </w:rPr>
        <w:tab/>
      </w:r>
      <w:r>
        <w:rPr>
          <w:color w:val="auto"/>
          <w:highlight w:val="none"/>
        </w:rPr>
        <w:fldChar w:fldCharType="begin"/>
      </w:r>
      <w:r>
        <w:rPr>
          <w:color w:val="auto"/>
          <w:highlight w:val="none"/>
        </w:rPr>
        <w:instrText xml:space="preserve"> PAGEREF _Toc25179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4E5F0B9E">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_Toc30392 </w:instrText>
      </w:r>
      <w:r>
        <w:rPr>
          <w:color w:val="auto"/>
          <w:highlight w:val="none"/>
        </w:rPr>
        <w:fldChar w:fldCharType="separate"/>
      </w:r>
      <w:r>
        <w:rPr>
          <w:color w:val="auto"/>
          <w:highlight w:val="none"/>
        </w:rPr>
        <w:t xml:space="preserve">7. </w:t>
      </w:r>
      <w:r>
        <w:rPr>
          <w:rFonts w:hint="eastAsia" w:cs="黑体"/>
          <w:color w:val="auto"/>
          <w:highlight w:val="none"/>
        </w:rPr>
        <w:t>评标方式</w:t>
      </w:r>
      <w:r>
        <w:rPr>
          <w:color w:val="auto"/>
          <w:highlight w:val="none"/>
        </w:rPr>
        <w:tab/>
      </w:r>
      <w:r>
        <w:rPr>
          <w:color w:val="auto"/>
          <w:highlight w:val="none"/>
        </w:rPr>
        <w:fldChar w:fldCharType="begin"/>
      </w:r>
      <w:r>
        <w:rPr>
          <w:color w:val="auto"/>
          <w:highlight w:val="none"/>
        </w:rPr>
        <w:instrText xml:space="preserve"> PAGEREF _Toc30392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3873840F">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_Toc29487 </w:instrText>
      </w:r>
      <w:r>
        <w:rPr>
          <w:color w:val="auto"/>
          <w:highlight w:val="none"/>
        </w:rPr>
        <w:fldChar w:fldCharType="separate"/>
      </w:r>
      <w:r>
        <w:rPr>
          <w:color w:val="auto"/>
          <w:highlight w:val="none"/>
        </w:rPr>
        <w:t xml:space="preserve">8. </w:t>
      </w:r>
      <w:r>
        <w:rPr>
          <w:rFonts w:hint="eastAsia" w:cs="黑体"/>
          <w:color w:val="auto"/>
          <w:highlight w:val="none"/>
        </w:rPr>
        <w:t>预付款和进度款支付方式</w:t>
      </w:r>
      <w:r>
        <w:rPr>
          <w:color w:val="auto"/>
          <w:highlight w:val="none"/>
        </w:rPr>
        <w:tab/>
      </w:r>
      <w:r>
        <w:rPr>
          <w:color w:val="auto"/>
          <w:highlight w:val="none"/>
        </w:rPr>
        <w:fldChar w:fldCharType="begin"/>
      </w:r>
      <w:r>
        <w:rPr>
          <w:color w:val="auto"/>
          <w:highlight w:val="none"/>
        </w:rPr>
        <w:instrText xml:space="preserve"> PAGEREF _Toc29487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5DD74E89">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_Toc27119 </w:instrText>
      </w:r>
      <w:r>
        <w:rPr>
          <w:color w:val="auto"/>
          <w:highlight w:val="none"/>
        </w:rPr>
        <w:fldChar w:fldCharType="separate"/>
      </w:r>
      <w:r>
        <w:rPr>
          <w:color w:val="auto"/>
          <w:highlight w:val="none"/>
        </w:rPr>
        <w:t xml:space="preserve">9. </w:t>
      </w:r>
      <w:r>
        <w:rPr>
          <w:rFonts w:hint="eastAsia" w:cs="黑体"/>
          <w:color w:val="auto"/>
          <w:highlight w:val="none"/>
          <w:lang w:eastAsia="zh-CN"/>
        </w:rPr>
        <w:t>公共资源交易平台运行服务机构</w:t>
      </w:r>
      <w:r>
        <w:rPr>
          <w:color w:val="auto"/>
          <w:highlight w:val="none"/>
        </w:rPr>
        <w:tab/>
      </w:r>
      <w:r>
        <w:rPr>
          <w:color w:val="auto"/>
          <w:highlight w:val="none"/>
        </w:rPr>
        <w:fldChar w:fldCharType="begin"/>
      </w:r>
      <w:r>
        <w:rPr>
          <w:color w:val="auto"/>
          <w:highlight w:val="none"/>
        </w:rPr>
        <w:instrText xml:space="preserve"> PAGEREF _Toc27119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7FDCB7F5">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_Toc23702 </w:instrText>
      </w:r>
      <w:r>
        <w:rPr>
          <w:color w:val="auto"/>
          <w:highlight w:val="none"/>
        </w:rPr>
        <w:fldChar w:fldCharType="separate"/>
      </w:r>
      <w:r>
        <w:rPr>
          <w:color w:val="auto"/>
          <w:highlight w:val="none"/>
        </w:rPr>
        <w:t xml:space="preserve">10. </w:t>
      </w:r>
      <w:r>
        <w:rPr>
          <w:rFonts w:hint="eastAsia" w:cs="黑体"/>
          <w:color w:val="auto"/>
          <w:highlight w:val="none"/>
        </w:rPr>
        <w:t>监督部门及电话</w:t>
      </w:r>
      <w:r>
        <w:rPr>
          <w:color w:val="auto"/>
          <w:highlight w:val="none"/>
        </w:rPr>
        <w:tab/>
      </w:r>
      <w:r>
        <w:rPr>
          <w:color w:val="auto"/>
          <w:highlight w:val="none"/>
        </w:rPr>
        <w:fldChar w:fldCharType="begin"/>
      </w:r>
      <w:r>
        <w:rPr>
          <w:color w:val="auto"/>
          <w:highlight w:val="none"/>
        </w:rPr>
        <w:instrText xml:space="preserve"> PAGEREF _Toc23702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7421C3DC">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_Toc4825 </w:instrText>
      </w:r>
      <w:r>
        <w:rPr>
          <w:color w:val="auto"/>
          <w:highlight w:val="none"/>
        </w:rPr>
        <w:fldChar w:fldCharType="separate"/>
      </w:r>
      <w:r>
        <w:rPr>
          <w:color w:val="auto"/>
          <w:highlight w:val="none"/>
          <w:lang w:val="en-US"/>
        </w:rPr>
        <w:t xml:space="preserve">11. </w:t>
      </w:r>
      <w:r>
        <w:rPr>
          <w:rFonts w:hint="eastAsia"/>
          <w:color w:val="auto"/>
          <w:highlight w:val="none"/>
        </w:rPr>
        <w:t>注意事项</w:t>
      </w:r>
      <w:r>
        <w:rPr>
          <w:color w:val="auto"/>
          <w:highlight w:val="none"/>
        </w:rPr>
        <w:tab/>
      </w:r>
      <w:r>
        <w:rPr>
          <w:color w:val="auto"/>
          <w:highlight w:val="none"/>
        </w:rPr>
        <w:fldChar w:fldCharType="begin"/>
      </w:r>
      <w:r>
        <w:rPr>
          <w:color w:val="auto"/>
          <w:highlight w:val="none"/>
        </w:rPr>
        <w:instrText xml:space="preserve"> PAGEREF _Toc4825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24851A08">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_Toc19609 </w:instrText>
      </w:r>
      <w:r>
        <w:rPr>
          <w:color w:val="auto"/>
          <w:highlight w:val="none"/>
        </w:rPr>
        <w:fldChar w:fldCharType="separate"/>
      </w:r>
      <w:r>
        <w:rPr>
          <w:color w:val="auto"/>
          <w:highlight w:val="none"/>
        </w:rPr>
        <w:t xml:space="preserve">12. </w:t>
      </w:r>
      <w:r>
        <w:rPr>
          <w:rFonts w:hint="eastAsia" w:cs="黑体"/>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_Toc19609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5ABE9222">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_Toc13360 </w:instrText>
      </w:r>
      <w:r>
        <w:rPr>
          <w:color w:val="auto"/>
          <w:highlight w:val="none"/>
        </w:rPr>
        <w:fldChar w:fldCharType="separate"/>
      </w:r>
      <w:r>
        <w:rPr>
          <w:rFonts w:hint="eastAsia" w:cs="黑体"/>
          <w:color w:val="auto"/>
          <w:highlight w:val="none"/>
        </w:rPr>
        <w:t>第二章</w:t>
      </w:r>
      <w:r>
        <w:rPr>
          <w:color w:val="auto"/>
          <w:highlight w:val="none"/>
        </w:rPr>
        <w:t xml:space="preserve">  </w:t>
      </w:r>
      <w:r>
        <w:rPr>
          <w:rFonts w:hint="eastAsia" w:cs="黑体"/>
          <w:color w:val="auto"/>
          <w:highlight w:val="none"/>
        </w:rPr>
        <w:t>投标人须知</w:t>
      </w:r>
      <w:r>
        <w:rPr>
          <w:color w:val="auto"/>
          <w:highlight w:val="none"/>
        </w:rPr>
        <w:tab/>
      </w:r>
      <w:r>
        <w:rPr>
          <w:color w:val="auto"/>
          <w:highlight w:val="none"/>
        </w:rPr>
        <w:fldChar w:fldCharType="begin"/>
      </w:r>
      <w:r>
        <w:rPr>
          <w:color w:val="auto"/>
          <w:highlight w:val="none"/>
        </w:rPr>
        <w:instrText xml:space="preserve"> PAGEREF _Toc13360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14:paraId="0B79AB1A">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_Toc32659 </w:instrText>
      </w:r>
      <w:r>
        <w:rPr>
          <w:color w:val="auto"/>
          <w:highlight w:val="none"/>
        </w:rPr>
        <w:fldChar w:fldCharType="separate"/>
      </w:r>
      <w:r>
        <w:rPr>
          <w:rFonts w:hint="eastAsia" w:cs="黑体"/>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_Toc32659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14:paraId="59BC7C4E">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_Toc5349 </w:instrText>
      </w:r>
      <w:r>
        <w:rPr>
          <w:color w:val="auto"/>
          <w:highlight w:val="none"/>
        </w:rPr>
        <w:fldChar w:fldCharType="separate"/>
      </w:r>
      <w:r>
        <w:rPr>
          <w:rFonts w:hint="eastAsia" w:cs="黑体"/>
          <w:color w:val="auto"/>
          <w:highlight w:val="none"/>
        </w:rPr>
        <w:t>投标人须知正文部分</w:t>
      </w:r>
      <w:r>
        <w:rPr>
          <w:color w:val="auto"/>
          <w:highlight w:val="none"/>
        </w:rPr>
        <w:tab/>
      </w:r>
      <w:r>
        <w:rPr>
          <w:color w:val="auto"/>
          <w:highlight w:val="none"/>
        </w:rPr>
        <w:fldChar w:fldCharType="begin"/>
      </w:r>
      <w:r>
        <w:rPr>
          <w:color w:val="auto"/>
          <w:highlight w:val="none"/>
        </w:rPr>
        <w:instrText xml:space="preserve"> PAGEREF _Toc5349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1BA5F934">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_Toc13483 </w:instrText>
      </w:r>
      <w:r>
        <w:rPr>
          <w:color w:val="auto"/>
          <w:highlight w:val="none"/>
        </w:rPr>
        <w:fldChar w:fldCharType="separate"/>
      </w:r>
      <w:r>
        <w:rPr>
          <w:color w:val="auto"/>
          <w:highlight w:val="none"/>
        </w:rPr>
        <w:t xml:space="preserve">1 </w:t>
      </w:r>
      <w:r>
        <w:rPr>
          <w:rFonts w:hint="eastAsia" w:cs="黑体"/>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_Toc13483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7CB21AEB">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_Toc9107 </w:instrText>
      </w:r>
      <w:r>
        <w:rPr>
          <w:color w:val="auto"/>
          <w:highlight w:val="none"/>
        </w:rPr>
        <w:fldChar w:fldCharType="separate"/>
      </w:r>
      <w:r>
        <w:rPr>
          <w:color w:val="auto"/>
          <w:highlight w:val="none"/>
        </w:rPr>
        <w:t xml:space="preserve">1.1 </w:t>
      </w:r>
      <w:r>
        <w:rPr>
          <w:rFonts w:hint="eastAsia" w:cs="黑体"/>
          <w:color w:val="auto"/>
          <w:highlight w:val="none"/>
        </w:rPr>
        <w:t>项目概况</w:t>
      </w:r>
      <w:r>
        <w:rPr>
          <w:color w:val="auto"/>
          <w:highlight w:val="none"/>
        </w:rPr>
        <w:tab/>
      </w:r>
      <w:r>
        <w:rPr>
          <w:color w:val="auto"/>
          <w:highlight w:val="none"/>
        </w:rPr>
        <w:fldChar w:fldCharType="begin"/>
      </w:r>
      <w:r>
        <w:rPr>
          <w:color w:val="auto"/>
          <w:highlight w:val="none"/>
        </w:rPr>
        <w:instrText xml:space="preserve"> PAGEREF _Toc9107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1D55448E">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_Toc25565 </w:instrText>
      </w:r>
      <w:r>
        <w:rPr>
          <w:color w:val="auto"/>
          <w:highlight w:val="none"/>
        </w:rPr>
        <w:fldChar w:fldCharType="separate"/>
      </w:r>
      <w:r>
        <w:rPr>
          <w:color w:val="auto"/>
          <w:highlight w:val="none"/>
        </w:rPr>
        <w:t xml:space="preserve">1.2 </w:t>
      </w:r>
      <w:r>
        <w:rPr>
          <w:rFonts w:hint="eastAsia" w:cs="黑体"/>
          <w:color w:val="auto"/>
          <w:highlight w:val="none"/>
        </w:rPr>
        <w:t>资金来源和落实情况</w:t>
      </w:r>
      <w:r>
        <w:rPr>
          <w:color w:val="auto"/>
          <w:highlight w:val="none"/>
        </w:rPr>
        <w:tab/>
      </w:r>
      <w:r>
        <w:rPr>
          <w:color w:val="auto"/>
          <w:highlight w:val="none"/>
        </w:rPr>
        <w:fldChar w:fldCharType="begin"/>
      </w:r>
      <w:r>
        <w:rPr>
          <w:color w:val="auto"/>
          <w:highlight w:val="none"/>
        </w:rPr>
        <w:instrText xml:space="preserve"> PAGEREF _Toc25565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6A37CC1F">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_Toc21740 </w:instrText>
      </w:r>
      <w:r>
        <w:rPr>
          <w:color w:val="auto"/>
          <w:highlight w:val="none"/>
        </w:rPr>
        <w:fldChar w:fldCharType="separate"/>
      </w:r>
      <w:r>
        <w:rPr>
          <w:color w:val="auto"/>
          <w:highlight w:val="none"/>
        </w:rPr>
        <w:t xml:space="preserve">1.3 </w:t>
      </w:r>
      <w:r>
        <w:rPr>
          <w:rFonts w:hint="eastAsia" w:cs="黑体"/>
          <w:color w:val="auto"/>
          <w:highlight w:val="none"/>
        </w:rPr>
        <w:t>招标范围、计划工期和质量要求</w:t>
      </w:r>
      <w:r>
        <w:rPr>
          <w:color w:val="auto"/>
          <w:highlight w:val="none"/>
        </w:rPr>
        <w:tab/>
      </w:r>
      <w:r>
        <w:rPr>
          <w:color w:val="auto"/>
          <w:highlight w:val="none"/>
        </w:rPr>
        <w:fldChar w:fldCharType="begin"/>
      </w:r>
      <w:r>
        <w:rPr>
          <w:color w:val="auto"/>
          <w:highlight w:val="none"/>
        </w:rPr>
        <w:instrText xml:space="preserve"> PAGEREF _Toc21740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7C58D4C3">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_Toc8492 </w:instrText>
      </w:r>
      <w:r>
        <w:rPr>
          <w:color w:val="auto"/>
          <w:highlight w:val="none"/>
        </w:rPr>
        <w:fldChar w:fldCharType="separate"/>
      </w:r>
      <w:r>
        <w:rPr>
          <w:color w:val="auto"/>
          <w:highlight w:val="none"/>
        </w:rPr>
        <w:t xml:space="preserve">1.4 </w:t>
      </w:r>
      <w:r>
        <w:rPr>
          <w:rFonts w:hint="eastAsia" w:cs="黑体"/>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_Toc8492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1F9E4633">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_Toc32402 </w:instrText>
      </w:r>
      <w:r>
        <w:rPr>
          <w:color w:val="auto"/>
          <w:highlight w:val="none"/>
        </w:rPr>
        <w:fldChar w:fldCharType="separate"/>
      </w:r>
      <w:r>
        <w:rPr>
          <w:color w:val="auto"/>
          <w:highlight w:val="none"/>
        </w:rPr>
        <w:t xml:space="preserve">1.5 </w:t>
      </w:r>
      <w:r>
        <w:rPr>
          <w:rFonts w:hint="eastAsia" w:cs="黑体"/>
          <w:color w:val="auto"/>
          <w:highlight w:val="none"/>
        </w:rPr>
        <w:t>费用承担</w:t>
      </w:r>
      <w:r>
        <w:rPr>
          <w:color w:val="auto"/>
          <w:highlight w:val="none"/>
        </w:rPr>
        <w:tab/>
      </w:r>
      <w:r>
        <w:rPr>
          <w:color w:val="auto"/>
          <w:highlight w:val="none"/>
        </w:rPr>
        <w:fldChar w:fldCharType="begin"/>
      </w:r>
      <w:r>
        <w:rPr>
          <w:color w:val="auto"/>
          <w:highlight w:val="none"/>
        </w:rPr>
        <w:instrText xml:space="preserve"> PAGEREF _Toc32402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6DFB9F28">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_Toc32409 </w:instrText>
      </w:r>
      <w:r>
        <w:rPr>
          <w:color w:val="auto"/>
          <w:highlight w:val="none"/>
        </w:rPr>
        <w:fldChar w:fldCharType="separate"/>
      </w:r>
      <w:r>
        <w:rPr>
          <w:color w:val="auto"/>
          <w:highlight w:val="none"/>
        </w:rPr>
        <w:t xml:space="preserve">1.6 </w:t>
      </w:r>
      <w:r>
        <w:rPr>
          <w:rFonts w:hint="eastAsia" w:cs="黑体"/>
          <w:color w:val="auto"/>
          <w:highlight w:val="none"/>
        </w:rPr>
        <w:t>保密</w:t>
      </w:r>
      <w:r>
        <w:rPr>
          <w:color w:val="auto"/>
          <w:highlight w:val="none"/>
        </w:rPr>
        <w:tab/>
      </w:r>
      <w:r>
        <w:rPr>
          <w:color w:val="auto"/>
          <w:highlight w:val="none"/>
        </w:rPr>
        <w:fldChar w:fldCharType="begin"/>
      </w:r>
      <w:r>
        <w:rPr>
          <w:color w:val="auto"/>
          <w:highlight w:val="none"/>
        </w:rPr>
        <w:instrText xml:space="preserve"> PAGEREF _Toc32409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3E5B11A9">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_Toc22988 </w:instrText>
      </w:r>
      <w:r>
        <w:rPr>
          <w:color w:val="auto"/>
          <w:highlight w:val="none"/>
        </w:rPr>
        <w:fldChar w:fldCharType="separate"/>
      </w:r>
      <w:r>
        <w:rPr>
          <w:color w:val="auto"/>
          <w:highlight w:val="none"/>
        </w:rPr>
        <w:t xml:space="preserve">1.7 </w:t>
      </w:r>
      <w:r>
        <w:rPr>
          <w:rFonts w:hint="eastAsia" w:cs="黑体"/>
          <w:color w:val="auto"/>
          <w:highlight w:val="none"/>
        </w:rPr>
        <w:t>语言文字</w:t>
      </w:r>
      <w:r>
        <w:rPr>
          <w:color w:val="auto"/>
          <w:highlight w:val="none"/>
        </w:rPr>
        <w:tab/>
      </w:r>
      <w:r>
        <w:rPr>
          <w:color w:val="auto"/>
          <w:highlight w:val="none"/>
        </w:rPr>
        <w:fldChar w:fldCharType="begin"/>
      </w:r>
      <w:r>
        <w:rPr>
          <w:color w:val="auto"/>
          <w:highlight w:val="none"/>
        </w:rPr>
        <w:instrText xml:space="preserve"> PAGEREF _Toc22988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163012DC">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_Toc2701 </w:instrText>
      </w:r>
      <w:r>
        <w:rPr>
          <w:color w:val="auto"/>
          <w:highlight w:val="none"/>
        </w:rPr>
        <w:fldChar w:fldCharType="separate"/>
      </w:r>
      <w:r>
        <w:rPr>
          <w:color w:val="auto"/>
          <w:highlight w:val="none"/>
        </w:rPr>
        <w:t xml:space="preserve">1.8 </w:t>
      </w:r>
      <w:r>
        <w:rPr>
          <w:rFonts w:hint="eastAsia" w:cs="黑体"/>
          <w:color w:val="auto"/>
          <w:highlight w:val="none"/>
        </w:rPr>
        <w:t>计量单位</w:t>
      </w:r>
      <w:r>
        <w:rPr>
          <w:color w:val="auto"/>
          <w:highlight w:val="none"/>
        </w:rPr>
        <w:tab/>
      </w:r>
      <w:r>
        <w:rPr>
          <w:color w:val="auto"/>
          <w:highlight w:val="none"/>
        </w:rPr>
        <w:fldChar w:fldCharType="begin"/>
      </w:r>
      <w:r>
        <w:rPr>
          <w:color w:val="auto"/>
          <w:highlight w:val="none"/>
        </w:rPr>
        <w:instrText xml:space="preserve"> PAGEREF _Toc2701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21E6F773">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_Toc29869 </w:instrText>
      </w:r>
      <w:r>
        <w:rPr>
          <w:color w:val="auto"/>
          <w:highlight w:val="none"/>
        </w:rPr>
        <w:fldChar w:fldCharType="separate"/>
      </w:r>
      <w:r>
        <w:rPr>
          <w:color w:val="auto"/>
          <w:highlight w:val="none"/>
        </w:rPr>
        <w:t xml:space="preserve">1.9 </w:t>
      </w:r>
      <w:r>
        <w:rPr>
          <w:rFonts w:hint="eastAsia" w:cs="黑体"/>
          <w:color w:val="auto"/>
          <w:highlight w:val="none"/>
        </w:rPr>
        <w:t>踏勘现场</w:t>
      </w:r>
      <w:r>
        <w:rPr>
          <w:color w:val="auto"/>
          <w:highlight w:val="none"/>
        </w:rPr>
        <w:tab/>
      </w:r>
      <w:r>
        <w:rPr>
          <w:color w:val="auto"/>
          <w:highlight w:val="none"/>
        </w:rPr>
        <w:fldChar w:fldCharType="begin"/>
      </w:r>
      <w:r>
        <w:rPr>
          <w:color w:val="auto"/>
          <w:highlight w:val="none"/>
        </w:rPr>
        <w:instrText xml:space="preserve"> PAGEREF _Toc29869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151733D2">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_Toc14039 </w:instrText>
      </w:r>
      <w:r>
        <w:rPr>
          <w:color w:val="auto"/>
          <w:highlight w:val="none"/>
        </w:rPr>
        <w:fldChar w:fldCharType="separate"/>
      </w:r>
      <w:r>
        <w:rPr>
          <w:color w:val="auto"/>
          <w:highlight w:val="none"/>
        </w:rPr>
        <w:t xml:space="preserve">1.10 </w:t>
      </w:r>
      <w:r>
        <w:rPr>
          <w:rFonts w:hint="eastAsia" w:cs="黑体"/>
          <w:color w:val="auto"/>
          <w:highlight w:val="none"/>
        </w:rPr>
        <w:t>投标预备会</w:t>
      </w:r>
      <w:r>
        <w:rPr>
          <w:color w:val="auto"/>
          <w:highlight w:val="none"/>
        </w:rPr>
        <w:tab/>
      </w:r>
      <w:r>
        <w:rPr>
          <w:color w:val="auto"/>
          <w:highlight w:val="none"/>
        </w:rPr>
        <w:fldChar w:fldCharType="begin"/>
      </w:r>
      <w:r>
        <w:rPr>
          <w:color w:val="auto"/>
          <w:highlight w:val="none"/>
        </w:rPr>
        <w:instrText xml:space="preserve"> PAGEREF _Toc14039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37CAE131">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_Toc19880 </w:instrText>
      </w:r>
      <w:r>
        <w:rPr>
          <w:color w:val="auto"/>
          <w:highlight w:val="none"/>
        </w:rPr>
        <w:fldChar w:fldCharType="separate"/>
      </w:r>
      <w:r>
        <w:rPr>
          <w:color w:val="auto"/>
          <w:highlight w:val="none"/>
        </w:rPr>
        <w:t xml:space="preserve">1.11 </w:t>
      </w:r>
      <w:r>
        <w:rPr>
          <w:rFonts w:hint="eastAsia" w:cs="黑体"/>
          <w:color w:val="auto"/>
          <w:highlight w:val="none"/>
        </w:rPr>
        <w:t>分包</w:t>
      </w:r>
      <w:r>
        <w:rPr>
          <w:color w:val="auto"/>
          <w:highlight w:val="none"/>
        </w:rPr>
        <w:tab/>
      </w:r>
      <w:r>
        <w:rPr>
          <w:color w:val="auto"/>
          <w:highlight w:val="none"/>
        </w:rPr>
        <w:fldChar w:fldCharType="begin"/>
      </w:r>
      <w:r>
        <w:rPr>
          <w:color w:val="auto"/>
          <w:highlight w:val="none"/>
        </w:rPr>
        <w:instrText xml:space="preserve"> PAGEREF _Toc19880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53674A82">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_Toc5240 </w:instrText>
      </w:r>
      <w:r>
        <w:rPr>
          <w:color w:val="auto"/>
          <w:highlight w:val="none"/>
        </w:rPr>
        <w:fldChar w:fldCharType="separate"/>
      </w:r>
      <w:r>
        <w:rPr>
          <w:color w:val="auto"/>
          <w:highlight w:val="none"/>
        </w:rPr>
        <w:t xml:space="preserve">1.12 </w:t>
      </w:r>
      <w:r>
        <w:rPr>
          <w:rFonts w:hint="eastAsia" w:cs="黑体"/>
          <w:color w:val="auto"/>
          <w:highlight w:val="none"/>
        </w:rPr>
        <w:t>偏离</w:t>
      </w:r>
      <w:r>
        <w:rPr>
          <w:color w:val="auto"/>
          <w:highlight w:val="none"/>
        </w:rPr>
        <w:tab/>
      </w:r>
      <w:r>
        <w:rPr>
          <w:color w:val="auto"/>
          <w:highlight w:val="none"/>
        </w:rPr>
        <w:fldChar w:fldCharType="begin"/>
      </w:r>
      <w:r>
        <w:rPr>
          <w:color w:val="auto"/>
          <w:highlight w:val="none"/>
        </w:rPr>
        <w:instrText xml:space="preserve"> PAGEREF _Toc5240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07973992">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_Toc29871 </w:instrText>
      </w:r>
      <w:r>
        <w:rPr>
          <w:color w:val="auto"/>
          <w:highlight w:val="none"/>
        </w:rPr>
        <w:fldChar w:fldCharType="separate"/>
      </w:r>
      <w:r>
        <w:rPr>
          <w:color w:val="auto"/>
          <w:highlight w:val="none"/>
        </w:rPr>
        <w:t xml:space="preserve">2 </w:t>
      </w:r>
      <w:r>
        <w:rPr>
          <w:rFonts w:hint="eastAsia" w:cs="黑体"/>
          <w:color w:val="auto"/>
          <w:highlight w:val="none"/>
        </w:rPr>
        <w:t>招标文件</w:t>
      </w:r>
      <w:r>
        <w:rPr>
          <w:color w:val="auto"/>
          <w:highlight w:val="none"/>
        </w:rPr>
        <w:tab/>
      </w:r>
      <w:r>
        <w:rPr>
          <w:color w:val="auto"/>
          <w:highlight w:val="none"/>
        </w:rPr>
        <w:fldChar w:fldCharType="begin"/>
      </w:r>
      <w:r>
        <w:rPr>
          <w:color w:val="auto"/>
          <w:highlight w:val="none"/>
        </w:rPr>
        <w:instrText xml:space="preserve"> PAGEREF _Toc29871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776BF790">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_Toc29381 </w:instrText>
      </w:r>
      <w:r>
        <w:rPr>
          <w:color w:val="auto"/>
          <w:highlight w:val="none"/>
        </w:rPr>
        <w:fldChar w:fldCharType="separate"/>
      </w:r>
      <w:r>
        <w:rPr>
          <w:color w:val="auto"/>
          <w:highlight w:val="none"/>
        </w:rPr>
        <w:t xml:space="preserve">2.1 </w:t>
      </w:r>
      <w:r>
        <w:rPr>
          <w:rFonts w:hint="eastAsia" w:cs="黑体"/>
          <w:color w:val="auto"/>
          <w:highlight w:val="none"/>
        </w:rPr>
        <w:t>招标文件的组成</w:t>
      </w:r>
      <w:r>
        <w:rPr>
          <w:color w:val="auto"/>
          <w:highlight w:val="none"/>
        </w:rPr>
        <w:tab/>
      </w:r>
      <w:r>
        <w:rPr>
          <w:color w:val="auto"/>
          <w:highlight w:val="none"/>
        </w:rPr>
        <w:fldChar w:fldCharType="begin"/>
      </w:r>
      <w:r>
        <w:rPr>
          <w:color w:val="auto"/>
          <w:highlight w:val="none"/>
        </w:rPr>
        <w:instrText xml:space="preserve"> PAGEREF _Toc29381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758A2D50">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_Toc9797 </w:instrText>
      </w:r>
      <w:r>
        <w:rPr>
          <w:color w:val="auto"/>
          <w:highlight w:val="none"/>
        </w:rPr>
        <w:fldChar w:fldCharType="separate"/>
      </w:r>
      <w:r>
        <w:rPr>
          <w:color w:val="auto"/>
          <w:highlight w:val="none"/>
        </w:rPr>
        <w:t xml:space="preserve">2.2 </w:t>
      </w:r>
      <w:r>
        <w:rPr>
          <w:rFonts w:hint="eastAsia" w:cs="黑体"/>
          <w:color w:val="auto"/>
          <w:highlight w:val="none"/>
        </w:rPr>
        <w:t>招标文件的澄清</w:t>
      </w:r>
      <w:r>
        <w:rPr>
          <w:color w:val="auto"/>
          <w:highlight w:val="none"/>
        </w:rPr>
        <w:tab/>
      </w:r>
      <w:r>
        <w:rPr>
          <w:color w:val="auto"/>
          <w:highlight w:val="none"/>
        </w:rPr>
        <w:fldChar w:fldCharType="begin"/>
      </w:r>
      <w:r>
        <w:rPr>
          <w:color w:val="auto"/>
          <w:highlight w:val="none"/>
        </w:rPr>
        <w:instrText xml:space="preserve"> PAGEREF _Toc9797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3A8E5148">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_Toc14386 </w:instrText>
      </w:r>
      <w:r>
        <w:rPr>
          <w:color w:val="auto"/>
          <w:highlight w:val="none"/>
        </w:rPr>
        <w:fldChar w:fldCharType="separate"/>
      </w:r>
      <w:r>
        <w:rPr>
          <w:color w:val="auto"/>
          <w:highlight w:val="none"/>
        </w:rPr>
        <w:t xml:space="preserve">2.3 </w:t>
      </w:r>
      <w:r>
        <w:rPr>
          <w:rFonts w:hint="eastAsia" w:cs="黑体"/>
          <w:color w:val="auto"/>
          <w:highlight w:val="none"/>
        </w:rPr>
        <w:t>招标文件的修改</w:t>
      </w:r>
      <w:r>
        <w:rPr>
          <w:color w:val="auto"/>
          <w:highlight w:val="none"/>
        </w:rPr>
        <w:tab/>
      </w:r>
      <w:r>
        <w:rPr>
          <w:color w:val="auto"/>
          <w:highlight w:val="none"/>
        </w:rPr>
        <w:fldChar w:fldCharType="begin"/>
      </w:r>
      <w:r>
        <w:rPr>
          <w:color w:val="auto"/>
          <w:highlight w:val="none"/>
        </w:rPr>
        <w:instrText xml:space="preserve"> PAGEREF _Toc14386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44CE3B64">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_Toc1314 </w:instrText>
      </w:r>
      <w:r>
        <w:rPr>
          <w:color w:val="auto"/>
          <w:highlight w:val="none"/>
        </w:rPr>
        <w:fldChar w:fldCharType="separate"/>
      </w:r>
      <w:r>
        <w:rPr>
          <w:color w:val="auto"/>
          <w:highlight w:val="none"/>
        </w:rPr>
        <w:t xml:space="preserve">3 </w:t>
      </w:r>
      <w:r>
        <w:rPr>
          <w:rFonts w:hint="eastAsia" w:cs="黑体"/>
          <w:color w:val="auto"/>
          <w:highlight w:val="none"/>
        </w:rPr>
        <w:t>投标文件</w:t>
      </w:r>
      <w:r>
        <w:rPr>
          <w:color w:val="auto"/>
          <w:highlight w:val="none"/>
        </w:rPr>
        <w:tab/>
      </w:r>
      <w:r>
        <w:rPr>
          <w:color w:val="auto"/>
          <w:highlight w:val="none"/>
        </w:rPr>
        <w:fldChar w:fldCharType="begin"/>
      </w:r>
      <w:r>
        <w:rPr>
          <w:color w:val="auto"/>
          <w:highlight w:val="none"/>
        </w:rPr>
        <w:instrText xml:space="preserve"> PAGEREF _Toc1314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04E39F93">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_Toc11444 </w:instrText>
      </w:r>
      <w:r>
        <w:rPr>
          <w:color w:val="auto"/>
          <w:highlight w:val="none"/>
        </w:rPr>
        <w:fldChar w:fldCharType="separate"/>
      </w:r>
      <w:r>
        <w:rPr>
          <w:color w:val="auto"/>
          <w:highlight w:val="none"/>
        </w:rPr>
        <w:t xml:space="preserve">3.1 </w:t>
      </w:r>
      <w:r>
        <w:rPr>
          <w:rFonts w:hint="eastAsia" w:cs="黑体"/>
          <w:color w:val="auto"/>
          <w:highlight w:val="none"/>
        </w:rPr>
        <w:t>投标文件的组成</w:t>
      </w:r>
      <w:r>
        <w:rPr>
          <w:color w:val="auto"/>
          <w:highlight w:val="none"/>
        </w:rPr>
        <w:tab/>
      </w:r>
      <w:r>
        <w:rPr>
          <w:color w:val="auto"/>
          <w:highlight w:val="none"/>
        </w:rPr>
        <w:fldChar w:fldCharType="begin"/>
      </w:r>
      <w:r>
        <w:rPr>
          <w:color w:val="auto"/>
          <w:highlight w:val="none"/>
        </w:rPr>
        <w:instrText xml:space="preserve"> PAGEREF _Toc11444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0B52A0E5">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_Toc23559 </w:instrText>
      </w:r>
      <w:r>
        <w:rPr>
          <w:color w:val="auto"/>
          <w:highlight w:val="none"/>
        </w:rPr>
        <w:fldChar w:fldCharType="separate"/>
      </w:r>
      <w:r>
        <w:rPr>
          <w:color w:val="auto"/>
          <w:highlight w:val="none"/>
        </w:rPr>
        <w:t xml:space="preserve">3.2 </w:t>
      </w:r>
      <w:r>
        <w:rPr>
          <w:rFonts w:hint="eastAsia" w:cs="黑体"/>
          <w:color w:val="auto"/>
          <w:highlight w:val="none"/>
        </w:rPr>
        <w:t>投标报价</w:t>
      </w:r>
      <w:r>
        <w:rPr>
          <w:color w:val="auto"/>
          <w:highlight w:val="none"/>
        </w:rPr>
        <w:tab/>
      </w:r>
      <w:r>
        <w:rPr>
          <w:color w:val="auto"/>
          <w:highlight w:val="none"/>
        </w:rPr>
        <w:fldChar w:fldCharType="begin"/>
      </w:r>
      <w:r>
        <w:rPr>
          <w:color w:val="auto"/>
          <w:highlight w:val="none"/>
        </w:rPr>
        <w:instrText xml:space="preserve"> PAGEREF _Toc23559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33760E0B">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_Toc10341 </w:instrText>
      </w:r>
      <w:r>
        <w:rPr>
          <w:color w:val="auto"/>
          <w:highlight w:val="none"/>
        </w:rPr>
        <w:fldChar w:fldCharType="separate"/>
      </w:r>
      <w:r>
        <w:rPr>
          <w:color w:val="auto"/>
          <w:highlight w:val="none"/>
        </w:rPr>
        <w:t xml:space="preserve">3.3 </w:t>
      </w:r>
      <w:r>
        <w:rPr>
          <w:rFonts w:hint="eastAsia" w:cs="黑体"/>
          <w:color w:val="auto"/>
          <w:highlight w:val="none"/>
        </w:rPr>
        <w:t>投标有效期</w:t>
      </w:r>
      <w:r>
        <w:rPr>
          <w:color w:val="auto"/>
          <w:highlight w:val="none"/>
        </w:rPr>
        <w:tab/>
      </w:r>
      <w:r>
        <w:rPr>
          <w:color w:val="auto"/>
          <w:highlight w:val="none"/>
        </w:rPr>
        <w:fldChar w:fldCharType="begin"/>
      </w:r>
      <w:r>
        <w:rPr>
          <w:color w:val="auto"/>
          <w:highlight w:val="none"/>
        </w:rPr>
        <w:instrText xml:space="preserve"> PAGEREF _Toc10341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21522DDC">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_Toc3830 </w:instrText>
      </w:r>
      <w:r>
        <w:rPr>
          <w:color w:val="auto"/>
          <w:highlight w:val="none"/>
        </w:rPr>
        <w:fldChar w:fldCharType="separate"/>
      </w:r>
      <w:r>
        <w:rPr>
          <w:color w:val="auto"/>
          <w:highlight w:val="none"/>
        </w:rPr>
        <w:t xml:space="preserve">3.4 </w:t>
      </w:r>
      <w:r>
        <w:rPr>
          <w:rFonts w:hint="eastAsia" w:cs="黑体"/>
          <w:color w:val="auto"/>
          <w:highlight w:val="none"/>
        </w:rPr>
        <w:t>投标保证金</w:t>
      </w:r>
      <w:r>
        <w:rPr>
          <w:color w:val="auto"/>
          <w:highlight w:val="none"/>
        </w:rPr>
        <w:tab/>
      </w:r>
      <w:r>
        <w:rPr>
          <w:color w:val="auto"/>
          <w:highlight w:val="none"/>
        </w:rPr>
        <w:fldChar w:fldCharType="begin"/>
      </w:r>
      <w:r>
        <w:rPr>
          <w:color w:val="auto"/>
          <w:highlight w:val="none"/>
        </w:rPr>
        <w:instrText xml:space="preserve"> PAGEREF _Toc3830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7ADAA752">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_Toc10290 </w:instrText>
      </w:r>
      <w:r>
        <w:rPr>
          <w:color w:val="auto"/>
          <w:highlight w:val="none"/>
        </w:rPr>
        <w:fldChar w:fldCharType="separate"/>
      </w:r>
      <w:r>
        <w:rPr>
          <w:color w:val="auto"/>
          <w:highlight w:val="none"/>
        </w:rPr>
        <w:t xml:space="preserve">3.5 </w:t>
      </w:r>
      <w:r>
        <w:rPr>
          <w:rFonts w:hint="eastAsia" w:cs="黑体"/>
          <w:color w:val="auto"/>
          <w:highlight w:val="none"/>
        </w:rPr>
        <w:t>备选投标方案</w:t>
      </w:r>
      <w:r>
        <w:rPr>
          <w:color w:val="auto"/>
          <w:highlight w:val="none"/>
        </w:rPr>
        <w:tab/>
      </w:r>
      <w:r>
        <w:rPr>
          <w:color w:val="auto"/>
          <w:highlight w:val="none"/>
        </w:rPr>
        <w:fldChar w:fldCharType="begin"/>
      </w:r>
      <w:r>
        <w:rPr>
          <w:color w:val="auto"/>
          <w:highlight w:val="none"/>
        </w:rPr>
        <w:instrText xml:space="preserve"> PAGEREF _Toc10290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06F1AFAC">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_Toc9700 </w:instrText>
      </w:r>
      <w:r>
        <w:rPr>
          <w:color w:val="auto"/>
          <w:highlight w:val="none"/>
        </w:rPr>
        <w:fldChar w:fldCharType="separate"/>
      </w:r>
      <w:r>
        <w:rPr>
          <w:color w:val="auto"/>
          <w:highlight w:val="none"/>
        </w:rPr>
        <w:t xml:space="preserve">3.6 </w:t>
      </w:r>
      <w:r>
        <w:rPr>
          <w:rFonts w:hint="eastAsia" w:cs="黑体"/>
          <w:color w:val="auto"/>
          <w:highlight w:val="none"/>
        </w:rPr>
        <w:t>投标文件的编制</w:t>
      </w:r>
      <w:r>
        <w:rPr>
          <w:color w:val="auto"/>
          <w:highlight w:val="none"/>
        </w:rPr>
        <w:tab/>
      </w:r>
      <w:r>
        <w:rPr>
          <w:color w:val="auto"/>
          <w:highlight w:val="none"/>
        </w:rPr>
        <w:fldChar w:fldCharType="begin"/>
      </w:r>
      <w:r>
        <w:rPr>
          <w:color w:val="auto"/>
          <w:highlight w:val="none"/>
        </w:rPr>
        <w:instrText xml:space="preserve"> PAGEREF _Toc9700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4EE70492">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_Toc13 </w:instrText>
      </w:r>
      <w:r>
        <w:rPr>
          <w:color w:val="auto"/>
          <w:highlight w:val="none"/>
        </w:rPr>
        <w:fldChar w:fldCharType="separate"/>
      </w:r>
      <w:r>
        <w:rPr>
          <w:color w:val="auto"/>
          <w:highlight w:val="none"/>
        </w:rPr>
        <w:t xml:space="preserve">4 </w:t>
      </w:r>
      <w:r>
        <w:rPr>
          <w:rFonts w:hint="eastAsia" w:cs="黑体"/>
          <w:color w:val="auto"/>
          <w:highlight w:val="none"/>
        </w:rPr>
        <w:t>投标</w:t>
      </w:r>
      <w:r>
        <w:rPr>
          <w:color w:val="auto"/>
          <w:highlight w:val="none"/>
        </w:rPr>
        <w:tab/>
      </w:r>
      <w:r>
        <w:rPr>
          <w:color w:val="auto"/>
          <w:highlight w:val="none"/>
        </w:rPr>
        <w:fldChar w:fldCharType="begin"/>
      </w:r>
      <w:r>
        <w:rPr>
          <w:color w:val="auto"/>
          <w:highlight w:val="none"/>
        </w:rPr>
        <w:instrText xml:space="preserve"> PAGEREF _Toc13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59F9DF7D">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_Toc10625 </w:instrText>
      </w:r>
      <w:r>
        <w:rPr>
          <w:color w:val="auto"/>
          <w:highlight w:val="none"/>
        </w:rPr>
        <w:fldChar w:fldCharType="separate"/>
      </w:r>
      <w:r>
        <w:rPr>
          <w:color w:val="auto"/>
          <w:highlight w:val="none"/>
        </w:rPr>
        <w:t>4.</w:t>
      </w:r>
      <w:r>
        <w:rPr>
          <w:rFonts w:hint="eastAsia"/>
          <w:color w:val="auto"/>
          <w:highlight w:val="none"/>
        </w:rPr>
        <w:t>1</w:t>
      </w:r>
      <w:r>
        <w:rPr>
          <w:rFonts w:hint="eastAsia" w:cs="黑体"/>
          <w:color w:val="auto"/>
          <w:highlight w:val="none"/>
        </w:rPr>
        <w:t>投标文件的加密和数字证书认证</w:t>
      </w:r>
      <w:r>
        <w:rPr>
          <w:color w:val="auto"/>
          <w:highlight w:val="none"/>
        </w:rPr>
        <w:tab/>
      </w:r>
      <w:r>
        <w:rPr>
          <w:color w:val="auto"/>
          <w:highlight w:val="none"/>
        </w:rPr>
        <w:fldChar w:fldCharType="begin"/>
      </w:r>
      <w:r>
        <w:rPr>
          <w:color w:val="auto"/>
          <w:highlight w:val="none"/>
        </w:rPr>
        <w:instrText xml:space="preserve"> PAGEREF _Toc10625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673F34CA">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_Toc12364 </w:instrText>
      </w:r>
      <w:r>
        <w:rPr>
          <w:color w:val="auto"/>
          <w:highlight w:val="none"/>
        </w:rPr>
        <w:fldChar w:fldCharType="separate"/>
      </w:r>
      <w:r>
        <w:rPr>
          <w:color w:val="auto"/>
          <w:highlight w:val="none"/>
        </w:rPr>
        <w:t>4.</w:t>
      </w:r>
      <w:r>
        <w:rPr>
          <w:rFonts w:hint="eastAsia"/>
          <w:color w:val="auto"/>
          <w:highlight w:val="none"/>
          <w:lang w:val="en-US"/>
        </w:rPr>
        <w:t>2</w:t>
      </w:r>
      <w:r>
        <w:rPr>
          <w:color w:val="auto"/>
          <w:highlight w:val="none"/>
        </w:rPr>
        <w:t xml:space="preserve"> </w:t>
      </w:r>
      <w:r>
        <w:rPr>
          <w:rFonts w:hint="eastAsia" w:cs="黑体"/>
          <w:color w:val="auto"/>
          <w:highlight w:val="none"/>
        </w:rPr>
        <w:t>未加密的电子投标文件U盘</w:t>
      </w:r>
      <w:r>
        <w:rPr>
          <w:color w:val="auto"/>
          <w:highlight w:val="none"/>
        </w:rPr>
        <w:tab/>
      </w:r>
      <w:r>
        <w:rPr>
          <w:color w:val="auto"/>
          <w:highlight w:val="none"/>
        </w:rPr>
        <w:fldChar w:fldCharType="begin"/>
      </w:r>
      <w:r>
        <w:rPr>
          <w:color w:val="auto"/>
          <w:highlight w:val="none"/>
        </w:rPr>
        <w:instrText xml:space="preserve"> PAGEREF _Toc12364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1C3F998D">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_Toc20904 </w:instrText>
      </w:r>
      <w:r>
        <w:rPr>
          <w:color w:val="auto"/>
          <w:highlight w:val="none"/>
        </w:rPr>
        <w:fldChar w:fldCharType="separate"/>
      </w:r>
      <w:r>
        <w:rPr>
          <w:color w:val="auto"/>
          <w:highlight w:val="none"/>
        </w:rPr>
        <w:t>4.</w:t>
      </w:r>
      <w:r>
        <w:rPr>
          <w:rFonts w:hint="eastAsia"/>
          <w:color w:val="auto"/>
          <w:highlight w:val="none"/>
          <w:lang w:val="en-US"/>
        </w:rPr>
        <w:t>3</w:t>
      </w:r>
      <w:r>
        <w:rPr>
          <w:color w:val="auto"/>
          <w:highlight w:val="none"/>
        </w:rPr>
        <w:t xml:space="preserve"> </w:t>
      </w:r>
      <w:r>
        <w:rPr>
          <w:rFonts w:hint="eastAsia" w:cs="黑体"/>
          <w:color w:val="auto"/>
          <w:highlight w:val="none"/>
        </w:rPr>
        <w:t>投标文件的</w:t>
      </w:r>
      <w:r>
        <w:rPr>
          <w:rFonts w:hint="eastAsia" w:cs="黑体"/>
          <w:color w:val="auto"/>
          <w:highlight w:val="none"/>
          <w:lang w:eastAsia="zh-CN"/>
        </w:rPr>
        <w:t>提</w:t>
      </w:r>
      <w:r>
        <w:rPr>
          <w:rFonts w:hint="eastAsia" w:cs="黑体"/>
          <w:color w:val="auto"/>
          <w:highlight w:val="none"/>
        </w:rPr>
        <w:t>交</w:t>
      </w:r>
      <w:r>
        <w:rPr>
          <w:color w:val="auto"/>
          <w:highlight w:val="none"/>
        </w:rPr>
        <w:tab/>
      </w:r>
      <w:r>
        <w:rPr>
          <w:color w:val="auto"/>
          <w:highlight w:val="none"/>
        </w:rPr>
        <w:fldChar w:fldCharType="begin"/>
      </w:r>
      <w:r>
        <w:rPr>
          <w:color w:val="auto"/>
          <w:highlight w:val="none"/>
        </w:rPr>
        <w:instrText xml:space="preserve"> PAGEREF _Toc20904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1A3366A8">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_Toc20170 </w:instrText>
      </w:r>
      <w:r>
        <w:rPr>
          <w:color w:val="auto"/>
          <w:highlight w:val="none"/>
        </w:rPr>
        <w:fldChar w:fldCharType="separate"/>
      </w:r>
      <w:r>
        <w:rPr>
          <w:color w:val="auto"/>
          <w:highlight w:val="none"/>
        </w:rPr>
        <w:t>4.</w:t>
      </w:r>
      <w:r>
        <w:rPr>
          <w:rFonts w:hint="eastAsia"/>
          <w:color w:val="auto"/>
          <w:highlight w:val="none"/>
          <w:lang w:val="en-US"/>
        </w:rPr>
        <w:t>4</w:t>
      </w:r>
      <w:r>
        <w:rPr>
          <w:color w:val="auto"/>
          <w:highlight w:val="none"/>
        </w:rPr>
        <w:t xml:space="preserve"> </w:t>
      </w:r>
      <w:r>
        <w:rPr>
          <w:rFonts w:hint="eastAsia" w:cs="黑体"/>
          <w:color w:val="auto"/>
          <w:highlight w:val="none"/>
        </w:rPr>
        <w:t>投标文件的修改与撤回</w:t>
      </w:r>
      <w:r>
        <w:rPr>
          <w:color w:val="auto"/>
          <w:highlight w:val="none"/>
        </w:rPr>
        <w:tab/>
      </w:r>
      <w:r>
        <w:rPr>
          <w:color w:val="auto"/>
          <w:highlight w:val="none"/>
        </w:rPr>
        <w:fldChar w:fldCharType="begin"/>
      </w:r>
      <w:r>
        <w:rPr>
          <w:color w:val="auto"/>
          <w:highlight w:val="none"/>
        </w:rPr>
        <w:instrText xml:space="preserve"> PAGEREF _Toc20170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2DE7B165">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_Toc27761 </w:instrText>
      </w:r>
      <w:r>
        <w:rPr>
          <w:color w:val="auto"/>
          <w:highlight w:val="none"/>
        </w:rPr>
        <w:fldChar w:fldCharType="separate"/>
      </w:r>
      <w:r>
        <w:rPr>
          <w:color w:val="auto"/>
          <w:highlight w:val="none"/>
        </w:rPr>
        <w:t xml:space="preserve">5 </w:t>
      </w:r>
      <w:r>
        <w:rPr>
          <w:rFonts w:hint="eastAsia" w:cs="黑体"/>
          <w:color w:val="auto"/>
          <w:highlight w:val="none"/>
        </w:rPr>
        <w:t>开标</w:t>
      </w:r>
      <w:r>
        <w:rPr>
          <w:color w:val="auto"/>
          <w:highlight w:val="none"/>
        </w:rPr>
        <w:tab/>
      </w:r>
      <w:r>
        <w:rPr>
          <w:color w:val="auto"/>
          <w:highlight w:val="none"/>
        </w:rPr>
        <w:fldChar w:fldCharType="begin"/>
      </w:r>
      <w:r>
        <w:rPr>
          <w:color w:val="auto"/>
          <w:highlight w:val="none"/>
        </w:rPr>
        <w:instrText xml:space="preserve"> PAGEREF _Toc27761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3F51F04C">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_Toc27207 </w:instrText>
      </w:r>
      <w:r>
        <w:rPr>
          <w:color w:val="auto"/>
          <w:highlight w:val="none"/>
        </w:rPr>
        <w:fldChar w:fldCharType="separate"/>
      </w:r>
      <w:r>
        <w:rPr>
          <w:color w:val="auto"/>
          <w:highlight w:val="none"/>
        </w:rPr>
        <w:t xml:space="preserve">5.1 </w:t>
      </w:r>
      <w:r>
        <w:rPr>
          <w:rFonts w:hint="eastAsia" w:cs="黑体"/>
          <w:color w:val="auto"/>
          <w:highlight w:val="none"/>
        </w:rPr>
        <w:t>开标时间和地点</w:t>
      </w:r>
      <w:r>
        <w:rPr>
          <w:color w:val="auto"/>
          <w:highlight w:val="none"/>
        </w:rPr>
        <w:tab/>
      </w:r>
      <w:r>
        <w:rPr>
          <w:color w:val="auto"/>
          <w:highlight w:val="none"/>
        </w:rPr>
        <w:fldChar w:fldCharType="begin"/>
      </w:r>
      <w:r>
        <w:rPr>
          <w:color w:val="auto"/>
          <w:highlight w:val="none"/>
        </w:rPr>
        <w:instrText xml:space="preserve"> PAGEREF _Toc27207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0975B27D">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_Toc27288 </w:instrText>
      </w:r>
      <w:r>
        <w:rPr>
          <w:color w:val="auto"/>
          <w:highlight w:val="none"/>
        </w:rPr>
        <w:fldChar w:fldCharType="separate"/>
      </w:r>
      <w:r>
        <w:rPr>
          <w:color w:val="auto"/>
          <w:highlight w:val="none"/>
        </w:rPr>
        <w:t xml:space="preserve">5.2 </w:t>
      </w:r>
      <w:r>
        <w:rPr>
          <w:rFonts w:hint="eastAsia" w:cs="黑体"/>
          <w:color w:val="auto"/>
          <w:highlight w:val="none"/>
        </w:rPr>
        <w:t>开标程序</w:t>
      </w:r>
      <w:r>
        <w:rPr>
          <w:color w:val="auto"/>
          <w:highlight w:val="none"/>
        </w:rPr>
        <w:tab/>
      </w:r>
      <w:r>
        <w:rPr>
          <w:color w:val="auto"/>
          <w:highlight w:val="none"/>
        </w:rPr>
        <w:fldChar w:fldCharType="begin"/>
      </w:r>
      <w:r>
        <w:rPr>
          <w:color w:val="auto"/>
          <w:highlight w:val="none"/>
        </w:rPr>
        <w:instrText xml:space="preserve"> PAGEREF _Toc27288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56B1188C">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_Toc16796 </w:instrText>
      </w:r>
      <w:r>
        <w:rPr>
          <w:color w:val="auto"/>
          <w:highlight w:val="none"/>
        </w:rPr>
        <w:fldChar w:fldCharType="separate"/>
      </w:r>
      <w:r>
        <w:rPr>
          <w:color w:val="auto"/>
          <w:highlight w:val="none"/>
        </w:rPr>
        <w:t>5.3</w:t>
      </w:r>
      <w:r>
        <w:rPr>
          <w:rFonts w:hint="eastAsia" w:hAnsi="宋体" w:cs="黑体"/>
          <w:color w:val="auto"/>
          <w:highlight w:val="none"/>
        </w:rPr>
        <w:t>电子开标的应急措施</w:t>
      </w:r>
      <w:r>
        <w:rPr>
          <w:color w:val="auto"/>
          <w:highlight w:val="none"/>
        </w:rPr>
        <w:tab/>
      </w:r>
      <w:r>
        <w:rPr>
          <w:color w:val="auto"/>
          <w:highlight w:val="none"/>
        </w:rPr>
        <w:fldChar w:fldCharType="begin"/>
      </w:r>
      <w:r>
        <w:rPr>
          <w:color w:val="auto"/>
          <w:highlight w:val="none"/>
        </w:rPr>
        <w:instrText xml:space="preserve"> PAGEREF _Toc16796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5F9B4D3B">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_Toc9304 </w:instrText>
      </w:r>
      <w:r>
        <w:rPr>
          <w:color w:val="auto"/>
          <w:highlight w:val="none"/>
        </w:rPr>
        <w:fldChar w:fldCharType="separate"/>
      </w:r>
      <w:r>
        <w:rPr>
          <w:color w:val="auto"/>
          <w:highlight w:val="none"/>
        </w:rPr>
        <w:t xml:space="preserve">5.4 </w:t>
      </w:r>
      <w:r>
        <w:rPr>
          <w:rFonts w:hint="eastAsia" w:cs="黑体"/>
          <w:color w:val="auto"/>
          <w:highlight w:val="none"/>
        </w:rPr>
        <w:t>不予开标</w:t>
      </w:r>
      <w:r>
        <w:rPr>
          <w:color w:val="auto"/>
          <w:highlight w:val="none"/>
        </w:rPr>
        <w:tab/>
      </w:r>
      <w:r>
        <w:rPr>
          <w:color w:val="auto"/>
          <w:highlight w:val="none"/>
        </w:rPr>
        <w:fldChar w:fldCharType="begin"/>
      </w:r>
      <w:r>
        <w:rPr>
          <w:color w:val="auto"/>
          <w:highlight w:val="none"/>
        </w:rPr>
        <w:instrText xml:space="preserve"> PAGEREF _Toc9304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778A667D">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_Toc13758 </w:instrText>
      </w:r>
      <w:r>
        <w:rPr>
          <w:color w:val="auto"/>
          <w:highlight w:val="none"/>
        </w:rPr>
        <w:fldChar w:fldCharType="separate"/>
      </w:r>
      <w:r>
        <w:rPr>
          <w:color w:val="auto"/>
          <w:highlight w:val="none"/>
        </w:rPr>
        <w:t>5.</w:t>
      </w:r>
      <w:r>
        <w:rPr>
          <w:color w:val="auto"/>
          <w:highlight w:val="none"/>
          <w:lang w:val="en-US"/>
        </w:rPr>
        <w:t>5</w:t>
      </w:r>
      <w:r>
        <w:rPr>
          <w:color w:val="auto"/>
          <w:highlight w:val="none"/>
        </w:rPr>
        <w:t xml:space="preserve"> </w:t>
      </w:r>
      <w:r>
        <w:rPr>
          <w:rFonts w:hint="eastAsia" w:cs="黑体"/>
          <w:color w:val="auto"/>
          <w:highlight w:val="none"/>
        </w:rPr>
        <w:t>开标异议</w:t>
      </w:r>
      <w:r>
        <w:rPr>
          <w:color w:val="auto"/>
          <w:highlight w:val="none"/>
        </w:rPr>
        <w:tab/>
      </w:r>
      <w:r>
        <w:rPr>
          <w:color w:val="auto"/>
          <w:highlight w:val="none"/>
        </w:rPr>
        <w:fldChar w:fldCharType="begin"/>
      </w:r>
      <w:r>
        <w:rPr>
          <w:color w:val="auto"/>
          <w:highlight w:val="none"/>
        </w:rPr>
        <w:instrText xml:space="preserve"> PAGEREF _Toc13758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461C94BF">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_Toc16878 </w:instrText>
      </w:r>
      <w:r>
        <w:rPr>
          <w:color w:val="auto"/>
          <w:highlight w:val="none"/>
        </w:rPr>
        <w:fldChar w:fldCharType="separate"/>
      </w:r>
      <w:r>
        <w:rPr>
          <w:color w:val="auto"/>
          <w:highlight w:val="none"/>
        </w:rPr>
        <w:t xml:space="preserve">6 </w:t>
      </w:r>
      <w:r>
        <w:rPr>
          <w:rFonts w:hint="eastAsia" w:cs="黑体"/>
          <w:color w:val="auto"/>
          <w:highlight w:val="none"/>
        </w:rPr>
        <w:t>评标</w:t>
      </w:r>
      <w:r>
        <w:rPr>
          <w:color w:val="auto"/>
          <w:highlight w:val="none"/>
        </w:rPr>
        <w:tab/>
      </w:r>
      <w:r>
        <w:rPr>
          <w:color w:val="auto"/>
          <w:highlight w:val="none"/>
        </w:rPr>
        <w:fldChar w:fldCharType="begin"/>
      </w:r>
      <w:r>
        <w:rPr>
          <w:color w:val="auto"/>
          <w:highlight w:val="none"/>
        </w:rPr>
        <w:instrText xml:space="preserve"> PAGEREF _Toc16878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28C596CA">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_Toc21669 </w:instrText>
      </w:r>
      <w:r>
        <w:rPr>
          <w:color w:val="auto"/>
          <w:highlight w:val="none"/>
        </w:rPr>
        <w:fldChar w:fldCharType="separate"/>
      </w:r>
      <w:r>
        <w:rPr>
          <w:color w:val="auto"/>
          <w:highlight w:val="none"/>
        </w:rPr>
        <w:t xml:space="preserve">6.1 </w:t>
      </w:r>
      <w:r>
        <w:rPr>
          <w:rFonts w:hint="eastAsia" w:cs="黑体"/>
          <w:color w:val="auto"/>
          <w:highlight w:val="none"/>
        </w:rPr>
        <w:t>评标委员会</w:t>
      </w:r>
      <w:r>
        <w:rPr>
          <w:color w:val="auto"/>
          <w:highlight w:val="none"/>
        </w:rPr>
        <w:tab/>
      </w:r>
      <w:r>
        <w:rPr>
          <w:color w:val="auto"/>
          <w:highlight w:val="none"/>
        </w:rPr>
        <w:fldChar w:fldCharType="begin"/>
      </w:r>
      <w:r>
        <w:rPr>
          <w:color w:val="auto"/>
          <w:highlight w:val="none"/>
        </w:rPr>
        <w:instrText xml:space="preserve"> PAGEREF _Toc21669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580D2BD7">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_Toc19804 </w:instrText>
      </w:r>
      <w:r>
        <w:rPr>
          <w:color w:val="auto"/>
          <w:highlight w:val="none"/>
        </w:rPr>
        <w:fldChar w:fldCharType="separate"/>
      </w:r>
      <w:r>
        <w:rPr>
          <w:color w:val="auto"/>
          <w:highlight w:val="none"/>
        </w:rPr>
        <w:t xml:space="preserve">6.2 </w:t>
      </w:r>
      <w:r>
        <w:rPr>
          <w:rFonts w:hint="eastAsia" w:cs="黑体"/>
          <w:color w:val="auto"/>
          <w:highlight w:val="none"/>
        </w:rPr>
        <w:t>评标原则</w:t>
      </w:r>
      <w:r>
        <w:rPr>
          <w:color w:val="auto"/>
          <w:highlight w:val="none"/>
        </w:rPr>
        <w:tab/>
      </w:r>
      <w:r>
        <w:rPr>
          <w:color w:val="auto"/>
          <w:highlight w:val="none"/>
        </w:rPr>
        <w:fldChar w:fldCharType="begin"/>
      </w:r>
      <w:r>
        <w:rPr>
          <w:color w:val="auto"/>
          <w:highlight w:val="none"/>
        </w:rPr>
        <w:instrText xml:space="preserve"> PAGEREF _Toc19804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3B834A23">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_Toc3213 </w:instrText>
      </w:r>
      <w:r>
        <w:rPr>
          <w:color w:val="auto"/>
          <w:highlight w:val="none"/>
        </w:rPr>
        <w:fldChar w:fldCharType="separate"/>
      </w:r>
      <w:r>
        <w:rPr>
          <w:color w:val="auto"/>
          <w:highlight w:val="none"/>
        </w:rPr>
        <w:t xml:space="preserve">6.3 </w:t>
      </w:r>
      <w:r>
        <w:rPr>
          <w:rFonts w:hint="eastAsia" w:cs="黑体"/>
          <w:color w:val="auto"/>
          <w:highlight w:val="none"/>
        </w:rPr>
        <w:t>评标方式</w:t>
      </w:r>
      <w:r>
        <w:rPr>
          <w:color w:val="auto"/>
          <w:highlight w:val="none"/>
        </w:rPr>
        <w:tab/>
      </w:r>
      <w:r>
        <w:rPr>
          <w:color w:val="auto"/>
          <w:highlight w:val="none"/>
        </w:rPr>
        <w:fldChar w:fldCharType="begin"/>
      </w:r>
      <w:r>
        <w:rPr>
          <w:color w:val="auto"/>
          <w:highlight w:val="none"/>
        </w:rPr>
        <w:instrText xml:space="preserve"> PAGEREF _Toc3213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566ECFE0">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_Toc24363 </w:instrText>
      </w:r>
      <w:r>
        <w:rPr>
          <w:color w:val="auto"/>
          <w:highlight w:val="none"/>
        </w:rPr>
        <w:fldChar w:fldCharType="separate"/>
      </w:r>
      <w:r>
        <w:rPr>
          <w:color w:val="auto"/>
          <w:highlight w:val="none"/>
        </w:rPr>
        <w:t xml:space="preserve">6.4 </w:t>
      </w:r>
      <w:r>
        <w:rPr>
          <w:rFonts w:hint="eastAsia" w:cs="黑体"/>
          <w:color w:val="auto"/>
          <w:highlight w:val="none"/>
        </w:rPr>
        <w:t>移交评标资料</w:t>
      </w:r>
      <w:r>
        <w:rPr>
          <w:color w:val="auto"/>
          <w:highlight w:val="none"/>
        </w:rPr>
        <w:tab/>
      </w:r>
      <w:r>
        <w:rPr>
          <w:color w:val="auto"/>
          <w:highlight w:val="none"/>
        </w:rPr>
        <w:fldChar w:fldCharType="begin"/>
      </w:r>
      <w:r>
        <w:rPr>
          <w:color w:val="auto"/>
          <w:highlight w:val="none"/>
        </w:rPr>
        <w:instrText xml:space="preserve"> PAGEREF _Toc24363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2A35F4D7">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_Toc21041 </w:instrText>
      </w:r>
      <w:r>
        <w:rPr>
          <w:color w:val="auto"/>
          <w:highlight w:val="none"/>
        </w:rPr>
        <w:fldChar w:fldCharType="separate"/>
      </w:r>
      <w:r>
        <w:rPr>
          <w:color w:val="auto"/>
          <w:highlight w:val="none"/>
        </w:rPr>
        <w:t xml:space="preserve">6.5 </w:t>
      </w:r>
      <w:r>
        <w:rPr>
          <w:rFonts w:hint="eastAsia" w:cs="黑体"/>
          <w:color w:val="auto"/>
          <w:highlight w:val="none"/>
        </w:rPr>
        <w:t>评标资料封存和启封</w:t>
      </w:r>
      <w:r>
        <w:rPr>
          <w:color w:val="auto"/>
          <w:highlight w:val="none"/>
        </w:rPr>
        <w:tab/>
      </w:r>
      <w:r>
        <w:rPr>
          <w:color w:val="auto"/>
          <w:highlight w:val="none"/>
        </w:rPr>
        <w:fldChar w:fldCharType="begin"/>
      </w:r>
      <w:r>
        <w:rPr>
          <w:color w:val="auto"/>
          <w:highlight w:val="none"/>
        </w:rPr>
        <w:instrText xml:space="preserve"> PAGEREF _Toc21041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00447D5C">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_Toc9777 </w:instrText>
      </w:r>
      <w:r>
        <w:rPr>
          <w:color w:val="auto"/>
          <w:highlight w:val="none"/>
        </w:rPr>
        <w:fldChar w:fldCharType="separate"/>
      </w:r>
      <w:r>
        <w:rPr>
          <w:color w:val="auto"/>
          <w:highlight w:val="none"/>
        </w:rPr>
        <w:t xml:space="preserve">6.6 </w:t>
      </w:r>
      <w:r>
        <w:rPr>
          <w:rFonts w:hint="eastAsia" w:cs="黑体"/>
          <w:color w:val="auto"/>
          <w:highlight w:val="none"/>
        </w:rPr>
        <w:t>中标候选人公示</w:t>
      </w:r>
      <w:r>
        <w:rPr>
          <w:color w:val="auto"/>
          <w:highlight w:val="none"/>
        </w:rPr>
        <w:tab/>
      </w:r>
      <w:r>
        <w:rPr>
          <w:color w:val="auto"/>
          <w:highlight w:val="none"/>
        </w:rPr>
        <w:fldChar w:fldCharType="begin"/>
      </w:r>
      <w:r>
        <w:rPr>
          <w:color w:val="auto"/>
          <w:highlight w:val="none"/>
        </w:rPr>
        <w:instrText xml:space="preserve"> PAGEREF _Toc9777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22BD9CE5">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_Toc6638 </w:instrText>
      </w:r>
      <w:r>
        <w:rPr>
          <w:color w:val="auto"/>
          <w:highlight w:val="none"/>
        </w:rPr>
        <w:fldChar w:fldCharType="separate"/>
      </w:r>
      <w:r>
        <w:rPr>
          <w:color w:val="auto"/>
          <w:highlight w:val="none"/>
        </w:rPr>
        <w:t>6.7</w:t>
      </w:r>
      <w:r>
        <w:rPr>
          <w:rFonts w:hint="eastAsia" w:cs="黑体"/>
          <w:color w:val="auto"/>
          <w:highlight w:val="none"/>
        </w:rPr>
        <w:t>履约能力审查</w:t>
      </w:r>
      <w:r>
        <w:rPr>
          <w:color w:val="auto"/>
          <w:highlight w:val="none"/>
        </w:rPr>
        <w:tab/>
      </w:r>
      <w:r>
        <w:rPr>
          <w:color w:val="auto"/>
          <w:highlight w:val="none"/>
        </w:rPr>
        <w:fldChar w:fldCharType="begin"/>
      </w:r>
      <w:r>
        <w:rPr>
          <w:color w:val="auto"/>
          <w:highlight w:val="none"/>
        </w:rPr>
        <w:instrText xml:space="preserve"> PAGEREF _Toc6638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6AD3B612">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_Toc19118 </w:instrText>
      </w:r>
      <w:r>
        <w:rPr>
          <w:color w:val="auto"/>
          <w:highlight w:val="none"/>
        </w:rPr>
        <w:fldChar w:fldCharType="separate"/>
      </w:r>
      <w:r>
        <w:rPr>
          <w:color w:val="auto"/>
          <w:highlight w:val="none"/>
        </w:rPr>
        <w:t xml:space="preserve">7 </w:t>
      </w:r>
      <w:r>
        <w:rPr>
          <w:rFonts w:hint="eastAsia" w:cs="黑体"/>
          <w:color w:val="auto"/>
          <w:highlight w:val="none"/>
        </w:rPr>
        <w:t>合同授予</w:t>
      </w:r>
      <w:r>
        <w:rPr>
          <w:color w:val="auto"/>
          <w:highlight w:val="none"/>
        </w:rPr>
        <w:tab/>
      </w:r>
      <w:r>
        <w:rPr>
          <w:color w:val="auto"/>
          <w:highlight w:val="none"/>
        </w:rPr>
        <w:fldChar w:fldCharType="begin"/>
      </w:r>
      <w:r>
        <w:rPr>
          <w:color w:val="auto"/>
          <w:highlight w:val="none"/>
        </w:rPr>
        <w:instrText xml:space="preserve"> PAGEREF _Toc19118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3ED71517">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_Toc17139 </w:instrText>
      </w:r>
      <w:r>
        <w:rPr>
          <w:color w:val="auto"/>
          <w:highlight w:val="none"/>
        </w:rPr>
        <w:fldChar w:fldCharType="separate"/>
      </w:r>
      <w:r>
        <w:rPr>
          <w:color w:val="auto"/>
          <w:highlight w:val="none"/>
        </w:rPr>
        <w:t xml:space="preserve">7.1 </w:t>
      </w:r>
      <w:r>
        <w:rPr>
          <w:rFonts w:hint="eastAsia" w:cs="黑体"/>
          <w:color w:val="auto"/>
          <w:highlight w:val="none"/>
        </w:rPr>
        <w:t>定标方式</w:t>
      </w:r>
      <w:r>
        <w:rPr>
          <w:color w:val="auto"/>
          <w:highlight w:val="none"/>
        </w:rPr>
        <w:tab/>
      </w:r>
      <w:r>
        <w:rPr>
          <w:color w:val="auto"/>
          <w:highlight w:val="none"/>
        </w:rPr>
        <w:fldChar w:fldCharType="begin"/>
      </w:r>
      <w:r>
        <w:rPr>
          <w:color w:val="auto"/>
          <w:highlight w:val="none"/>
        </w:rPr>
        <w:instrText xml:space="preserve"> PAGEREF _Toc17139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73530616">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_Toc28484 </w:instrText>
      </w:r>
      <w:r>
        <w:rPr>
          <w:color w:val="auto"/>
          <w:highlight w:val="none"/>
        </w:rPr>
        <w:fldChar w:fldCharType="separate"/>
      </w:r>
      <w:r>
        <w:rPr>
          <w:color w:val="auto"/>
          <w:highlight w:val="none"/>
        </w:rPr>
        <w:t xml:space="preserve">7.2 </w:t>
      </w:r>
      <w:r>
        <w:rPr>
          <w:rFonts w:hint="eastAsia" w:cs="黑体"/>
          <w:color w:val="auto"/>
          <w:highlight w:val="none"/>
        </w:rPr>
        <w:t>中标通知及</w:t>
      </w:r>
      <w:r>
        <w:rPr>
          <w:rFonts w:hint="eastAsia" w:cs="黑体"/>
          <w:color w:val="auto"/>
          <w:highlight w:val="none"/>
          <w:lang w:eastAsia="zh-CN"/>
        </w:rPr>
        <w:t>中标结果公告</w:t>
      </w:r>
      <w:r>
        <w:rPr>
          <w:color w:val="auto"/>
          <w:highlight w:val="none"/>
        </w:rPr>
        <w:tab/>
      </w:r>
      <w:r>
        <w:rPr>
          <w:color w:val="auto"/>
          <w:highlight w:val="none"/>
        </w:rPr>
        <w:fldChar w:fldCharType="begin"/>
      </w:r>
      <w:r>
        <w:rPr>
          <w:color w:val="auto"/>
          <w:highlight w:val="none"/>
        </w:rPr>
        <w:instrText xml:space="preserve"> PAGEREF _Toc28484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4E507638">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_Toc19682 </w:instrText>
      </w:r>
      <w:r>
        <w:rPr>
          <w:color w:val="auto"/>
          <w:highlight w:val="none"/>
        </w:rPr>
        <w:fldChar w:fldCharType="separate"/>
      </w:r>
      <w:r>
        <w:rPr>
          <w:color w:val="auto"/>
          <w:highlight w:val="none"/>
        </w:rPr>
        <w:t xml:space="preserve">7.3 </w:t>
      </w:r>
      <w:r>
        <w:rPr>
          <w:rFonts w:hint="eastAsia" w:cs="黑体"/>
          <w:color w:val="auto"/>
          <w:highlight w:val="none"/>
        </w:rPr>
        <w:t>履约保证金</w:t>
      </w:r>
      <w:r>
        <w:rPr>
          <w:color w:val="auto"/>
          <w:highlight w:val="none"/>
        </w:rPr>
        <w:tab/>
      </w:r>
      <w:r>
        <w:rPr>
          <w:color w:val="auto"/>
          <w:highlight w:val="none"/>
        </w:rPr>
        <w:fldChar w:fldCharType="begin"/>
      </w:r>
      <w:r>
        <w:rPr>
          <w:color w:val="auto"/>
          <w:highlight w:val="none"/>
        </w:rPr>
        <w:instrText xml:space="preserve"> PAGEREF _Toc19682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6238941D">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_Toc26246 </w:instrText>
      </w:r>
      <w:r>
        <w:rPr>
          <w:color w:val="auto"/>
          <w:highlight w:val="none"/>
        </w:rPr>
        <w:fldChar w:fldCharType="separate"/>
      </w:r>
      <w:r>
        <w:rPr>
          <w:color w:val="auto"/>
          <w:highlight w:val="none"/>
        </w:rPr>
        <w:t>7.</w:t>
      </w:r>
      <w:r>
        <w:rPr>
          <w:rFonts w:hint="default"/>
          <w:color w:val="auto"/>
          <w:highlight w:val="none"/>
          <w:lang w:val="en-US"/>
        </w:rPr>
        <w:t>4</w:t>
      </w:r>
      <w:r>
        <w:rPr>
          <w:color w:val="auto"/>
          <w:highlight w:val="none"/>
        </w:rPr>
        <w:t xml:space="preserve"> </w:t>
      </w:r>
      <w:r>
        <w:rPr>
          <w:rFonts w:hint="eastAsia" w:cs="黑体"/>
          <w:color w:val="auto"/>
          <w:highlight w:val="none"/>
        </w:rPr>
        <w:t>签订合同</w:t>
      </w:r>
      <w:r>
        <w:rPr>
          <w:color w:val="auto"/>
          <w:highlight w:val="none"/>
        </w:rPr>
        <w:tab/>
      </w:r>
      <w:r>
        <w:rPr>
          <w:color w:val="auto"/>
          <w:highlight w:val="none"/>
        </w:rPr>
        <w:fldChar w:fldCharType="begin"/>
      </w:r>
      <w:r>
        <w:rPr>
          <w:color w:val="auto"/>
          <w:highlight w:val="none"/>
        </w:rPr>
        <w:instrText xml:space="preserve"> PAGEREF _Toc26246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18EA6877">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_Toc13201 </w:instrText>
      </w:r>
      <w:r>
        <w:rPr>
          <w:color w:val="auto"/>
          <w:highlight w:val="none"/>
        </w:rPr>
        <w:fldChar w:fldCharType="separate"/>
      </w:r>
      <w:r>
        <w:rPr>
          <w:color w:val="auto"/>
          <w:highlight w:val="none"/>
        </w:rPr>
        <w:t xml:space="preserve">8 </w:t>
      </w:r>
      <w:r>
        <w:rPr>
          <w:rFonts w:hint="eastAsia" w:cs="黑体"/>
          <w:color w:val="auto"/>
          <w:highlight w:val="none"/>
        </w:rPr>
        <w:t>重新招标和不再招标</w:t>
      </w:r>
      <w:r>
        <w:rPr>
          <w:color w:val="auto"/>
          <w:highlight w:val="none"/>
        </w:rPr>
        <w:tab/>
      </w:r>
      <w:r>
        <w:rPr>
          <w:color w:val="auto"/>
          <w:highlight w:val="none"/>
        </w:rPr>
        <w:fldChar w:fldCharType="begin"/>
      </w:r>
      <w:r>
        <w:rPr>
          <w:color w:val="auto"/>
          <w:highlight w:val="none"/>
        </w:rPr>
        <w:instrText xml:space="preserve"> PAGEREF _Toc13201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70C1832D">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_Toc10809 </w:instrText>
      </w:r>
      <w:r>
        <w:rPr>
          <w:color w:val="auto"/>
          <w:highlight w:val="none"/>
        </w:rPr>
        <w:fldChar w:fldCharType="separate"/>
      </w:r>
      <w:r>
        <w:rPr>
          <w:color w:val="auto"/>
          <w:highlight w:val="none"/>
        </w:rPr>
        <w:t xml:space="preserve">8.1 </w:t>
      </w:r>
      <w:r>
        <w:rPr>
          <w:rFonts w:hint="eastAsia" w:cs="黑体"/>
          <w:color w:val="auto"/>
          <w:highlight w:val="none"/>
        </w:rPr>
        <w:t>重新招标</w:t>
      </w:r>
      <w:r>
        <w:rPr>
          <w:color w:val="auto"/>
          <w:highlight w:val="none"/>
        </w:rPr>
        <w:tab/>
      </w:r>
      <w:r>
        <w:rPr>
          <w:color w:val="auto"/>
          <w:highlight w:val="none"/>
        </w:rPr>
        <w:fldChar w:fldCharType="begin"/>
      </w:r>
      <w:r>
        <w:rPr>
          <w:color w:val="auto"/>
          <w:highlight w:val="none"/>
        </w:rPr>
        <w:instrText xml:space="preserve"> PAGEREF _Toc10809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390589C9">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_Toc27091 </w:instrText>
      </w:r>
      <w:r>
        <w:rPr>
          <w:color w:val="auto"/>
          <w:highlight w:val="none"/>
        </w:rPr>
        <w:fldChar w:fldCharType="separate"/>
      </w:r>
      <w:r>
        <w:rPr>
          <w:color w:val="auto"/>
          <w:highlight w:val="none"/>
        </w:rPr>
        <w:t xml:space="preserve">8.2 </w:t>
      </w:r>
      <w:r>
        <w:rPr>
          <w:rFonts w:hint="eastAsia" w:cs="黑体"/>
          <w:color w:val="auto"/>
          <w:highlight w:val="none"/>
        </w:rPr>
        <w:t>不再招标</w:t>
      </w:r>
      <w:r>
        <w:rPr>
          <w:color w:val="auto"/>
          <w:highlight w:val="none"/>
        </w:rPr>
        <w:tab/>
      </w:r>
      <w:r>
        <w:rPr>
          <w:color w:val="auto"/>
          <w:highlight w:val="none"/>
        </w:rPr>
        <w:fldChar w:fldCharType="begin"/>
      </w:r>
      <w:r>
        <w:rPr>
          <w:color w:val="auto"/>
          <w:highlight w:val="none"/>
        </w:rPr>
        <w:instrText xml:space="preserve"> PAGEREF _Toc27091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22C2FBBD">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_Toc18821 </w:instrText>
      </w:r>
      <w:r>
        <w:rPr>
          <w:color w:val="auto"/>
          <w:highlight w:val="none"/>
        </w:rPr>
        <w:fldChar w:fldCharType="separate"/>
      </w:r>
      <w:r>
        <w:rPr>
          <w:color w:val="auto"/>
          <w:highlight w:val="none"/>
        </w:rPr>
        <w:t xml:space="preserve">9 </w:t>
      </w:r>
      <w:r>
        <w:rPr>
          <w:rFonts w:hint="eastAsia" w:cs="黑体"/>
          <w:color w:val="auto"/>
          <w:highlight w:val="none"/>
        </w:rPr>
        <w:t>纪律和监督</w:t>
      </w:r>
      <w:r>
        <w:rPr>
          <w:color w:val="auto"/>
          <w:highlight w:val="none"/>
        </w:rPr>
        <w:tab/>
      </w:r>
      <w:r>
        <w:rPr>
          <w:color w:val="auto"/>
          <w:highlight w:val="none"/>
        </w:rPr>
        <w:fldChar w:fldCharType="begin"/>
      </w:r>
      <w:r>
        <w:rPr>
          <w:color w:val="auto"/>
          <w:highlight w:val="none"/>
        </w:rPr>
        <w:instrText xml:space="preserve"> PAGEREF _Toc18821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7E24E746">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_Toc29540 </w:instrText>
      </w:r>
      <w:r>
        <w:rPr>
          <w:color w:val="auto"/>
          <w:highlight w:val="none"/>
        </w:rPr>
        <w:fldChar w:fldCharType="separate"/>
      </w:r>
      <w:r>
        <w:rPr>
          <w:color w:val="auto"/>
          <w:highlight w:val="none"/>
        </w:rPr>
        <w:t xml:space="preserve">9.1 </w:t>
      </w:r>
      <w:r>
        <w:rPr>
          <w:rFonts w:hint="eastAsia" w:cs="黑体"/>
          <w:color w:val="auto"/>
          <w:highlight w:val="none"/>
        </w:rPr>
        <w:t>对招标人或招标代理机构的纪律要求</w:t>
      </w:r>
      <w:r>
        <w:rPr>
          <w:color w:val="auto"/>
          <w:highlight w:val="none"/>
        </w:rPr>
        <w:tab/>
      </w:r>
      <w:r>
        <w:rPr>
          <w:color w:val="auto"/>
          <w:highlight w:val="none"/>
        </w:rPr>
        <w:fldChar w:fldCharType="begin"/>
      </w:r>
      <w:r>
        <w:rPr>
          <w:color w:val="auto"/>
          <w:highlight w:val="none"/>
        </w:rPr>
        <w:instrText xml:space="preserve"> PAGEREF _Toc29540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1D082F7A">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_Toc28056 </w:instrText>
      </w:r>
      <w:r>
        <w:rPr>
          <w:color w:val="auto"/>
          <w:highlight w:val="none"/>
        </w:rPr>
        <w:fldChar w:fldCharType="separate"/>
      </w:r>
      <w:r>
        <w:rPr>
          <w:color w:val="auto"/>
          <w:highlight w:val="none"/>
        </w:rPr>
        <w:t xml:space="preserve">9.2 </w:t>
      </w:r>
      <w:r>
        <w:rPr>
          <w:rFonts w:hint="eastAsia" w:cs="黑体"/>
          <w:color w:val="auto"/>
          <w:highlight w:val="none"/>
        </w:rPr>
        <w:t>对投标人的纪律要求</w:t>
      </w:r>
      <w:r>
        <w:rPr>
          <w:color w:val="auto"/>
          <w:highlight w:val="none"/>
        </w:rPr>
        <w:tab/>
      </w:r>
      <w:r>
        <w:rPr>
          <w:color w:val="auto"/>
          <w:highlight w:val="none"/>
        </w:rPr>
        <w:fldChar w:fldCharType="begin"/>
      </w:r>
      <w:r>
        <w:rPr>
          <w:color w:val="auto"/>
          <w:highlight w:val="none"/>
        </w:rPr>
        <w:instrText xml:space="preserve"> PAGEREF _Toc28056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508D0EEF">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_Toc24439 </w:instrText>
      </w:r>
      <w:r>
        <w:rPr>
          <w:color w:val="auto"/>
          <w:highlight w:val="none"/>
        </w:rPr>
        <w:fldChar w:fldCharType="separate"/>
      </w:r>
      <w:r>
        <w:rPr>
          <w:color w:val="auto"/>
          <w:highlight w:val="none"/>
        </w:rPr>
        <w:t xml:space="preserve">9.3 </w:t>
      </w:r>
      <w:r>
        <w:rPr>
          <w:rFonts w:hint="eastAsia" w:cs="黑体"/>
          <w:color w:val="auto"/>
          <w:highlight w:val="none"/>
        </w:rPr>
        <w:t>对评标委员会成员的纪律要求</w:t>
      </w:r>
      <w:r>
        <w:rPr>
          <w:color w:val="auto"/>
          <w:highlight w:val="none"/>
        </w:rPr>
        <w:tab/>
      </w:r>
      <w:r>
        <w:rPr>
          <w:color w:val="auto"/>
          <w:highlight w:val="none"/>
        </w:rPr>
        <w:fldChar w:fldCharType="begin"/>
      </w:r>
      <w:r>
        <w:rPr>
          <w:color w:val="auto"/>
          <w:highlight w:val="none"/>
        </w:rPr>
        <w:instrText xml:space="preserve"> PAGEREF _Toc24439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2AF7F3B1">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_Toc20629 </w:instrText>
      </w:r>
      <w:r>
        <w:rPr>
          <w:color w:val="auto"/>
          <w:highlight w:val="none"/>
        </w:rPr>
        <w:fldChar w:fldCharType="separate"/>
      </w:r>
      <w:r>
        <w:rPr>
          <w:color w:val="auto"/>
          <w:highlight w:val="none"/>
        </w:rPr>
        <w:t xml:space="preserve">9.4 </w:t>
      </w:r>
      <w:r>
        <w:rPr>
          <w:rFonts w:hint="eastAsia" w:cs="黑体"/>
          <w:color w:val="auto"/>
          <w:highlight w:val="none"/>
        </w:rPr>
        <w:t>对与评标活动有关的工作人员的纪律要求</w:t>
      </w:r>
      <w:r>
        <w:rPr>
          <w:color w:val="auto"/>
          <w:highlight w:val="none"/>
        </w:rPr>
        <w:tab/>
      </w:r>
      <w:r>
        <w:rPr>
          <w:color w:val="auto"/>
          <w:highlight w:val="none"/>
        </w:rPr>
        <w:fldChar w:fldCharType="begin"/>
      </w:r>
      <w:r>
        <w:rPr>
          <w:color w:val="auto"/>
          <w:highlight w:val="none"/>
        </w:rPr>
        <w:instrText xml:space="preserve"> PAGEREF _Toc20629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7996C8B8">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_Toc12409 </w:instrText>
      </w:r>
      <w:r>
        <w:rPr>
          <w:color w:val="auto"/>
          <w:highlight w:val="none"/>
        </w:rPr>
        <w:fldChar w:fldCharType="separate"/>
      </w:r>
      <w:r>
        <w:rPr>
          <w:color w:val="auto"/>
          <w:highlight w:val="none"/>
        </w:rPr>
        <w:t xml:space="preserve">9.5 </w:t>
      </w:r>
      <w:r>
        <w:rPr>
          <w:rFonts w:hint="eastAsia" w:cs="黑体"/>
          <w:color w:val="auto"/>
          <w:highlight w:val="none"/>
        </w:rPr>
        <w:t>投诉</w:t>
      </w:r>
      <w:r>
        <w:rPr>
          <w:color w:val="auto"/>
          <w:highlight w:val="none"/>
        </w:rPr>
        <w:tab/>
      </w:r>
      <w:r>
        <w:rPr>
          <w:color w:val="auto"/>
          <w:highlight w:val="none"/>
        </w:rPr>
        <w:fldChar w:fldCharType="begin"/>
      </w:r>
      <w:r>
        <w:rPr>
          <w:color w:val="auto"/>
          <w:highlight w:val="none"/>
        </w:rPr>
        <w:instrText xml:space="preserve"> PAGEREF _Toc12409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6AA334D3">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_Toc8387 </w:instrText>
      </w:r>
      <w:r>
        <w:rPr>
          <w:color w:val="auto"/>
          <w:highlight w:val="none"/>
        </w:rPr>
        <w:fldChar w:fldCharType="separate"/>
      </w:r>
      <w:r>
        <w:rPr>
          <w:rFonts w:hint="eastAsia" w:cs="黑体"/>
          <w:color w:val="auto"/>
          <w:highlight w:val="none"/>
        </w:rPr>
        <w:t>10 需要补充的其他内容</w:t>
      </w:r>
      <w:r>
        <w:rPr>
          <w:color w:val="auto"/>
          <w:highlight w:val="none"/>
        </w:rPr>
        <w:tab/>
      </w:r>
      <w:r>
        <w:rPr>
          <w:color w:val="auto"/>
          <w:highlight w:val="none"/>
        </w:rPr>
        <w:fldChar w:fldCharType="begin"/>
      </w:r>
      <w:r>
        <w:rPr>
          <w:color w:val="auto"/>
          <w:highlight w:val="none"/>
        </w:rPr>
        <w:instrText xml:space="preserve"> PAGEREF _Toc8387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0DEF995E">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_Toc25335 </w:instrText>
      </w:r>
      <w:r>
        <w:rPr>
          <w:color w:val="auto"/>
          <w:highlight w:val="none"/>
        </w:rPr>
        <w:fldChar w:fldCharType="separate"/>
      </w:r>
      <w:r>
        <w:rPr>
          <w:color w:val="auto"/>
          <w:highlight w:val="none"/>
        </w:rPr>
        <w:t xml:space="preserve">10.1 </w:t>
      </w:r>
      <w:r>
        <w:rPr>
          <w:rFonts w:hint="eastAsia" w:cs="黑体"/>
          <w:color w:val="auto"/>
          <w:highlight w:val="none"/>
        </w:rPr>
        <w:t>词语定义</w:t>
      </w:r>
      <w:r>
        <w:rPr>
          <w:color w:val="auto"/>
          <w:highlight w:val="none"/>
        </w:rPr>
        <w:tab/>
      </w:r>
      <w:r>
        <w:rPr>
          <w:color w:val="auto"/>
          <w:highlight w:val="none"/>
        </w:rPr>
        <w:fldChar w:fldCharType="begin"/>
      </w:r>
      <w:r>
        <w:rPr>
          <w:color w:val="auto"/>
          <w:highlight w:val="none"/>
        </w:rPr>
        <w:instrText xml:space="preserve"> PAGEREF _Toc25335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27CFBFAF">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_Toc23119 </w:instrText>
      </w:r>
      <w:r>
        <w:rPr>
          <w:color w:val="auto"/>
          <w:highlight w:val="none"/>
        </w:rPr>
        <w:fldChar w:fldCharType="separate"/>
      </w:r>
      <w:r>
        <w:rPr>
          <w:color w:val="auto"/>
          <w:highlight w:val="none"/>
        </w:rPr>
        <w:t xml:space="preserve">10.2 </w:t>
      </w:r>
      <w:r>
        <w:rPr>
          <w:rFonts w:hint="eastAsia" w:cs="黑体"/>
          <w:color w:val="auto"/>
          <w:highlight w:val="none"/>
          <w:lang w:eastAsia="zh-CN"/>
        </w:rPr>
        <w:t>最高投标限价</w:t>
      </w:r>
      <w:r>
        <w:rPr>
          <w:color w:val="auto"/>
          <w:highlight w:val="none"/>
        </w:rPr>
        <w:tab/>
      </w:r>
      <w:r>
        <w:rPr>
          <w:color w:val="auto"/>
          <w:highlight w:val="none"/>
        </w:rPr>
        <w:fldChar w:fldCharType="begin"/>
      </w:r>
      <w:r>
        <w:rPr>
          <w:color w:val="auto"/>
          <w:highlight w:val="none"/>
        </w:rPr>
        <w:instrText xml:space="preserve"> PAGEREF _Toc23119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466D3F00">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_Toc5339 </w:instrText>
      </w:r>
      <w:r>
        <w:rPr>
          <w:color w:val="auto"/>
          <w:highlight w:val="none"/>
        </w:rPr>
        <w:fldChar w:fldCharType="separate"/>
      </w:r>
      <w:r>
        <w:rPr>
          <w:color w:val="auto"/>
          <w:highlight w:val="none"/>
        </w:rPr>
        <w:t xml:space="preserve">10.3 </w:t>
      </w:r>
      <w:r>
        <w:rPr>
          <w:rFonts w:hint="eastAsia" w:cs="黑体"/>
          <w:color w:val="auto"/>
          <w:highlight w:val="none"/>
        </w:rPr>
        <w:t>技术标</w:t>
      </w:r>
      <w:r>
        <w:rPr>
          <w:rFonts w:cs="黑体"/>
          <w:color w:val="auto"/>
          <w:highlight w:val="none"/>
        </w:rPr>
        <w:t>评审方式</w:t>
      </w:r>
      <w:r>
        <w:rPr>
          <w:color w:val="auto"/>
          <w:highlight w:val="none"/>
        </w:rPr>
        <w:tab/>
      </w:r>
      <w:r>
        <w:rPr>
          <w:color w:val="auto"/>
          <w:highlight w:val="none"/>
        </w:rPr>
        <w:fldChar w:fldCharType="begin"/>
      </w:r>
      <w:r>
        <w:rPr>
          <w:color w:val="auto"/>
          <w:highlight w:val="none"/>
        </w:rPr>
        <w:instrText xml:space="preserve"> PAGEREF _Toc5339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60589FD8">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_Toc13356 </w:instrText>
      </w:r>
      <w:r>
        <w:rPr>
          <w:color w:val="auto"/>
          <w:highlight w:val="none"/>
        </w:rPr>
        <w:fldChar w:fldCharType="separate"/>
      </w:r>
      <w:r>
        <w:rPr>
          <w:color w:val="auto"/>
          <w:highlight w:val="none"/>
        </w:rPr>
        <w:t xml:space="preserve">10.4 </w:t>
      </w:r>
      <w:r>
        <w:rPr>
          <w:rFonts w:hint="eastAsia" w:cs="黑体"/>
          <w:color w:val="auto"/>
          <w:highlight w:val="none"/>
        </w:rPr>
        <w:t>电子投标文件</w:t>
      </w:r>
      <w:r>
        <w:rPr>
          <w:color w:val="auto"/>
          <w:highlight w:val="none"/>
        </w:rPr>
        <w:tab/>
      </w:r>
      <w:r>
        <w:rPr>
          <w:color w:val="auto"/>
          <w:highlight w:val="none"/>
        </w:rPr>
        <w:fldChar w:fldCharType="begin"/>
      </w:r>
      <w:r>
        <w:rPr>
          <w:color w:val="auto"/>
          <w:highlight w:val="none"/>
        </w:rPr>
        <w:instrText xml:space="preserve"> PAGEREF _Toc13356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71CF0169">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_Toc5969 </w:instrText>
      </w:r>
      <w:r>
        <w:rPr>
          <w:color w:val="auto"/>
          <w:highlight w:val="none"/>
        </w:rPr>
        <w:fldChar w:fldCharType="separate"/>
      </w:r>
      <w:r>
        <w:rPr>
          <w:color w:val="auto"/>
          <w:highlight w:val="none"/>
        </w:rPr>
        <w:t xml:space="preserve">10.5 </w:t>
      </w:r>
      <w:r>
        <w:rPr>
          <w:rFonts w:hint="eastAsia" w:cs="黑体"/>
          <w:color w:val="auto"/>
          <w:highlight w:val="none"/>
        </w:rPr>
        <w:t>知识产权</w:t>
      </w:r>
      <w:r>
        <w:rPr>
          <w:color w:val="auto"/>
          <w:highlight w:val="none"/>
        </w:rPr>
        <w:tab/>
      </w:r>
      <w:r>
        <w:rPr>
          <w:color w:val="auto"/>
          <w:highlight w:val="none"/>
        </w:rPr>
        <w:fldChar w:fldCharType="begin"/>
      </w:r>
      <w:r>
        <w:rPr>
          <w:color w:val="auto"/>
          <w:highlight w:val="none"/>
        </w:rPr>
        <w:instrText xml:space="preserve"> PAGEREF _Toc5969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5903FEFC">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_Toc24778 </w:instrText>
      </w:r>
      <w:r>
        <w:rPr>
          <w:color w:val="auto"/>
          <w:highlight w:val="none"/>
        </w:rPr>
        <w:fldChar w:fldCharType="separate"/>
      </w:r>
      <w:r>
        <w:rPr>
          <w:color w:val="auto"/>
          <w:highlight w:val="none"/>
        </w:rPr>
        <w:t xml:space="preserve">10.6 </w:t>
      </w:r>
      <w:r>
        <w:rPr>
          <w:rFonts w:hint="eastAsia" w:cs="黑体"/>
          <w:color w:val="auto"/>
          <w:highlight w:val="none"/>
        </w:rPr>
        <w:t>重新招标的其他情形</w:t>
      </w:r>
      <w:r>
        <w:rPr>
          <w:color w:val="auto"/>
          <w:highlight w:val="none"/>
        </w:rPr>
        <w:tab/>
      </w:r>
      <w:r>
        <w:rPr>
          <w:color w:val="auto"/>
          <w:highlight w:val="none"/>
        </w:rPr>
        <w:fldChar w:fldCharType="begin"/>
      </w:r>
      <w:r>
        <w:rPr>
          <w:color w:val="auto"/>
          <w:highlight w:val="none"/>
        </w:rPr>
        <w:instrText xml:space="preserve"> PAGEREF _Toc24778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3EA0BDB6">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_Toc18708 </w:instrText>
      </w:r>
      <w:r>
        <w:rPr>
          <w:color w:val="auto"/>
          <w:highlight w:val="none"/>
        </w:rPr>
        <w:fldChar w:fldCharType="separate"/>
      </w:r>
      <w:r>
        <w:rPr>
          <w:color w:val="auto"/>
          <w:highlight w:val="none"/>
        </w:rPr>
        <w:t xml:space="preserve">10.7 </w:t>
      </w:r>
      <w:r>
        <w:rPr>
          <w:rFonts w:hint="eastAsia" w:cs="黑体"/>
          <w:color w:val="auto"/>
          <w:highlight w:val="none"/>
        </w:rPr>
        <w:t>同义词语</w:t>
      </w:r>
      <w:r>
        <w:rPr>
          <w:color w:val="auto"/>
          <w:highlight w:val="none"/>
        </w:rPr>
        <w:tab/>
      </w:r>
      <w:r>
        <w:rPr>
          <w:color w:val="auto"/>
          <w:highlight w:val="none"/>
        </w:rPr>
        <w:fldChar w:fldCharType="begin"/>
      </w:r>
      <w:r>
        <w:rPr>
          <w:color w:val="auto"/>
          <w:highlight w:val="none"/>
        </w:rPr>
        <w:instrText xml:space="preserve"> PAGEREF _Toc18708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020DCE47">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_Toc10692 </w:instrText>
      </w:r>
      <w:r>
        <w:rPr>
          <w:color w:val="auto"/>
          <w:highlight w:val="none"/>
        </w:rPr>
        <w:fldChar w:fldCharType="separate"/>
      </w:r>
      <w:r>
        <w:rPr>
          <w:color w:val="auto"/>
          <w:highlight w:val="none"/>
        </w:rPr>
        <w:t xml:space="preserve">10.8 </w:t>
      </w:r>
      <w:r>
        <w:rPr>
          <w:rFonts w:hint="eastAsia" w:cs="黑体"/>
          <w:color w:val="auto"/>
          <w:highlight w:val="none"/>
        </w:rPr>
        <w:t>监督</w:t>
      </w:r>
      <w:r>
        <w:rPr>
          <w:color w:val="auto"/>
          <w:highlight w:val="none"/>
        </w:rPr>
        <w:tab/>
      </w:r>
      <w:r>
        <w:rPr>
          <w:color w:val="auto"/>
          <w:highlight w:val="none"/>
        </w:rPr>
        <w:fldChar w:fldCharType="begin"/>
      </w:r>
      <w:r>
        <w:rPr>
          <w:color w:val="auto"/>
          <w:highlight w:val="none"/>
        </w:rPr>
        <w:instrText xml:space="preserve"> PAGEREF _Toc10692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05615744">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_Toc17403 </w:instrText>
      </w:r>
      <w:r>
        <w:rPr>
          <w:color w:val="auto"/>
          <w:highlight w:val="none"/>
        </w:rPr>
        <w:fldChar w:fldCharType="separate"/>
      </w:r>
      <w:r>
        <w:rPr>
          <w:color w:val="auto"/>
          <w:highlight w:val="none"/>
        </w:rPr>
        <w:t>10.9承包人应履行的其他义务</w:t>
      </w:r>
      <w:r>
        <w:rPr>
          <w:color w:val="auto"/>
          <w:highlight w:val="none"/>
        </w:rPr>
        <w:tab/>
      </w:r>
      <w:r>
        <w:rPr>
          <w:color w:val="auto"/>
          <w:highlight w:val="none"/>
        </w:rPr>
        <w:fldChar w:fldCharType="begin"/>
      </w:r>
      <w:r>
        <w:rPr>
          <w:color w:val="auto"/>
          <w:highlight w:val="none"/>
        </w:rPr>
        <w:instrText xml:space="preserve"> PAGEREF _Toc17403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5BB2B5A2">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_Toc26033 </w:instrText>
      </w:r>
      <w:r>
        <w:rPr>
          <w:color w:val="auto"/>
          <w:highlight w:val="none"/>
        </w:rPr>
        <w:fldChar w:fldCharType="separate"/>
      </w:r>
      <w:r>
        <w:rPr>
          <w:rFonts w:hint="eastAsia"/>
          <w:color w:val="auto"/>
          <w:szCs w:val="21"/>
          <w:highlight w:val="none"/>
        </w:rPr>
        <w:t>10.1</w:t>
      </w:r>
      <w:r>
        <w:rPr>
          <w:color w:val="auto"/>
          <w:highlight w:val="none"/>
        </w:rPr>
        <w:t>0</w:t>
      </w:r>
      <w:r>
        <w:rPr>
          <w:rFonts w:hint="eastAsia" w:ascii="宋体" w:hAnsi="宋体"/>
          <w:color w:val="auto"/>
          <w:highlight w:val="none"/>
        </w:rPr>
        <w:t>农民工工资保证金</w:t>
      </w:r>
      <w:r>
        <w:rPr>
          <w:color w:val="auto"/>
          <w:highlight w:val="none"/>
        </w:rPr>
        <w:tab/>
      </w:r>
      <w:r>
        <w:rPr>
          <w:color w:val="auto"/>
          <w:highlight w:val="none"/>
        </w:rPr>
        <w:fldChar w:fldCharType="begin"/>
      </w:r>
      <w:r>
        <w:rPr>
          <w:color w:val="auto"/>
          <w:highlight w:val="none"/>
        </w:rPr>
        <w:instrText xml:space="preserve"> PAGEREF _Toc26033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5DEB6BA3">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_Toc32753 </w:instrText>
      </w:r>
      <w:r>
        <w:rPr>
          <w:color w:val="auto"/>
          <w:highlight w:val="none"/>
        </w:rPr>
        <w:fldChar w:fldCharType="separate"/>
      </w:r>
      <w:r>
        <w:rPr>
          <w:color w:val="auto"/>
          <w:highlight w:val="none"/>
        </w:rPr>
        <w:t>10.11</w:t>
      </w:r>
      <w:r>
        <w:rPr>
          <w:rFonts w:hint="eastAsia" w:cs="黑体"/>
          <w:color w:val="auto"/>
          <w:highlight w:val="none"/>
        </w:rPr>
        <w:t>中小企业</w:t>
      </w:r>
      <w:r>
        <w:rPr>
          <w:color w:val="auto"/>
          <w:highlight w:val="none"/>
        </w:rPr>
        <w:tab/>
      </w:r>
      <w:r>
        <w:rPr>
          <w:color w:val="auto"/>
          <w:highlight w:val="none"/>
        </w:rPr>
        <w:fldChar w:fldCharType="begin"/>
      </w:r>
      <w:r>
        <w:rPr>
          <w:color w:val="auto"/>
          <w:highlight w:val="none"/>
        </w:rPr>
        <w:instrText xml:space="preserve"> PAGEREF _Toc32753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475FA098">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_Toc439 </w:instrText>
      </w:r>
      <w:r>
        <w:rPr>
          <w:color w:val="auto"/>
          <w:highlight w:val="none"/>
        </w:rPr>
        <w:fldChar w:fldCharType="separate"/>
      </w:r>
      <w:r>
        <w:rPr>
          <w:color w:val="auto"/>
          <w:highlight w:val="none"/>
        </w:rPr>
        <w:t>10.12</w:t>
      </w:r>
      <w:r>
        <w:rPr>
          <w:rFonts w:hint="eastAsia" w:cs="黑体"/>
          <w:color w:val="auto"/>
          <w:highlight w:val="none"/>
        </w:rPr>
        <w:t>监狱企业</w:t>
      </w:r>
      <w:r>
        <w:rPr>
          <w:color w:val="auto"/>
          <w:highlight w:val="none"/>
        </w:rPr>
        <w:tab/>
      </w:r>
      <w:r>
        <w:rPr>
          <w:color w:val="auto"/>
          <w:highlight w:val="none"/>
        </w:rPr>
        <w:fldChar w:fldCharType="begin"/>
      </w:r>
      <w:r>
        <w:rPr>
          <w:color w:val="auto"/>
          <w:highlight w:val="none"/>
        </w:rPr>
        <w:instrText xml:space="preserve"> PAGEREF _Toc439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58D49F78">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_Toc24265 </w:instrText>
      </w:r>
      <w:r>
        <w:rPr>
          <w:color w:val="auto"/>
          <w:highlight w:val="none"/>
        </w:rPr>
        <w:fldChar w:fldCharType="separate"/>
      </w:r>
      <w:r>
        <w:rPr>
          <w:color w:val="auto"/>
          <w:highlight w:val="none"/>
        </w:rPr>
        <w:t>10.13</w:t>
      </w:r>
      <w:r>
        <w:rPr>
          <w:rFonts w:hint="eastAsia" w:cs="黑体"/>
          <w:color w:val="auto"/>
          <w:highlight w:val="none"/>
        </w:rPr>
        <w:t>残疾人福利性单位</w:t>
      </w:r>
      <w:r>
        <w:rPr>
          <w:color w:val="auto"/>
          <w:highlight w:val="none"/>
        </w:rPr>
        <w:tab/>
      </w:r>
      <w:r>
        <w:rPr>
          <w:color w:val="auto"/>
          <w:highlight w:val="none"/>
        </w:rPr>
        <w:fldChar w:fldCharType="begin"/>
      </w:r>
      <w:r>
        <w:rPr>
          <w:color w:val="auto"/>
          <w:highlight w:val="none"/>
        </w:rPr>
        <w:instrText xml:space="preserve"> PAGEREF _Toc24265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5F9D26CB">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_Toc25753 </w:instrText>
      </w:r>
      <w:r>
        <w:rPr>
          <w:color w:val="auto"/>
          <w:highlight w:val="none"/>
        </w:rPr>
        <w:fldChar w:fldCharType="separate"/>
      </w:r>
      <w:r>
        <w:rPr>
          <w:color w:val="auto"/>
          <w:highlight w:val="none"/>
        </w:rPr>
        <w:t>10.1</w:t>
      </w:r>
      <w:r>
        <w:rPr>
          <w:rFonts w:hint="eastAsia"/>
          <w:color w:val="auto"/>
          <w:highlight w:val="none"/>
          <w:lang w:val="en-US" w:eastAsia="zh-CN"/>
        </w:rPr>
        <w:t>4</w:t>
      </w:r>
      <w:r>
        <w:rPr>
          <w:color w:val="auto"/>
          <w:highlight w:val="none"/>
        </w:rPr>
        <w:t xml:space="preserve"> </w:t>
      </w:r>
      <w:r>
        <w:rPr>
          <w:rFonts w:hint="eastAsia" w:cs="黑体"/>
          <w:color w:val="auto"/>
          <w:highlight w:val="none"/>
        </w:rPr>
        <w:t>解释权</w:t>
      </w:r>
      <w:r>
        <w:rPr>
          <w:color w:val="auto"/>
          <w:highlight w:val="none"/>
        </w:rPr>
        <w:tab/>
      </w:r>
      <w:r>
        <w:rPr>
          <w:color w:val="auto"/>
          <w:highlight w:val="none"/>
        </w:rPr>
        <w:fldChar w:fldCharType="begin"/>
      </w:r>
      <w:r>
        <w:rPr>
          <w:color w:val="auto"/>
          <w:highlight w:val="none"/>
        </w:rPr>
        <w:instrText xml:space="preserve"> PAGEREF _Toc25753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04921E16">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_Toc28550 </w:instrText>
      </w:r>
      <w:r>
        <w:rPr>
          <w:color w:val="auto"/>
          <w:highlight w:val="none"/>
        </w:rPr>
        <w:fldChar w:fldCharType="separate"/>
      </w:r>
      <w:r>
        <w:rPr>
          <w:color w:val="auto"/>
          <w:highlight w:val="none"/>
        </w:rPr>
        <w:t>10.1</w:t>
      </w:r>
      <w:r>
        <w:rPr>
          <w:rFonts w:hint="eastAsia"/>
          <w:color w:val="auto"/>
          <w:highlight w:val="none"/>
          <w:lang w:val="en-US" w:eastAsia="zh-CN"/>
        </w:rPr>
        <w:t>5</w:t>
      </w:r>
      <w:r>
        <w:rPr>
          <w:color w:val="auto"/>
          <w:highlight w:val="none"/>
        </w:rPr>
        <w:t xml:space="preserve"> </w:t>
      </w:r>
      <w:r>
        <w:rPr>
          <w:rFonts w:hint="eastAsia" w:cs="黑体"/>
          <w:color w:val="auto"/>
          <w:highlight w:val="none"/>
        </w:rPr>
        <w:t>招标人补充的其他内容</w:t>
      </w:r>
      <w:r>
        <w:rPr>
          <w:color w:val="auto"/>
          <w:highlight w:val="none"/>
        </w:rPr>
        <w:tab/>
      </w:r>
      <w:r>
        <w:rPr>
          <w:color w:val="auto"/>
          <w:highlight w:val="none"/>
        </w:rPr>
        <w:fldChar w:fldCharType="begin"/>
      </w:r>
      <w:r>
        <w:rPr>
          <w:color w:val="auto"/>
          <w:highlight w:val="none"/>
        </w:rPr>
        <w:instrText xml:space="preserve"> PAGEREF _Toc28550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71A0A898">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_Toc24406 </w:instrText>
      </w:r>
      <w:r>
        <w:rPr>
          <w:color w:val="auto"/>
          <w:highlight w:val="none"/>
        </w:rPr>
        <w:fldChar w:fldCharType="separate"/>
      </w:r>
      <w:r>
        <w:rPr>
          <w:color w:val="auto"/>
          <w:highlight w:val="none"/>
        </w:rPr>
        <w:t>10.1</w:t>
      </w:r>
      <w:r>
        <w:rPr>
          <w:rFonts w:hint="eastAsia"/>
          <w:color w:val="auto"/>
          <w:highlight w:val="none"/>
          <w:lang w:val="en-US" w:eastAsia="zh-CN"/>
        </w:rPr>
        <w:t>6</w:t>
      </w:r>
      <w:r>
        <w:rPr>
          <w:color w:val="auto"/>
          <w:highlight w:val="none"/>
        </w:rPr>
        <w:t xml:space="preserve"> </w:t>
      </w:r>
      <w:r>
        <w:rPr>
          <w:rFonts w:hint="eastAsia"/>
          <w:color w:val="auto"/>
          <w:highlight w:val="none"/>
        </w:rPr>
        <w:t>投标人提交投标文件、参加开标会须提交的文件等格式</w:t>
      </w:r>
      <w:r>
        <w:rPr>
          <w:color w:val="auto"/>
          <w:highlight w:val="none"/>
        </w:rPr>
        <w:tab/>
      </w:r>
      <w:r>
        <w:rPr>
          <w:color w:val="auto"/>
          <w:highlight w:val="none"/>
        </w:rPr>
        <w:fldChar w:fldCharType="begin"/>
      </w:r>
      <w:r>
        <w:rPr>
          <w:color w:val="auto"/>
          <w:highlight w:val="none"/>
        </w:rPr>
        <w:instrText xml:space="preserve"> PAGEREF _Toc24406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7AD25FA6">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_Toc27920 </w:instrText>
      </w:r>
      <w:r>
        <w:rPr>
          <w:color w:val="auto"/>
          <w:highlight w:val="none"/>
        </w:rPr>
        <w:fldChar w:fldCharType="separate"/>
      </w:r>
      <w:r>
        <w:rPr>
          <w:rFonts w:hint="eastAsia" w:cs="黑体"/>
          <w:color w:val="auto"/>
          <w:highlight w:val="none"/>
        </w:rPr>
        <w:t>第三章</w:t>
      </w:r>
      <w:r>
        <w:rPr>
          <w:color w:val="auto"/>
          <w:highlight w:val="none"/>
        </w:rPr>
        <w:t xml:space="preserve"> </w:t>
      </w:r>
      <w:r>
        <w:rPr>
          <w:rFonts w:hint="eastAsia" w:cs="黑体"/>
          <w:color w:val="auto"/>
          <w:highlight w:val="none"/>
        </w:rPr>
        <w:t>评标办法（经评审的合理低价法）</w:t>
      </w:r>
      <w:r>
        <w:rPr>
          <w:color w:val="auto"/>
          <w:highlight w:val="none"/>
        </w:rPr>
        <w:tab/>
      </w:r>
      <w:r>
        <w:rPr>
          <w:color w:val="auto"/>
          <w:highlight w:val="none"/>
        </w:rPr>
        <w:fldChar w:fldCharType="begin"/>
      </w:r>
      <w:r>
        <w:rPr>
          <w:color w:val="auto"/>
          <w:highlight w:val="none"/>
        </w:rPr>
        <w:instrText xml:space="preserve"> PAGEREF _Toc27920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7B7E3C9E">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_Toc16273 </w:instrText>
      </w:r>
      <w:r>
        <w:rPr>
          <w:color w:val="auto"/>
          <w:highlight w:val="none"/>
        </w:rPr>
        <w:fldChar w:fldCharType="separate"/>
      </w:r>
      <w:r>
        <w:rPr>
          <w:rFonts w:hint="eastAsia" w:cs="黑体"/>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_Toc16273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697C528B">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_Toc23410 </w:instrText>
      </w:r>
      <w:r>
        <w:rPr>
          <w:color w:val="auto"/>
          <w:highlight w:val="none"/>
        </w:rPr>
        <w:fldChar w:fldCharType="separate"/>
      </w:r>
      <w:r>
        <w:rPr>
          <w:rFonts w:hint="eastAsia" w:cs="黑体"/>
          <w:color w:val="auto"/>
          <w:highlight w:val="none"/>
        </w:rPr>
        <w:t>评标办法（经评审的合理低价法）正文部分</w:t>
      </w:r>
      <w:r>
        <w:rPr>
          <w:color w:val="auto"/>
          <w:highlight w:val="none"/>
        </w:rPr>
        <w:tab/>
      </w:r>
      <w:r>
        <w:rPr>
          <w:color w:val="auto"/>
          <w:highlight w:val="none"/>
        </w:rPr>
        <w:fldChar w:fldCharType="begin"/>
      </w:r>
      <w:r>
        <w:rPr>
          <w:color w:val="auto"/>
          <w:highlight w:val="none"/>
        </w:rPr>
        <w:instrText xml:space="preserve"> PAGEREF _Toc23410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599C1EB6">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_Toc31316 </w:instrText>
      </w:r>
      <w:r>
        <w:rPr>
          <w:color w:val="auto"/>
          <w:highlight w:val="none"/>
        </w:rPr>
        <w:fldChar w:fldCharType="separate"/>
      </w:r>
      <w:r>
        <w:rPr>
          <w:color w:val="auto"/>
          <w:highlight w:val="none"/>
        </w:rPr>
        <w:t xml:space="preserve">1 </w:t>
      </w:r>
      <w:r>
        <w:rPr>
          <w:rFonts w:hint="eastAsia" w:cs="黑体"/>
          <w:color w:val="auto"/>
          <w:highlight w:val="none"/>
        </w:rPr>
        <w:t>评标方法</w:t>
      </w:r>
      <w:r>
        <w:rPr>
          <w:color w:val="auto"/>
          <w:highlight w:val="none"/>
        </w:rPr>
        <w:tab/>
      </w:r>
      <w:r>
        <w:rPr>
          <w:color w:val="auto"/>
          <w:highlight w:val="none"/>
        </w:rPr>
        <w:fldChar w:fldCharType="begin"/>
      </w:r>
      <w:r>
        <w:rPr>
          <w:color w:val="auto"/>
          <w:highlight w:val="none"/>
        </w:rPr>
        <w:instrText xml:space="preserve"> PAGEREF _Toc31316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50A6C0F5">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_Toc12 </w:instrText>
      </w:r>
      <w:r>
        <w:rPr>
          <w:color w:val="auto"/>
          <w:highlight w:val="none"/>
        </w:rPr>
        <w:fldChar w:fldCharType="separate"/>
      </w:r>
      <w:r>
        <w:rPr>
          <w:color w:val="auto"/>
          <w:highlight w:val="none"/>
        </w:rPr>
        <w:t xml:space="preserve">2 </w:t>
      </w:r>
      <w:r>
        <w:rPr>
          <w:rFonts w:hint="eastAsia" w:cs="黑体"/>
          <w:color w:val="auto"/>
          <w:highlight w:val="none"/>
        </w:rPr>
        <w:t>评审标准</w:t>
      </w:r>
      <w:r>
        <w:rPr>
          <w:color w:val="auto"/>
          <w:highlight w:val="none"/>
        </w:rPr>
        <w:tab/>
      </w:r>
      <w:r>
        <w:rPr>
          <w:color w:val="auto"/>
          <w:highlight w:val="none"/>
        </w:rPr>
        <w:fldChar w:fldCharType="begin"/>
      </w:r>
      <w:r>
        <w:rPr>
          <w:color w:val="auto"/>
          <w:highlight w:val="none"/>
        </w:rPr>
        <w:instrText xml:space="preserve"> PAGEREF _Toc12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5146C9D8">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_Toc23034 </w:instrText>
      </w:r>
      <w:r>
        <w:rPr>
          <w:color w:val="auto"/>
          <w:highlight w:val="none"/>
        </w:rPr>
        <w:fldChar w:fldCharType="separate"/>
      </w:r>
      <w:r>
        <w:rPr>
          <w:color w:val="auto"/>
          <w:highlight w:val="none"/>
        </w:rPr>
        <w:t xml:space="preserve">2.1 </w:t>
      </w:r>
      <w:r>
        <w:rPr>
          <w:rFonts w:hint="eastAsia" w:cs="黑体"/>
          <w:color w:val="auto"/>
          <w:highlight w:val="none"/>
        </w:rPr>
        <w:t>初步评审标准</w:t>
      </w:r>
      <w:r>
        <w:rPr>
          <w:color w:val="auto"/>
          <w:highlight w:val="none"/>
        </w:rPr>
        <w:tab/>
      </w:r>
      <w:r>
        <w:rPr>
          <w:color w:val="auto"/>
          <w:highlight w:val="none"/>
        </w:rPr>
        <w:fldChar w:fldCharType="begin"/>
      </w:r>
      <w:r>
        <w:rPr>
          <w:color w:val="auto"/>
          <w:highlight w:val="none"/>
        </w:rPr>
        <w:instrText xml:space="preserve"> PAGEREF _Toc23034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0E7246CA">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_Toc5220 </w:instrText>
      </w:r>
      <w:r>
        <w:rPr>
          <w:color w:val="auto"/>
          <w:highlight w:val="none"/>
        </w:rPr>
        <w:fldChar w:fldCharType="separate"/>
      </w:r>
      <w:r>
        <w:rPr>
          <w:color w:val="auto"/>
          <w:highlight w:val="none"/>
        </w:rPr>
        <w:t xml:space="preserve">2.2 </w:t>
      </w:r>
      <w:r>
        <w:rPr>
          <w:rFonts w:hint="eastAsia" w:cs="黑体"/>
          <w:color w:val="auto"/>
          <w:highlight w:val="none"/>
        </w:rPr>
        <w:t>详细评审标准</w:t>
      </w:r>
      <w:r>
        <w:rPr>
          <w:color w:val="auto"/>
          <w:highlight w:val="none"/>
        </w:rPr>
        <w:tab/>
      </w:r>
      <w:r>
        <w:rPr>
          <w:color w:val="auto"/>
          <w:highlight w:val="none"/>
        </w:rPr>
        <w:fldChar w:fldCharType="begin"/>
      </w:r>
      <w:r>
        <w:rPr>
          <w:color w:val="auto"/>
          <w:highlight w:val="none"/>
        </w:rPr>
        <w:instrText xml:space="preserve"> PAGEREF _Toc5220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35C17E14">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_Toc12342 </w:instrText>
      </w:r>
      <w:r>
        <w:rPr>
          <w:color w:val="auto"/>
          <w:highlight w:val="none"/>
        </w:rPr>
        <w:fldChar w:fldCharType="separate"/>
      </w:r>
      <w:r>
        <w:rPr>
          <w:color w:val="auto"/>
          <w:highlight w:val="none"/>
        </w:rPr>
        <w:t xml:space="preserve">3 </w:t>
      </w:r>
      <w:r>
        <w:rPr>
          <w:rFonts w:hint="eastAsia" w:cs="黑体"/>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_Toc12342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02F7F9AD">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_Toc20607 </w:instrText>
      </w:r>
      <w:r>
        <w:rPr>
          <w:color w:val="auto"/>
          <w:highlight w:val="none"/>
        </w:rPr>
        <w:fldChar w:fldCharType="separate"/>
      </w:r>
      <w:r>
        <w:rPr>
          <w:color w:val="auto"/>
          <w:highlight w:val="none"/>
        </w:rPr>
        <w:t xml:space="preserve">3.1 </w:t>
      </w:r>
      <w:r>
        <w:rPr>
          <w:rFonts w:hint="eastAsia" w:cs="黑体"/>
          <w:color w:val="auto"/>
          <w:highlight w:val="none"/>
        </w:rPr>
        <w:t>初步评审</w:t>
      </w:r>
      <w:r>
        <w:rPr>
          <w:color w:val="auto"/>
          <w:highlight w:val="none"/>
        </w:rPr>
        <w:tab/>
      </w:r>
      <w:r>
        <w:rPr>
          <w:color w:val="auto"/>
          <w:highlight w:val="none"/>
        </w:rPr>
        <w:fldChar w:fldCharType="begin"/>
      </w:r>
      <w:r>
        <w:rPr>
          <w:color w:val="auto"/>
          <w:highlight w:val="none"/>
        </w:rPr>
        <w:instrText xml:space="preserve"> PAGEREF _Toc20607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311DC423">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_Toc21913 </w:instrText>
      </w:r>
      <w:r>
        <w:rPr>
          <w:color w:val="auto"/>
          <w:highlight w:val="none"/>
        </w:rPr>
        <w:fldChar w:fldCharType="separate"/>
      </w:r>
      <w:r>
        <w:rPr>
          <w:color w:val="auto"/>
          <w:highlight w:val="none"/>
        </w:rPr>
        <w:t xml:space="preserve">3.2 </w:t>
      </w:r>
      <w:r>
        <w:rPr>
          <w:rFonts w:hint="eastAsia" w:cs="黑体"/>
          <w:color w:val="auto"/>
          <w:highlight w:val="none"/>
        </w:rPr>
        <w:t>详细评审</w:t>
      </w:r>
      <w:r>
        <w:rPr>
          <w:color w:val="auto"/>
          <w:highlight w:val="none"/>
        </w:rPr>
        <w:tab/>
      </w:r>
      <w:r>
        <w:rPr>
          <w:color w:val="auto"/>
          <w:highlight w:val="none"/>
        </w:rPr>
        <w:fldChar w:fldCharType="begin"/>
      </w:r>
      <w:r>
        <w:rPr>
          <w:color w:val="auto"/>
          <w:highlight w:val="none"/>
        </w:rPr>
        <w:instrText xml:space="preserve"> PAGEREF _Toc21913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49B9770F">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_Toc4318 </w:instrText>
      </w:r>
      <w:r>
        <w:rPr>
          <w:color w:val="auto"/>
          <w:highlight w:val="none"/>
        </w:rPr>
        <w:fldChar w:fldCharType="separate"/>
      </w:r>
      <w:r>
        <w:rPr>
          <w:color w:val="auto"/>
          <w:highlight w:val="none"/>
        </w:rPr>
        <w:t xml:space="preserve">3.3 </w:t>
      </w:r>
      <w:r>
        <w:rPr>
          <w:rFonts w:hint="eastAsia" w:cs="黑体"/>
          <w:color w:val="auto"/>
          <w:highlight w:val="none"/>
        </w:rPr>
        <w:t>投标文件的澄清、说明和补正</w:t>
      </w:r>
      <w:r>
        <w:rPr>
          <w:color w:val="auto"/>
          <w:highlight w:val="none"/>
        </w:rPr>
        <w:tab/>
      </w:r>
      <w:r>
        <w:rPr>
          <w:color w:val="auto"/>
          <w:highlight w:val="none"/>
        </w:rPr>
        <w:fldChar w:fldCharType="begin"/>
      </w:r>
      <w:r>
        <w:rPr>
          <w:color w:val="auto"/>
          <w:highlight w:val="none"/>
        </w:rPr>
        <w:instrText xml:space="preserve"> PAGEREF _Toc4318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15DE554E">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_Toc18949 </w:instrText>
      </w:r>
      <w:r>
        <w:rPr>
          <w:color w:val="auto"/>
          <w:highlight w:val="none"/>
        </w:rPr>
        <w:fldChar w:fldCharType="separate"/>
      </w:r>
      <w:r>
        <w:rPr>
          <w:color w:val="auto"/>
          <w:highlight w:val="none"/>
        </w:rPr>
        <w:t xml:space="preserve">3.4 </w:t>
      </w:r>
      <w:r>
        <w:rPr>
          <w:rFonts w:hint="eastAsia" w:cs="黑体"/>
          <w:color w:val="auto"/>
          <w:highlight w:val="none"/>
        </w:rPr>
        <w:t>评标结果</w:t>
      </w:r>
      <w:r>
        <w:rPr>
          <w:color w:val="auto"/>
          <w:highlight w:val="none"/>
        </w:rPr>
        <w:tab/>
      </w:r>
      <w:r>
        <w:rPr>
          <w:color w:val="auto"/>
          <w:highlight w:val="none"/>
        </w:rPr>
        <w:fldChar w:fldCharType="begin"/>
      </w:r>
      <w:r>
        <w:rPr>
          <w:color w:val="auto"/>
          <w:highlight w:val="none"/>
        </w:rPr>
        <w:instrText xml:space="preserve"> PAGEREF _Toc18949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1D66F71E">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_Toc15771 </w:instrText>
      </w:r>
      <w:r>
        <w:rPr>
          <w:color w:val="auto"/>
          <w:highlight w:val="none"/>
        </w:rPr>
        <w:fldChar w:fldCharType="separate"/>
      </w:r>
      <w:r>
        <w:rPr>
          <w:rFonts w:hint="eastAsia" w:cs="黑体"/>
          <w:color w:val="auto"/>
          <w:highlight w:val="none"/>
        </w:rPr>
        <w:t>附件</w:t>
      </w:r>
      <w:r>
        <w:rPr>
          <w:color w:val="auto"/>
          <w:highlight w:val="none"/>
        </w:rPr>
        <w:t xml:space="preserve">A  </w:t>
      </w:r>
      <w:r>
        <w:rPr>
          <w:rFonts w:hint="eastAsia" w:cs="黑体"/>
          <w:color w:val="auto"/>
          <w:highlight w:val="none"/>
        </w:rPr>
        <w:t>评标详细程序</w:t>
      </w:r>
      <w:r>
        <w:rPr>
          <w:color w:val="auto"/>
          <w:highlight w:val="none"/>
        </w:rPr>
        <w:tab/>
      </w:r>
      <w:r>
        <w:rPr>
          <w:color w:val="auto"/>
          <w:highlight w:val="none"/>
        </w:rPr>
        <w:fldChar w:fldCharType="begin"/>
      </w:r>
      <w:r>
        <w:rPr>
          <w:color w:val="auto"/>
          <w:highlight w:val="none"/>
        </w:rPr>
        <w:instrText xml:space="preserve"> PAGEREF _Toc15771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14:paraId="05B97F29">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_Toc23274 </w:instrText>
      </w:r>
      <w:r>
        <w:rPr>
          <w:color w:val="auto"/>
          <w:highlight w:val="none"/>
        </w:rPr>
        <w:fldChar w:fldCharType="separate"/>
      </w:r>
      <w:r>
        <w:rPr>
          <w:rFonts w:hint="eastAsia" w:cs="黑体"/>
          <w:color w:val="auto"/>
          <w:highlight w:val="none"/>
        </w:rPr>
        <w:t>附件</w:t>
      </w:r>
      <w:r>
        <w:rPr>
          <w:color w:val="auto"/>
          <w:highlight w:val="none"/>
        </w:rPr>
        <w:t xml:space="preserve">B  </w:t>
      </w:r>
      <w:r>
        <w:rPr>
          <w:rFonts w:hint="eastAsia" w:cs="黑体"/>
          <w:color w:val="auto"/>
          <w:highlight w:val="none"/>
        </w:rPr>
        <w:t>否决投标条件</w:t>
      </w:r>
      <w:r>
        <w:rPr>
          <w:color w:val="auto"/>
          <w:highlight w:val="none"/>
        </w:rPr>
        <w:tab/>
      </w:r>
      <w:r>
        <w:rPr>
          <w:color w:val="auto"/>
          <w:highlight w:val="none"/>
        </w:rPr>
        <w:fldChar w:fldCharType="begin"/>
      </w:r>
      <w:r>
        <w:rPr>
          <w:color w:val="auto"/>
          <w:highlight w:val="none"/>
        </w:rPr>
        <w:instrText xml:space="preserve"> PAGEREF _Toc23274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666787D8">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_Toc29783 </w:instrText>
      </w:r>
      <w:r>
        <w:rPr>
          <w:color w:val="auto"/>
          <w:highlight w:val="none"/>
        </w:rPr>
        <w:fldChar w:fldCharType="separate"/>
      </w:r>
      <w:r>
        <w:rPr>
          <w:rFonts w:hint="eastAsia" w:cs="黑体"/>
          <w:color w:val="auto"/>
          <w:highlight w:val="none"/>
        </w:rPr>
        <w:t>第三章</w:t>
      </w:r>
      <w:r>
        <w:rPr>
          <w:color w:val="auto"/>
          <w:highlight w:val="none"/>
        </w:rPr>
        <w:t xml:space="preserve">  </w:t>
      </w:r>
      <w:r>
        <w:rPr>
          <w:rFonts w:hint="eastAsia" w:cs="黑体"/>
          <w:color w:val="auto"/>
          <w:highlight w:val="none"/>
        </w:rPr>
        <w:t>评标办法（综合评估法）</w:t>
      </w:r>
      <w:r>
        <w:rPr>
          <w:color w:val="auto"/>
          <w:highlight w:val="none"/>
        </w:rPr>
        <w:tab/>
      </w:r>
      <w:r>
        <w:rPr>
          <w:color w:val="auto"/>
          <w:highlight w:val="none"/>
        </w:rPr>
        <w:fldChar w:fldCharType="begin"/>
      </w:r>
      <w:r>
        <w:rPr>
          <w:color w:val="auto"/>
          <w:highlight w:val="none"/>
        </w:rPr>
        <w:instrText xml:space="preserve"> PAGEREF _Toc29783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14:paraId="22464736">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_Toc20976 </w:instrText>
      </w:r>
      <w:r>
        <w:rPr>
          <w:color w:val="auto"/>
          <w:highlight w:val="none"/>
        </w:rPr>
        <w:fldChar w:fldCharType="separate"/>
      </w:r>
      <w:r>
        <w:rPr>
          <w:rFonts w:hint="eastAsia" w:cs="黑体"/>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_Toc20976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14:paraId="41C5D670">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_Toc15637 </w:instrText>
      </w:r>
      <w:r>
        <w:rPr>
          <w:color w:val="auto"/>
          <w:highlight w:val="none"/>
        </w:rPr>
        <w:fldChar w:fldCharType="separate"/>
      </w:r>
      <w:r>
        <w:rPr>
          <w:rFonts w:hint="eastAsia" w:cs="黑体"/>
          <w:color w:val="auto"/>
          <w:highlight w:val="none"/>
        </w:rPr>
        <w:t>评标办法（综合评估法）正文部分</w:t>
      </w:r>
      <w:r>
        <w:rPr>
          <w:color w:val="auto"/>
          <w:highlight w:val="none"/>
        </w:rPr>
        <w:tab/>
      </w:r>
      <w:r>
        <w:rPr>
          <w:color w:val="auto"/>
          <w:highlight w:val="none"/>
        </w:rPr>
        <w:fldChar w:fldCharType="begin"/>
      </w:r>
      <w:r>
        <w:rPr>
          <w:color w:val="auto"/>
          <w:highlight w:val="none"/>
        </w:rPr>
        <w:instrText xml:space="preserve"> PAGEREF _Toc15637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19DD4299">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_Toc22280 </w:instrText>
      </w:r>
      <w:r>
        <w:rPr>
          <w:color w:val="auto"/>
          <w:highlight w:val="none"/>
        </w:rPr>
        <w:fldChar w:fldCharType="separate"/>
      </w:r>
      <w:r>
        <w:rPr>
          <w:color w:val="auto"/>
          <w:highlight w:val="none"/>
        </w:rPr>
        <w:t xml:space="preserve">1 </w:t>
      </w:r>
      <w:r>
        <w:rPr>
          <w:rFonts w:hint="eastAsia" w:cs="黑体"/>
          <w:color w:val="auto"/>
          <w:highlight w:val="none"/>
        </w:rPr>
        <w:t>评标方法</w:t>
      </w:r>
      <w:r>
        <w:rPr>
          <w:color w:val="auto"/>
          <w:highlight w:val="none"/>
        </w:rPr>
        <w:tab/>
      </w:r>
      <w:r>
        <w:rPr>
          <w:color w:val="auto"/>
          <w:highlight w:val="none"/>
        </w:rPr>
        <w:fldChar w:fldCharType="begin"/>
      </w:r>
      <w:r>
        <w:rPr>
          <w:color w:val="auto"/>
          <w:highlight w:val="none"/>
        </w:rPr>
        <w:instrText xml:space="preserve"> PAGEREF _Toc22280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5D19F6AE">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_Toc383 </w:instrText>
      </w:r>
      <w:r>
        <w:rPr>
          <w:color w:val="auto"/>
          <w:highlight w:val="none"/>
        </w:rPr>
        <w:fldChar w:fldCharType="separate"/>
      </w:r>
      <w:r>
        <w:rPr>
          <w:color w:val="auto"/>
          <w:highlight w:val="none"/>
        </w:rPr>
        <w:t xml:space="preserve">2 </w:t>
      </w:r>
      <w:r>
        <w:rPr>
          <w:rFonts w:hint="eastAsia" w:cs="黑体"/>
          <w:color w:val="auto"/>
          <w:highlight w:val="none"/>
        </w:rPr>
        <w:t>评审标准</w:t>
      </w:r>
      <w:r>
        <w:rPr>
          <w:color w:val="auto"/>
          <w:highlight w:val="none"/>
        </w:rPr>
        <w:tab/>
      </w:r>
      <w:r>
        <w:rPr>
          <w:color w:val="auto"/>
          <w:highlight w:val="none"/>
        </w:rPr>
        <w:fldChar w:fldCharType="begin"/>
      </w:r>
      <w:r>
        <w:rPr>
          <w:color w:val="auto"/>
          <w:highlight w:val="none"/>
        </w:rPr>
        <w:instrText xml:space="preserve"> PAGEREF _Toc383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6516C973">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_Toc14808 </w:instrText>
      </w:r>
      <w:r>
        <w:rPr>
          <w:color w:val="auto"/>
          <w:highlight w:val="none"/>
        </w:rPr>
        <w:fldChar w:fldCharType="separate"/>
      </w:r>
      <w:r>
        <w:rPr>
          <w:color w:val="auto"/>
          <w:highlight w:val="none"/>
        </w:rPr>
        <w:t xml:space="preserve">2.1 </w:t>
      </w:r>
      <w:r>
        <w:rPr>
          <w:rFonts w:hint="eastAsia" w:cs="黑体"/>
          <w:color w:val="auto"/>
          <w:highlight w:val="none"/>
        </w:rPr>
        <w:t>初步评审标准</w:t>
      </w:r>
      <w:r>
        <w:rPr>
          <w:color w:val="auto"/>
          <w:highlight w:val="none"/>
        </w:rPr>
        <w:tab/>
      </w:r>
      <w:r>
        <w:rPr>
          <w:color w:val="auto"/>
          <w:highlight w:val="none"/>
        </w:rPr>
        <w:fldChar w:fldCharType="begin"/>
      </w:r>
      <w:r>
        <w:rPr>
          <w:color w:val="auto"/>
          <w:highlight w:val="none"/>
        </w:rPr>
        <w:instrText xml:space="preserve"> PAGEREF _Toc14808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7C095E65">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_Toc18303 </w:instrText>
      </w:r>
      <w:r>
        <w:rPr>
          <w:color w:val="auto"/>
          <w:highlight w:val="none"/>
        </w:rPr>
        <w:fldChar w:fldCharType="separate"/>
      </w:r>
      <w:r>
        <w:rPr>
          <w:color w:val="auto"/>
          <w:highlight w:val="none"/>
        </w:rPr>
        <w:t xml:space="preserve">2.2 </w:t>
      </w:r>
      <w:r>
        <w:rPr>
          <w:rFonts w:hint="eastAsia" w:cs="黑体"/>
          <w:color w:val="auto"/>
          <w:highlight w:val="none"/>
        </w:rPr>
        <w:t>详细评审标准</w:t>
      </w:r>
      <w:r>
        <w:rPr>
          <w:color w:val="auto"/>
          <w:highlight w:val="none"/>
        </w:rPr>
        <w:tab/>
      </w:r>
      <w:r>
        <w:rPr>
          <w:color w:val="auto"/>
          <w:highlight w:val="none"/>
        </w:rPr>
        <w:fldChar w:fldCharType="begin"/>
      </w:r>
      <w:r>
        <w:rPr>
          <w:color w:val="auto"/>
          <w:highlight w:val="none"/>
        </w:rPr>
        <w:instrText xml:space="preserve"> PAGEREF _Toc18303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7CC08D86">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_Toc8351 </w:instrText>
      </w:r>
      <w:r>
        <w:rPr>
          <w:color w:val="auto"/>
          <w:highlight w:val="none"/>
        </w:rPr>
        <w:fldChar w:fldCharType="separate"/>
      </w:r>
      <w:r>
        <w:rPr>
          <w:color w:val="auto"/>
          <w:highlight w:val="none"/>
        </w:rPr>
        <w:t xml:space="preserve">3 </w:t>
      </w:r>
      <w:r>
        <w:rPr>
          <w:rFonts w:hint="eastAsia" w:cs="黑体"/>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_Toc8351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22F2DF7C">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_Toc23666 </w:instrText>
      </w:r>
      <w:r>
        <w:rPr>
          <w:color w:val="auto"/>
          <w:highlight w:val="none"/>
        </w:rPr>
        <w:fldChar w:fldCharType="separate"/>
      </w:r>
      <w:r>
        <w:rPr>
          <w:color w:val="auto"/>
          <w:highlight w:val="none"/>
        </w:rPr>
        <w:t xml:space="preserve">3.1 </w:t>
      </w:r>
      <w:r>
        <w:rPr>
          <w:rFonts w:hint="eastAsia" w:cs="黑体"/>
          <w:color w:val="auto"/>
          <w:highlight w:val="none"/>
        </w:rPr>
        <w:t>初步评审</w:t>
      </w:r>
      <w:r>
        <w:rPr>
          <w:color w:val="auto"/>
          <w:highlight w:val="none"/>
        </w:rPr>
        <w:tab/>
      </w:r>
      <w:r>
        <w:rPr>
          <w:color w:val="auto"/>
          <w:highlight w:val="none"/>
        </w:rPr>
        <w:fldChar w:fldCharType="begin"/>
      </w:r>
      <w:r>
        <w:rPr>
          <w:color w:val="auto"/>
          <w:highlight w:val="none"/>
        </w:rPr>
        <w:instrText xml:space="preserve"> PAGEREF _Toc23666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43B62B4F">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_Toc11028 </w:instrText>
      </w:r>
      <w:r>
        <w:rPr>
          <w:color w:val="auto"/>
          <w:highlight w:val="none"/>
        </w:rPr>
        <w:fldChar w:fldCharType="separate"/>
      </w:r>
      <w:r>
        <w:rPr>
          <w:color w:val="auto"/>
          <w:highlight w:val="none"/>
        </w:rPr>
        <w:t xml:space="preserve">3.2 </w:t>
      </w:r>
      <w:r>
        <w:rPr>
          <w:rFonts w:hint="eastAsia" w:cs="黑体"/>
          <w:color w:val="auto"/>
          <w:highlight w:val="none"/>
        </w:rPr>
        <w:t>详细评审</w:t>
      </w:r>
      <w:r>
        <w:rPr>
          <w:color w:val="auto"/>
          <w:highlight w:val="none"/>
        </w:rPr>
        <w:tab/>
      </w:r>
      <w:r>
        <w:rPr>
          <w:color w:val="auto"/>
          <w:highlight w:val="none"/>
        </w:rPr>
        <w:fldChar w:fldCharType="begin"/>
      </w:r>
      <w:r>
        <w:rPr>
          <w:color w:val="auto"/>
          <w:highlight w:val="none"/>
        </w:rPr>
        <w:instrText xml:space="preserve"> PAGEREF _Toc11028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14:paraId="2EB6061E">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_Toc29136 </w:instrText>
      </w:r>
      <w:r>
        <w:rPr>
          <w:color w:val="auto"/>
          <w:highlight w:val="none"/>
        </w:rPr>
        <w:fldChar w:fldCharType="separate"/>
      </w:r>
      <w:r>
        <w:rPr>
          <w:color w:val="auto"/>
          <w:highlight w:val="none"/>
        </w:rPr>
        <w:t xml:space="preserve">3.3 </w:t>
      </w:r>
      <w:r>
        <w:rPr>
          <w:rFonts w:hint="eastAsia" w:cs="黑体"/>
          <w:color w:val="auto"/>
          <w:highlight w:val="none"/>
        </w:rPr>
        <w:t>投标文件的澄清和补正</w:t>
      </w:r>
      <w:r>
        <w:rPr>
          <w:color w:val="auto"/>
          <w:highlight w:val="none"/>
        </w:rPr>
        <w:tab/>
      </w:r>
      <w:r>
        <w:rPr>
          <w:color w:val="auto"/>
          <w:highlight w:val="none"/>
        </w:rPr>
        <w:fldChar w:fldCharType="begin"/>
      </w:r>
      <w:r>
        <w:rPr>
          <w:color w:val="auto"/>
          <w:highlight w:val="none"/>
        </w:rPr>
        <w:instrText xml:space="preserve"> PAGEREF _Toc29136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14:paraId="53D9A53F">
      <w:pPr>
        <w:pStyle w:val="21"/>
        <w:tabs>
          <w:tab w:val="right" w:leader="dot" w:pos="8669"/>
        </w:tabs>
        <w:rPr>
          <w:color w:val="auto"/>
          <w:highlight w:val="none"/>
        </w:rPr>
      </w:pPr>
      <w:r>
        <w:rPr>
          <w:color w:val="auto"/>
          <w:highlight w:val="none"/>
        </w:rPr>
        <w:fldChar w:fldCharType="begin"/>
      </w:r>
      <w:r>
        <w:rPr>
          <w:color w:val="auto"/>
          <w:highlight w:val="none"/>
        </w:rPr>
        <w:instrText xml:space="preserve"> HYPERLINK \l _Toc6880 </w:instrText>
      </w:r>
      <w:r>
        <w:rPr>
          <w:color w:val="auto"/>
          <w:highlight w:val="none"/>
        </w:rPr>
        <w:fldChar w:fldCharType="separate"/>
      </w:r>
      <w:r>
        <w:rPr>
          <w:color w:val="auto"/>
          <w:highlight w:val="none"/>
        </w:rPr>
        <w:t xml:space="preserve">3.4 </w:t>
      </w:r>
      <w:r>
        <w:rPr>
          <w:rFonts w:hint="eastAsia" w:cs="黑体"/>
          <w:color w:val="auto"/>
          <w:highlight w:val="none"/>
        </w:rPr>
        <w:t>评标结果</w:t>
      </w:r>
      <w:r>
        <w:rPr>
          <w:color w:val="auto"/>
          <w:highlight w:val="none"/>
        </w:rPr>
        <w:tab/>
      </w:r>
      <w:r>
        <w:rPr>
          <w:color w:val="auto"/>
          <w:highlight w:val="none"/>
        </w:rPr>
        <w:fldChar w:fldCharType="begin"/>
      </w:r>
      <w:r>
        <w:rPr>
          <w:color w:val="auto"/>
          <w:highlight w:val="none"/>
        </w:rPr>
        <w:instrText xml:space="preserve"> PAGEREF _Toc6880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14:paraId="68BC5487">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_Toc10321 </w:instrText>
      </w:r>
      <w:r>
        <w:rPr>
          <w:color w:val="auto"/>
          <w:highlight w:val="none"/>
        </w:rPr>
        <w:fldChar w:fldCharType="separate"/>
      </w:r>
      <w:r>
        <w:rPr>
          <w:rFonts w:hint="eastAsia" w:cs="黑体"/>
          <w:color w:val="auto"/>
          <w:highlight w:val="none"/>
        </w:rPr>
        <w:t>附件</w:t>
      </w:r>
      <w:r>
        <w:rPr>
          <w:color w:val="auto"/>
          <w:highlight w:val="none"/>
        </w:rPr>
        <w:t xml:space="preserve">A  </w:t>
      </w:r>
      <w:r>
        <w:rPr>
          <w:rFonts w:hint="eastAsia" w:cs="黑体"/>
          <w:color w:val="auto"/>
          <w:highlight w:val="none"/>
        </w:rPr>
        <w:t>评标详细程序</w:t>
      </w:r>
      <w:r>
        <w:rPr>
          <w:color w:val="auto"/>
          <w:highlight w:val="none"/>
        </w:rPr>
        <w:tab/>
      </w:r>
      <w:r>
        <w:rPr>
          <w:color w:val="auto"/>
          <w:highlight w:val="none"/>
        </w:rPr>
        <w:fldChar w:fldCharType="begin"/>
      </w:r>
      <w:r>
        <w:rPr>
          <w:color w:val="auto"/>
          <w:highlight w:val="none"/>
        </w:rPr>
        <w:instrText xml:space="preserve"> PAGEREF _Toc10321 \h </w:instrText>
      </w:r>
      <w:r>
        <w:rPr>
          <w:color w:val="auto"/>
          <w:highlight w:val="none"/>
        </w:rPr>
        <w:fldChar w:fldCharType="separate"/>
      </w:r>
      <w:r>
        <w:rPr>
          <w:color w:val="auto"/>
          <w:highlight w:val="none"/>
        </w:rPr>
        <w:t>100</w:t>
      </w:r>
      <w:r>
        <w:rPr>
          <w:color w:val="auto"/>
          <w:highlight w:val="none"/>
        </w:rPr>
        <w:fldChar w:fldCharType="end"/>
      </w:r>
      <w:r>
        <w:rPr>
          <w:color w:val="auto"/>
          <w:highlight w:val="none"/>
        </w:rPr>
        <w:fldChar w:fldCharType="end"/>
      </w:r>
    </w:p>
    <w:p w14:paraId="5A646CDF">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_Toc27080 </w:instrText>
      </w:r>
      <w:r>
        <w:rPr>
          <w:color w:val="auto"/>
          <w:highlight w:val="none"/>
        </w:rPr>
        <w:fldChar w:fldCharType="separate"/>
      </w:r>
      <w:r>
        <w:rPr>
          <w:rFonts w:hint="eastAsia" w:cs="黑体"/>
          <w:color w:val="auto"/>
          <w:highlight w:val="none"/>
        </w:rPr>
        <w:t>附件</w:t>
      </w:r>
      <w:r>
        <w:rPr>
          <w:color w:val="auto"/>
          <w:highlight w:val="none"/>
        </w:rPr>
        <w:t xml:space="preserve">B  </w:t>
      </w:r>
      <w:r>
        <w:rPr>
          <w:rFonts w:hint="eastAsia" w:cs="黑体"/>
          <w:color w:val="auto"/>
          <w:highlight w:val="none"/>
        </w:rPr>
        <w:t>否决投标条件</w:t>
      </w:r>
      <w:r>
        <w:rPr>
          <w:color w:val="auto"/>
          <w:highlight w:val="none"/>
        </w:rPr>
        <w:tab/>
      </w:r>
      <w:r>
        <w:rPr>
          <w:color w:val="auto"/>
          <w:highlight w:val="none"/>
        </w:rPr>
        <w:fldChar w:fldCharType="begin"/>
      </w:r>
      <w:r>
        <w:rPr>
          <w:color w:val="auto"/>
          <w:highlight w:val="none"/>
        </w:rPr>
        <w:instrText xml:space="preserve"> PAGEREF _Toc27080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7F632389">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_Toc4213 </w:instrText>
      </w:r>
      <w:r>
        <w:rPr>
          <w:color w:val="auto"/>
          <w:highlight w:val="none"/>
        </w:rPr>
        <w:fldChar w:fldCharType="separate"/>
      </w:r>
      <w:r>
        <w:rPr>
          <w:rFonts w:hint="eastAsia" w:cs="黑体"/>
          <w:color w:val="auto"/>
          <w:highlight w:val="none"/>
        </w:rPr>
        <w:t>第四章</w:t>
      </w:r>
      <w:r>
        <w:rPr>
          <w:rFonts w:cs="黑体"/>
          <w:color w:val="auto"/>
          <w:highlight w:val="none"/>
        </w:rPr>
        <w:t xml:space="preserve">  </w:t>
      </w:r>
      <w:r>
        <w:rPr>
          <w:rFonts w:hint="eastAsia" w:cs="黑体"/>
          <w:color w:val="auto"/>
          <w:highlight w:val="none"/>
        </w:rPr>
        <w:t>合同条款及格式</w:t>
      </w:r>
      <w:r>
        <w:rPr>
          <w:color w:val="auto"/>
          <w:highlight w:val="none"/>
        </w:rPr>
        <w:tab/>
      </w:r>
      <w:r>
        <w:rPr>
          <w:color w:val="auto"/>
          <w:highlight w:val="none"/>
        </w:rPr>
        <w:fldChar w:fldCharType="begin"/>
      </w:r>
      <w:r>
        <w:rPr>
          <w:color w:val="auto"/>
          <w:highlight w:val="none"/>
        </w:rPr>
        <w:instrText xml:space="preserve"> PAGEREF _Toc4213 \h </w:instrText>
      </w:r>
      <w:r>
        <w:rPr>
          <w:color w:val="auto"/>
          <w:highlight w:val="none"/>
        </w:rPr>
        <w:fldChar w:fldCharType="separate"/>
      </w:r>
      <w:r>
        <w:rPr>
          <w:color w:val="auto"/>
          <w:highlight w:val="none"/>
        </w:rPr>
        <w:t>135</w:t>
      </w:r>
      <w:r>
        <w:rPr>
          <w:color w:val="auto"/>
          <w:highlight w:val="none"/>
        </w:rPr>
        <w:fldChar w:fldCharType="end"/>
      </w:r>
      <w:r>
        <w:rPr>
          <w:color w:val="auto"/>
          <w:highlight w:val="none"/>
        </w:rPr>
        <w:fldChar w:fldCharType="end"/>
      </w:r>
    </w:p>
    <w:p w14:paraId="4F1582E4">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_Toc4704 </w:instrText>
      </w:r>
      <w:r>
        <w:rPr>
          <w:color w:val="auto"/>
          <w:highlight w:val="none"/>
        </w:rPr>
        <w:fldChar w:fldCharType="separate"/>
      </w:r>
      <w:r>
        <w:rPr>
          <w:rFonts w:hint="eastAsia" w:cs="黑体"/>
          <w:color w:val="auto"/>
          <w:highlight w:val="none"/>
        </w:rPr>
        <w:t>第一部分</w:t>
      </w:r>
      <w:r>
        <w:rPr>
          <w:color w:val="auto"/>
          <w:highlight w:val="none"/>
        </w:rPr>
        <w:t xml:space="preserve"> </w:t>
      </w:r>
      <w:r>
        <w:rPr>
          <w:rFonts w:hint="eastAsia" w:cs="黑体"/>
          <w:color w:val="auto"/>
          <w:highlight w:val="none"/>
        </w:rPr>
        <w:t>合同协议书</w:t>
      </w:r>
      <w:r>
        <w:rPr>
          <w:color w:val="auto"/>
          <w:highlight w:val="none"/>
        </w:rPr>
        <w:tab/>
      </w:r>
      <w:r>
        <w:rPr>
          <w:color w:val="auto"/>
          <w:highlight w:val="none"/>
        </w:rPr>
        <w:fldChar w:fldCharType="begin"/>
      </w:r>
      <w:r>
        <w:rPr>
          <w:color w:val="auto"/>
          <w:highlight w:val="none"/>
        </w:rPr>
        <w:instrText xml:space="preserve"> PAGEREF _Toc4704 \h </w:instrText>
      </w:r>
      <w:r>
        <w:rPr>
          <w:color w:val="auto"/>
          <w:highlight w:val="none"/>
        </w:rPr>
        <w:fldChar w:fldCharType="separate"/>
      </w:r>
      <w:r>
        <w:rPr>
          <w:color w:val="auto"/>
          <w:highlight w:val="none"/>
        </w:rPr>
        <w:t>135</w:t>
      </w:r>
      <w:r>
        <w:rPr>
          <w:color w:val="auto"/>
          <w:highlight w:val="none"/>
        </w:rPr>
        <w:fldChar w:fldCharType="end"/>
      </w:r>
      <w:r>
        <w:rPr>
          <w:color w:val="auto"/>
          <w:highlight w:val="none"/>
        </w:rPr>
        <w:fldChar w:fldCharType="end"/>
      </w:r>
    </w:p>
    <w:p w14:paraId="7A9ADE3D">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_Toc7212 </w:instrText>
      </w:r>
      <w:r>
        <w:rPr>
          <w:color w:val="auto"/>
          <w:highlight w:val="none"/>
        </w:rPr>
        <w:fldChar w:fldCharType="separate"/>
      </w:r>
      <w:r>
        <w:rPr>
          <w:rFonts w:hint="eastAsia" w:cs="黑体"/>
          <w:color w:val="auto"/>
          <w:highlight w:val="none"/>
        </w:rPr>
        <w:t>第二部分</w:t>
      </w:r>
      <w:r>
        <w:rPr>
          <w:color w:val="auto"/>
          <w:highlight w:val="none"/>
        </w:rPr>
        <w:t xml:space="preserve"> </w:t>
      </w:r>
      <w:r>
        <w:rPr>
          <w:rFonts w:hint="eastAsia" w:cs="黑体"/>
          <w:color w:val="auto"/>
          <w:highlight w:val="none"/>
        </w:rPr>
        <w:t>通用合同条款</w:t>
      </w:r>
      <w:r>
        <w:rPr>
          <w:color w:val="auto"/>
          <w:highlight w:val="none"/>
        </w:rPr>
        <w:tab/>
      </w:r>
      <w:r>
        <w:rPr>
          <w:color w:val="auto"/>
          <w:highlight w:val="none"/>
        </w:rPr>
        <w:fldChar w:fldCharType="begin"/>
      </w:r>
      <w:r>
        <w:rPr>
          <w:color w:val="auto"/>
          <w:highlight w:val="none"/>
        </w:rPr>
        <w:instrText xml:space="preserve"> PAGEREF _Toc7212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14:paraId="0554E92E">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_Toc15440 </w:instrText>
      </w:r>
      <w:r>
        <w:rPr>
          <w:color w:val="auto"/>
          <w:highlight w:val="none"/>
        </w:rPr>
        <w:fldChar w:fldCharType="separate"/>
      </w:r>
      <w:r>
        <w:rPr>
          <w:rFonts w:hint="eastAsia" w:hAnsi="宋体" w:cs="黑体"/>
          <w:color w:val="auto"/>
          <w:szCs w:val="30"/>
          <w:highlight w:val="none"/>
        </w:rPr>
        <w:t>第三部分</w:t>
      </w:r>
      <w:r>
        <w:rPr>
          <w:color w:val="auto"/>
          <w:szCs w:val="30"/>
          <w:highlight w:val="none"/>
        </w:rPr>
        <w:t xml:space="preserve"> </w:t>
      </w:r>
      <w:r>
        <w:rPr>
          <w:rFonts w:hint="eastAsia" w:hAnsi="宋体" w:cs="黑体"/>
          <w:color w:val="auto"/>
          <w:szCs w:val="30"/>
          <w:highlight w:val="none"/>
        </w:rPr>
        <w:t>专用合同条款</w:t>
      </w:r>
      <w:r>
        <w:rPr>
          <w:color w:val="auto"/>
          <w:highlight w:val="none"/>
        </w:rPr>
        <w:tab/>
      </w:r>
      <w:r>
        <w:rPr>
          <w:color w:val="auto"/>
          <w:highlight w:val="none"/>
        </w:rPr>
        <w:fldChar w:fldCharType="begin"/>
      </w:r>
      <w:r>
        <w:rPr>
          <w:color w:val="auto"/>
          <w:highlight w:val="none"/>
        </w:rPr>
        <w:instrText xml:space="preserve"> PAGEREF _Toc15440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14:paraId="62E4B704">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_Toc7869 </w:instrText>
      </w:r>
      <w:r>
        <w:rPr>
          <w:color w:val="auto"/>
          <w:highlight w:val="none"/>
        </w:rPr>
        <w:fldChar w:fldCharType="separate"/>
      </w:r>
      <w:r>
        <w:rPr>
          <w:color w:val="auto"/>
          <w:highlight w:val="none"/>
        </w:rPr>
        <w:t xml:space="preserve">1. </w:t>
      </w:r>
      <w:r>
        <w:rPr>
          <w:rFonts w:hint="eastAsia" w:hAnsi="宋体" w:cs="黑体"/>
          <w:color w:val="auto"/>
          <w:highlight w:val="none"/>
        </w:rPr>
        <w:t>一般约定</w:t>
      </w:r>
      <w:r>
        <w:rPr>
          <w:color w:val="auto"/>
          <w:highlight w:val="none"/>
        </w:rPr>
        <w:tab/>
      </w:r>
      <w:r>
        <w:rPr>
          <w:color w:val="auto"/>
          <w:highlight w:val="none"/>
        </w:rPr>
        <w:fldChar w:fldCharType="begin"/>
      </w:r>
      <w:r>
        <w:rPr>
          <w:color w:val="auto"/>
          <w:highlight w:val="none"/>
        </w:rPr>
        <w:instrText xml:space="preserve"> PAGEREF _Toc7869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14:paraId="56F6F21D">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_Toc10918 </w:instrText>
      </w:r>
      <w:r>
        <w:rPr>
          <w:color w:val="auto"/>
          <w:highlight w:val="none"/>
        </w:rPr>
        <w:fldChar w:fldCharType="separate"/>
      </w:r>
      <w:r>
        <w:rPr>
          <w:color w:val="auto"/>
          <w:highlight w:val="none"/>
        </w:rPr>
        <w:t xml:space="preserve">2. </w:t>
      </w:r>
      <w:r>
        <w:rPr>
          <w:rFonts w:hint="eastAsia" w:hAnsi="宋体" w:cs="黑体"/>
          <w:color w:val="auto"/>
          <w:highlight w:val="none"/>
        </w:rPr>
        <w:t>发包人</w:t>
      </w:r>
      <w:r>
        <w:rPr>
          <w:color w:val="auto"/>
          <w:highlight w:val="none"/>
        </w:rPr>
        <w:tab/>
      </w:r>
      <w:r>
        <w:rPr>
          <w:color w:val="auto"/>
          <w:highlight w:val="none"/>
        </w:rPr>
        <w:fldChar w:fldCharType="begin"/>
      </w:r>
      <w:r>
        <w:rPr>
          <w:color w:val="auto"/>
          <w:highlight w:val="none"/>
        </w:rPr>
        <w:instrText xml:space="preserve"> PAGEREF _Toc10918 \h </w:instrText>
      </w:r>
      <w:r>
        <w:rPr>
          <w:color w:val="auto"/>
          <w:highlight w:val="none"/>
        </w:rPr>
        <w:fldChar w:fldCharType="separate"/>
      </w:r>
      <w:r>
        <w:rPr>
          <w:color w:val="auto"/>
          <w:highlight w:val="none"/>
        </w:rPr>
        <w:t>141</w:t>
      </w:r>
      <w:r>
        <w:rPr>
          <w:color w:val="auto"/>
          <w:highlight w:val="none"/>
        </w:rPr>
        <w:fldChar w:fldCharType="end"/>
      </w:r>
      <w:r>
        <w:rPr>
          <w:color w:val="auto"/>
          <w:highlight w:val="none"/>
        </w:rPr>
        <w:fldChar w:fldCharType="end"/>
      </w:r>
    </w:p>
    <w:p w14:paraId="72B123FD">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_Toc28432 </w:instrText>
      </w:r>
      <w:r>
        <w:rPr>
          <w:color w:val="auto"/>
          <w:highlight w:val="none"/>
        </w:rPr>
        <w:fldChar w:fldCharType="separate"/>
      </w:r>
      <w:r>
        <w:rPr>
          <w:color w:val="auto"/>
          <w:highlight w:val="none"/>
        </w:rPr>
        <w:t xml:space="preserve">3. </w:t>
      </w:r>
      <w:r>
        <w:rPr>
          <w:rFonts w:hint="eastAsia" w:hAnsi="宋体" w:cs="黑体"/>
          <w:color w:val="auto"/>
          <w:highlight w:val="none"/>
        </w:rPr>
        <w:t>承包人</w:t>
      </w:r>
      <w:r>
        <w:rPr>
          <w:color w:val="auto"/>
          <w:highlight w:val="none"/>
        </w:rPr>
        <w:tab/>
      </w:r>
      <w:r>
        <w:rPr>
          <w:color w:val="auto"/>
          <w:highlight w:val="none"/>
        </w:rPr>
        <w:fldChar w:fldCharType="begin"/>
      </w:r>
      <w:r>
        <w:rPr>
          <w:color w:val="auto"/>
          <w:highlight w:val="none"/>
        </w:rPr>
        <w:instrText xml:space="preserve"> PAGEREF _Toc28432 \h </w:instrText>
      </w:r>
      <w:r>
        <w:rPr>
          <w:color w:val="auto"/>
          <w:highlight w:val="none"/>
        </w:rPr>
        <w:fldChar w:fldCharType="separate"/>
      </w:r>
      <w:r>
        <w:rPr>
          <w:color w:val="auto"/>
          <w:highlight w:val="none"/>
        </w:rPr>
        <w:t>142</w:t>
      </w:r>
      <w:r>
        <w:rPr>
          <w:color w:val="auto"/>
          <w:highlight w:val="none"/>
        </w:rPr>
        <w:fldChar w:fldCharType="end"/>
      </w:r>
      <w:r>
        <w:rPr>
          <w:color w:val="auto"/>
          <w:highlight w:val="none"/>
        </w:rPr>
        <w:fldChar w:fldCharType="end"/>
      </w:r>
    </w:p>
    <w:p w14:paraId="37224A15">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_Toc17369 </w:instrText>
      </w:r>
      <w:r>
        <w:rPr>
          <w:color w:val="auto"/>
          <w:highlight w:val="none"/>
        </w:rPr>
        <w:fldChar w:fldCharType="separate"/>
      </w:r>
      <w:r>
        <w:rPr>
          <w:color w:val="auto"/>
          <w:highlight w:val="none"/>
        </w:rPr>
        <w:t xml:space="preserve">4. </w:t>
      </w:r>
      <w:r>
        <w:rPr>
          <w:rFonts w:hint="eastAsia" w:hAnsi="宋体" w:cs="黑体"/>
          <w:color w:val="auto"/>
          <w:highlight w:val="none"/>
        </w:rPr>
        <w:t>监理人</w:t>
      </w:r>
      <w:r>
        <w:rPr>
          <w:color w:val="auto"/>
          <w:highlight w:val="none"/>
        </w:rPr>
        <w:tab/>
      </w:r>
      <w:r>
        <w:rPr>
          <w:color w:val="auto"/>
          <w:highlight w:val="none"/>
        </w:rPr>
        <w:fldChar w:fldCharType="begin"/>
      </w:r>
      <w:r>
        <w:rPr>
          <w:color w:val="auto"/>
          <w:highlight w:val="none"/>
        </w:rPr>
        <w:instrText xml:space="preserve"> PAGEREF _Toc17369 \h </w:instrText>
      </w:r>
      <w:r>
        <w:rPr>
          <w:color w:val="auto"/>
          <w:highlight w:val="none"/>
        </w:rPr>
        <w:fldChar w:fldCharType="separate"/>
      </w:r>
      <w:r>
        <w:rPr>
          <w:color w:val="auto"/>
          <w:highlight w:val="none"/>
        </w:rPr>
        <w:t>145</w:t>
      </w:r>
      <w:r>
        <w:rPr>
          <w:color w:val="auto"/>
          <w:highlight w:val="none"/>
        </w:rPr>
        <w:fldChar w:fldCharType="end"/>
      </w:r>
      <w:r>
        <w:rPr>
          <w:color w:val="auto"/>
          <w:highlight w:val="none"/>
        </w:rPr>
        <w:fldChar w:fldCharType="end"/>
      </w:r>
    </w:p>
    <w:p w14:paraId="70331789">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_Toc7948 </w:instrText>
      </w:r>
      <w:r>
        <w:rPr>
          <w:color w:val="auto"/>
          <w:highlight w:val="none"/>
        </w:rPr>
        <w:fldChar w:fldCharType="separate"/>
      </w:r>
      <w:r>
        <w:rPr>
          <w:color w:val="auto"/>
          <w:highlight w:val="none"/>
        </w:rPr>
        <w:t xml:space="preserve">5. </w:t>
      </w:r>
      <w:r>
        <w:rPr>
          <w:rFonts w:hint="eastAsia" w:hAnsi="宋体" w:cs="黑体"/>
          <w:color w:val="auto"/>
          <w:highlight w:val="none"/>
        </w:rPr>
        <w:t>工程质量</w:t>
      </w:r>
      <w:r>
        <w:rPr>
          <w:color w:val="auto"/>
          <w:highlight w:val="none"/>
        </w:rPr>
        <w:tab/>
      </w:r>
      <w:r>
        <w:rPr>
          <w:color w:val="auto"/>
          <w:highlight w:val="none"/>
        </w:rPr>
        <w:fldChar w:fldCharType="begin"/>
      </w:r>
      <w:r>
        <w:rPr>
          <w:color w:val="auto"/>
          <w:highlight w:val="none"/>
        </w:rPr>
        <w:instrText xml:space="preserve"> PAGEREF _Toc7948 \h </w:instrText>
      </w:r>
      <w:r>
        <w:rPr>
          <w:color w:val="auto"/>
          <w:highlight w:val="none"/>
        </w:rPr>
        <w:fldChar w:fldCharType="separate"/>
      </w:r>
      <w:r>
        <w:rPr>
          <w:color w:val="auto"/>
          <w:highlight w:val="none"/>
        </w:rPr>
        <w:t>145</w:t>
      </w:r>
      <w:r>
        <w:rPr>
          <w:color w:val="auto"/>
          <w:highlight w:val="none"/>
        </w:rPr>
        <w:fldChar w:fldCharType="end"/>
      </w:r>
      <w:r>
        <w:rPr>
          <w:color w:val="auto"/>
          <w:highlight w:val="none"/>
        </w:rPr>
        <w:fldChar w:fldCharType="end"/>
      </w:r>
    </w:p>
    <w:p w14:paraId="20C54134">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_Toc12794 </w:instrText>
      </w:r>
      <w:r>
        <w:rPr>
          <w:color w:val="auto"/>
          <w:highlight w:val="none"/>
        </w:rPr>
        <w:fldChar w:fldCharType="separate"/>
      </w:r>
      <w:r>
        <w:rPr>
          <w:color w:val="auto"/>
          <w:highlight w:val="none"/>
        </w:rPr>
        <w:t xml:space="preserve">6. </w:t>
      </w:r>
      <w:r>
        <w:rPr>
          <w:rFonts w:hint="eastAsia" w:cs="黑体"/>
          <w:color w:val="auto"/>
          <w:highlight w:val="none"/>
        </w:rPr>
        <w:t>安全文明施工与环境保护</w:t>
      </w:r>
      <w:r>
        <w:rPr>
          <w:color w:val="auto"/>
          <w:highlight w:val="none"/>
        </w:rPr>
        <w:tab/>
      </w:r>
      <w:r>
        <w:rPr>
          <w:color w:val="auto"/>
          <w:highlight w:val="none"/>
        </w:rPr>
        <w:fldChar w:fldCharType="begin"/>
      </w:r>
      <w:r>
        <w:rPr>
          <w:color w:val="auto"/>
          <w:highlight w:val="none"/>
        </w:rPr>
        <w:instrText xml:space="preserve"> PAGEREF _Toc12794 \h </w:instrText>
      </w:r>
      <w:r>
        <w:rPr>
          <w:color w:val="auto"/>
          <w:highlight w:val="none"/>
        </w:rPr>
        <w:fldChar w:fldCharType="separate"/>
      </w:r>
      <w:r>
        <w:rPr>
          <w:color w:val="auto"/>
          <w:highlight w:val="none"/>
        </w:rPr>
        <w:t>146</w:t>
      </w:r>
      <w:r>
        <w:rPr>
          <w:color w:val="auto"/>
          <w:highlight w:val="none"/>
        </w:rPr>
        <w:fldChar w:fldCharType="end"/>
      </w:r>
      <w:r>
        <w:rPr>
          <w:color w:val="auto"/>
          <w:highlight w:val="none"/>
        </w:rPr>
        <w:fldChar w:fldCharType="end"/>
      </w:r>
    </w:p>
    <w:p w14:paraId="35C17921">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_Toc6691 </w:instrText>
      </w:r>
      <w:r>
        <w:rPr>
          <w:color w:val="auto"/>
          <w:highlight w:val="none"/>
        </w:rPr>
        <w:fldChar w:fldCharType="separate"/>
      </w:r>
      <w:r>
        <w:rPr>
          <w:color w:val="auto"/>
          <w:highlight w:val="none"/>
        </w:rPr>
        <w:t xml:space="preserve">7. </w:t>
      </w:r>
      <w:r>
        <w:rPr>
          <w:rFonts w:hint="eastAsia" w:cs="黑体"/>
          <w:color w:val="auto"/>
          <w:highlight w:val="none"/>
        </w:rPr>
        <w:t>工期和进度</w:t>
      </w:r>
      <w:r>
        <w:rPr>
          <w:color w:val="auto"/>
          <w:highlight w:val="none"/>
        </w:rPr>
        <w:tab/>
      </w:r>
      <w:r>
        <w:rPr>
          <w:color w:val="auto"/>
          <w:highlight w:val="none"/>
        </w:rPr>
        <w:fldChar w:fldCharType="begin"/>
      </w:r>
      <w:r>
        <w:rPr>
          <w:color w:val="auto"/>
          <w:highlight w:val="none"/>
        </w:rPr>
        <w:instrText xml:space="preserve"> PAGEREF _Toc6691 \h </w:instrText>
      </w:r>
      <w:r>
        <w:rPr>
          <w:color w:val="auto"/>
          <w:highlight w:val="none"/>
        </w:rPr>
        <w:fldChar w:fldCharType="separate"/>
      </w:r>
      <w:r>
        <w:rPr>
          <w:color w:val="auto"/>
          <w:highlight w:val="none"/>
        </w:rPr>
        <w:t>147</w:t>
      </w:r>
      <w:r>
        <w:rPr>
          <w:color w:val="auto"/>
          <w:highlight w:val="none"/>
        </w:rPr>
        <w:fldChar w:fldCharType="end"/>
      </w:r>
      <w:r>
        <w:rPr>
          <w:color w:val="auto"/>
          <w:highlight w:val="none"/>
        </w:rPr>
        <w:fldChar w:fldCharType="end"/>
      </w:r>
    </w:p>
    <w:p w14:paraId="47276694">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_Toc17641 </w:instrText>
      </w:r>
      <w:r>
        <w:rPr>
          <w:color w:val="auto"/>
          <w:highlight w:val="none"/>
        </w:rPr>
        <w:fldChar w:fldCharType="separate"/>
      </w:r>
      <w:r>
        <w:rPr>
          <w:color w:val="auto"/>
          <w:highlight w:val="none"/>
        </w:rPr>
        <w:t xml:space="preserve">8. </w:t>
      </w:r>
      <w:r>
        <w:rPr>
          <w:rFonts w:hint="eastAsia" w:cs="黑体"/>
          <w:color w:val="auto"/>
          <w:highlight w:val="none"/>
        </w:rPr>
        <w:t>材料与设备</w:t>
      </w:r>
      <w:r>
        <w:rPr>
          <w:color w:val="auto"/>
          <w:highlight w:val="none"/>
        </w:rPr>
        <w:tab/>
      </w:r>
      <w:r>
        <w:rPr>
          <w:color w:val="auto"/>
          <w:highlight w:val="none"/>
        </w:rPr>
        <w:fldChar w:fldCharType="begin"/>
      </w:r>
      <w:r>
        <w:rPr>
          <w:color w:val="auto"/>
          <w:highlight w:val="none"/>
        </w:rPr>
        <w:instrText xml:space="preserve"> PAGEREF _Toc17641 \h </w:instrText>
      </w:r>
      <w:r>
        <w:rPr>
          <w:color w:val="auto"/>
          <w:highlight w:val="none"/>
        </w:rPr>
        <w:fldChar w:fldCharType="separate"/>
      </w:r>
      <w:r>
        <w:rPr>
          <w:color w:val="auto"/>
          <w:highlight w:val="none"/>
        </w:rPr>
        <w:t>148</w:t>
      </w:r>
      <w:r>
        <w:rPr>
          <w:color w:val="auto"/>
          <w:highlight w:val="none"/>
        </w:rPr>
        <w:fldChar w:fldCharType="end"/>
      </w:r>
      <w:r>
        <w:rPr>
          <w:color w:val="auto"/>
          <w:highlight w:val="none"/>
        </w:rPr>
        <w:fldChar w:fldCharType="end"/>
      </w:r>
    </w:p>
    <w:p w14:paraId="602BD686">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_Toc27203 </w:instrText>
      </w:r>
      <w:r>
        <w:rPr>
          <w:color w:val="auto"/>
          <w:highlight w:val="none"/>
        </w:rPr>
        <w:fldChar w:fldCharType="separate"/>
      </w:r>
      <w:r>
        <w:rPr>
          <w:color w:val="auto"/>
          <w:highlight w:val="none"/>
        </w:rPr>
        <w:t xml:space="preserve">9. </w:t>
      </w:r>
      <w:r>
        <w:rPr>
          <w:rFonts w:hint="eastAsia" w:cs="黑体"/>
          <w:color w:val="auto"/>
          <w:highlight w:val="none"/>
        </w:rPr>
        <w:t>试验与检验</w:t>
      </w:r>
      <w:r>
        <w:rPr>
          <w:color w:val="auto"/>
          <w:highlight w:val="none"/>
        </w:rPr>
        <w:tab/>
      </w:r>
      <w:r>
        <w:rPr>
          <w:color w:val="auto"/>
          <w:highlight w:val="none"/>
        </w:rPr>
        <w:fldChar w:fldCharType="begin"/>
      </w:r>
      <w:r>
        <w:rPr>
          <w:color w:val="auto"/>
          <w:highlight w:val="none"/>
        </w:rPr>
        <w:instrText xml:space="preserve"> PAGEREF _Toc27203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14:paraId="6818B14A">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_Toc8753 </w:instrText>
      </w:r>
      <w:r>
        <w:rPr>
          <w:color w:val="auto"/>
          <w:highlight w:val="none"/>
        </w:rPr>
        <w:fldChar w:fldCharType="separate"/>
      </w:r>
      <w:r>
        <w:rPr>
          <w:color w:val="auto"/>
          <w:highlight w:val="none"/>
        </w:rPr>
        <w:t xml:space="preserve">10. </w:t>
      </w:r>
      <w:r>
        <w:rPr>
          <w:rFonts w:hint="eastAsia" w:hAnsi="宋体" w:cs="黑体"/>
          <w:color w:val="auto"/>
          <w:highlight w:val="none"/>
        </w:rPr>
        <w:t>变更</w:t>
      </w:r>
      <w:r>
        <w:rPr>
          <w:color w:val="auto"/>
          <w:highlight w:val="none"/>
        </w:rPr>
        <w:tab/>
      </w:r>
      <w:r>
        <w:rPr>
          <w:color w:val="auto"/>
          <w:highlight w:val="none"/>
        </w:rPr>
        <w:fldChar w:fldCharType="begin"/>
      </w:r>
      <w:r>
        <w:rPr>
          <w:color w:val="auto"/>
          <w:highlight w:val="none"/>
        </w:rPr>
        <w:instrText xml:space="preserve"> PAGEREF _Toc8753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14:paraId="3C2A228F">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_Toc16337 </w:instrText>
      </w:r>
      <w:r>
        <w:rPr>
          <w:color w:val="auto"/>
          <w:highlight w:val="none"/>
        </w:rPr>
        <w:fldChar w:fldCharType="separate"/>
      </w:r>
      <w:r>
        <w:rPr>
          <w:color w:val="auto"/>
          <w:highlight w:val="none"/>
        </w:rPr>
        <w:t xml:space="preserve">11. </w:t>
      </w:r>
      <w:r>
        <w:rPr>
          <w:rFonts w:hint="eastAsia" w:hAnsi="宋体" w:cs="黑体"/>
          <w:color w:val="auto"/>
          <w:highlight w:val="none"/>
        </w:rPr>
        <w:t>价格调整</w:t>
      </w:r>
      <w:r>
        <w:rPr>
          <w:color w:val="auto"/>
          <w:highlight w:val="none"/>
        </w:rPr>
        <w:tab/>
      </w:r>
      <w:r>
        <w:rPr>
          <w:color w:val="auto"/>
          <w:highlight w:val="none"/>
        </w:rPr>
        <w:fldChar w:fldCharType="begin"/>
      </w:r>
      <w:r>
        <w:rPr>
          <w:color w:val="auto"/>
          <w:highlight w:val="none"/>
        </w:rPr>
        <w:instrText xml:space="preserve"> PAGEREF _Toc16337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14:paraId="15E083E2">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_Toc15051 </w:instrText>
      </w:r>
      <w:r>
        <w:rPr>
          <w:color w:val="auto"/>
          <w:highlight w:val="none"/>
        </w:rPr>
        <w:fldChar w:fldCharType="separate"/>
      </w:r>
      <w:r>
        <w:rPr>
          <w:color w:val="auto"/>
          <w:highlight w:val="none"/>
        </w:rPr>
        <w:t xml:space="preserve">12. </w:t>
      </w:r>
      <w:r>
        <w:rPr>
          <w:rFonts w:hint="eastAsia" w:cs="黑体"/>
          <w:color w:val="auto"/>
          <w:highlight w:val="none"/>
        </w:rPr>
        <w:t>合同价格、计量与支付</w:t>
      </w:r>
      <w:r>
        <w:rPr>
          <w:color w:val="auto"/>
          <w:highlight w:val="none"/>
        </w:rPr>
        <w:tab/>
      </w:r>
      <w:r>
        <w:rPr>
          <w:color w:val="auto"/>
          <w:highlight w:val="none"/>
        </w:rPr>
        <w:fldChar w:fldCharType="begin"/>
      </w:r>
      <w:r>
        <w:rPr>
          <w:color w:val="auto"/>
          <w:highlight w:val="none"/>
        </w:rPr>
        <w:instrText xml:space="preserve"> PAGEREF _Toc15051 \h </w:instrText>
      </w:r>
      <w:r>
        <w:rPr>
          <w:color w:val="auto"/>
          <w:highlight w:val="none"/>
        </w:rPr>
        <w:fldChar w:fldCharType="separate"/>
      </w:r>
      <w:r>
        <w:rPr>
          <w:color w:val="auto"/>
          <w:highlight w:val="none"/>
        </w:rPr>
        <w:t>158</w:t>
      </w:r>
      <w:r>
        <w:rPr>
          <w:color w:val="auto"/>
          <w:highlight w:val="none"/>
        </w:rPr>
        <w:fldChar w:fldCharType="end"/>
      </w:r>
      <w:r>
        <w:rPr>
          <w:color w:val="auto"/>
          <w:highlight w:val="none"/>
        </w:rPr>
        <w:fldChar w:fldCharType="end"/>
      </w:r>
    </w:p>
    <w:p w14:paraId="470BA420">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_Toc29308 </w:instrText>
      </w:r>
      <w:r>
        <w:rPr>
          <w:color w:val="auto"/>
          <w:highlight w:val="none"/>
        </w:rPr>
        <w:fldChar w:fldCharType="separate"/>
      </w:r>
      <w:r>
        <w:rPr>
          <w:color w:val="auto"/>
          <w:highlight w:val="none"/>
        </w:rPr>
        <w:t xml:space="preserve">13. </w:t>
      </w:r>
      <w:r>
        <w:rPr>
          <w:rFonts w:hint="eastAsia" w:cs="黑体"/>
          <w:color w:val="auto"/>
          <w:highlight w:val="none"/>
        </w:rPr>
        <w:t>验收和工程试车</w:t>
      </w:r>
      <w:r>
        <w:rPr>
          <w:color w:val="auto"/>
          <w:highlight w:val="none"/>
        </w:rPr>
        <w:tab/>
      </w:r>
      <w:r>
        <w:rPr>
          <w:color w:val="auto"/>
          <w:highlight w:val="none"/>
        </w:rPr>
        <w:fldChar w:fldCharType="begin"/>
      </w:r>
      <w:r>
        <w:rPr>
          <w:color w:val="auto"/>
          <w:highlight w:val="none"/>
        </w:rPr>
        <w:instrText xml:space="preserve"> PAGEREF _Toc29308 \h </w:instrText>
      </w:r>
      <w:r>
        <w:rPr>
          <w:color w:val="auto"/>
          <w:highlight w:val="none"/>
        </w:rPr>
        <w:fldChar w:fldCharType="separate"/>
      </w:r>
      <w:r>
        <w:rPr>
          <w:color w:val="auto"/>
          <w:highlight w:val="none"/>
        </w:rPr>
        <w:t>162</w:t>
      </w:r>
      <w:r>
        <w:rPr>
          <w:color w:val="auto"/>
          <w:highlight w:val="none"/>
        </w:rPr>
        <w:fldChar w:fldCharType="end"/>
      </w:r>
      <w:r>
        <w:rPr>
          <w:color w:val="auto"/>
          <w:highlight w:val="none"/>
        </w:rPr>
        <w:fldChar w:fldCharType="end"/>
      </w:r>
    </w:p>
    <w:p w14:paraId="73B0C388">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_Toc24722 </w:instrText>
      </w:r>
      <w:r>
        <w:rPr>
          <w:color w:val="auto"/>
          <w:highlight w:val="none"/>
        </w:rPr>
        <w:fldChar w:fldCharType="separate"/>
      </w:r>
      <w:r>
        <w:rPr>
          <w:color w:val="auto"/>
          <w:highlight w:val="none"/>
        </w:rPr>
        <w:t xml:space="preserve">14. </w:t>
      </w:r>
      <w:r>
        <w:rPr>
          <w:rFonts w:hint="eastAsia" w:hAnsi="宋体" w:cs="黑体"/>
          <w:color w:val="auto"/>
          <w:highlight w:val="none"/>
        </w:rPr>
        <w:t>竣工结算</w:t>
      </w:r>
      <w:r>
        <w:rPr>
          <w:color w:val="auto"/>
          <w:highlight w:val="none"/>
        </w:rPr>
        <w:tab/>
      </w:r>
      <w:r>
        <w:rPr>
          <w:color w:val="auto"/>
          <w:highlight w:val="none"/>
        </w:rPr>
        <w:fldChar w:fldCharType="begin"/>
      </w:r>
      <w:r>
        <w:rPr>
          <w:color w:val="auto"/>
          <w:highlight w:val="none"/>
        </w:rPr>
        <w:instrText xml:space="preserve"> PAGEREF _Toc24722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2DD54D5E">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_Toc5429 </w:instrText>
      </w:r>
      <w:r>
        <w:rPr>
          <w:color w:val="auto"/>
          <w:highlight w:val="none"/>
        </w:rPr>
        <w:fldChar w:fldCharType="separate"/>
      </w:r>
      <w:r>
        <w:rPr>
          <w:color w:val="auto"/>
          <w:highlight w:val="none"/>
        </w:rPr>
        <w:t xml:space="preserve">15. </w:t>
      </w:r>
      <w:r>
        <w:rPr>
          <w:rFonts w:hint="eastAsia" w:cs="黑体"/>
          <w:color w:val="auto"/>
          <w:highlight w:val="none"/>
        </w:rPr>
        <w:t>缺陷责任期与保修</w:t>
      </w:r>
      <w:r>
        <w:rPr>
          <w:color w:val="auto"/>
          <w:highlight w:val="none"/>
        </w:rPr>
        <w:tab/>
      </w:r>
      <w:r>
        <w:rPr>
          <w:color w:val="auto"/>
          <w:highlight w:val="none"/>
        </w:rPr>
        <w:fldChar w:fldCharType="begin"/>
      </w:r>
      <w:r>
        <w:rPr>
          <w:color w:val="auto"/>
          <w:highlight w:val="none"/>
        </w:rPr>
        <w:instrText xml:space="preserve"> PAGEREF _Toc5429 \h </w:instrText>
      </w:r>
      <w:r>
        <w:rPr>
          <w:color w:val="auto"/>
          <w:highlight w:val="none"/>
        </w:rPr>
        <w:fldChar w:fldCharType="separate"/>
      </w:r>
      <w:r>
        <w:rPr>
          <w:color w:val="auto"/>
          <w:highlight w:val="none"/>
        </w:rPr>
        <w:t>165</w:t>
      </w:r>
      <w:r>
        <w:rPr>
          <w:color w:val="auto"/>
          <w:highlight w:val="none"/>
        </w:rPr>
        <w:fldChar w:fldCharType="end"/>
      </w:r>
      <w:r>
        <w:rPr>
          <w:color w:val="auto"/>
          <w:highlight w:val="none"/>
        </w:rPr>
        <w:fldChar w:fldCharType="end"/>
      </w:r>
    </w:p>
    <w:p w14:paraId="58673DA0">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_Toc3143 </w:instrText>
      </w:r>
      <w:r>
        <w:rPr>
          <w:color w:val="auto"/>
          <w:highlight w:val="none"/>
        </w:rPr>
        <w:fldChar w:fldCharType="separate"/>
      </w:r>
      <w:r>
        <w:rPr>
          <w:color w:val="auto"/>
          <w:highlight w:val="none"/>
        </w:rPr>
        <w:t xml:space="preserve">16. </w:t>
      </w:r>
      <w:r>
        <w:rPr>
          <w:rFonts w:hint="eastAsia" w:hAnsi="宋体" w:cs="黑体"/>
          <w:color w:val="auto"/>
          <w:highlight w:val="none"/>
        </w:rPr>
        <w:t>违约</w:t>
      </w:r>
      <w:r>
        <w:rPr>
          <w:color w:val="auto"/>
          <w:highlight w:val="none"/>
        </w:rPr>
        <w:tab/>
      </w:r>
      <w:r>
        <w:rPr>
          <w:color w:val="auto"/>
          <w:highlight w:val="none"/>
        </w:rPr>
        <w:fldChar w:fldCharType="begin"/>
      </w:r>
      <w:r>
        <w:rPr>
          <w:color w:val="auto"/>
          <w:highlight w:val="none"/>
        </w:rPr>
        <w:instrText xml:space="preserve"> PAGEREF _Toc3143 \h </w:instrText>
      </w:r>
      <w:r>
        <w:rPr>
          <w:color w:val="auto"/>
          <w:highlight w:val="none"/>
        </w:rPr>
        <w:fldChar w:fldCharType="separate"/>
      </w:r>
      <w:r>
        <w:rPr>
          <w:color w:val="auto"/>
          <w:highlight w:val="none"/>
        </w:rPr>
        <w:t>166</w:t>
      </w:r>
      <w:r>
        <w:rPr>
          <w:color w:val="auto"/>
          <w:highlight w:val="none"/>
        </w:rPr>
        <w:fldChar w:fldCharType="end"/>
      </w:r>
      <w:r>
        <w:rPr>
          <w:color w:val="auto"/>
          <w:highlight w:val="none"/>
        </w:rPr>
        <w:fldChar w:fldCharType="end"/>
      </w:r>
    </w:p>
    <w:p w14:paraId="6F4C5562">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_Toc31157 </w:instrText>
      </w:r>
      <w:r>
        <w:rPr>
          <w:color w:val="auto"/>
          <w:highlight w:val="none"/>
        </w:rPr>
        <w:fldChar w:fldCharType="separate"/>
      </w:r>
      <w:r>
        <w:rPr>
          <w:color w:val="auto"/>
          <w:highlight w:val="none"/>
        </w:rPr>
        <w:t xml:space="preserve">17. </w:t>
      </w:r>
      <w:r>
        <w:rPr>
          <w:rFonts w:hint="eastAsia" w:hAnsi="宋体" w:cs="黑体"/>
          <w:color w:val="auto"/>
          <w:highlight w:val="none"/>
        </w:rPr>
        <w:t>不可抗力</w:t>
      </w:r>
      <w:r>
        <w:rPr>
          <w:color w:val="auto"/>
          <w:highlight w:val="none"/>
        </w:rPr>
        <w:tab/>
      </w:r>
      <w:r>
        <w:rPr>
          <w:color w:val="auto"/>
          <w:highlight w:val="none"/>
        </w:rPr>
        <w:fldChar w:fldCharType="begin"/>
      </w:r>
      <w:r>
        <w:rPr>
          <w:color w:val="auto"/>
          <w:highlight w:val="none"/>
        </w:rPr>
        <w:instrText xml:space="preserve"> PAGEREF _Toc31157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1EDA4BE7">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_Toc30795 </w:instrText>
      </w:r>
      <w:r>
        <w:rPr>
          <w:color w:val="auto"/>
          <w:highlight w:val="none"/>
        </w:rPr>
        <w:fldChar w:fldCharType="separate"/>
      </w:r>
      <w:r>
        <w:rPr>
          <w:color w:val="auto"/>
          <w:highlight w:val="none"/>
        </w:rPr>
        <w:t xml:space="preserve">18. </w:t>
      </w:r>
      <w:r>
        <w:rPr>
          <w:rFonts w:hint="eastAsia" w:hAnsi="宋体" w:cs="黑体"/>
          <w:color w:val="auto"/>
          <w:highlight w:val="none"/>
        </w:rPr>
        <w:t>保险</w:t>
      </w:r>
      <w:r>
        <w:rPr>
          <w:color w:val="auto"/>
          <w:highlight w:val="none"/>
        </w:rPr>
        <w:tab/>
      </w:r>
      <w:r>
        <w:rPr>
          <w:color w:val="auto"/>
          <w:highlight w:val="none"/>
        </w:rPr>
        <w:fldChar w:fldCharType="begin"/>
      </w:r>
      <w:r>
        <w:rPr>
          <w:color w:val="auto"/>
          <w:highlight w:val="none"/>
        </w:rPr>
        <w:instrText xml:space="preserve"> PAGEREF _Toc30795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45FCC175">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_Toc17775 </w:instrText>
      </w:r>
      <w:r>
        <w:rPr>
          <w:color w:val="auto"/>
          <w:highlight w:val="none"/>
        </w:rPr>
        <w:fldChar w:fldCharType="separate"/>
      </w:r>
      <w:r>
        <w:rPr>
          <w:rFonts w:hint="eastAsia"/>
          <w:color w:val="auto"/>
          <w:highlight w:val="none"/>
        </w:rPr>
        <w:t>19.索赔</w:t>
      </w:r>
      <w:r>
        <w:rPr>
          <w:color w:val="auto"/>
          <w:highlight w:val="none"/>
        </w:rPr>
        <w:tab/>
      </w:r>
      <w:r>
        <w:rPr>
          <w:color w:val="auto"/>
          <w:highlight w:val="none"/>
        </w:rPr>
        <w:fldChar w:fldCharType="begin"/>
      </w:r>
      <w:r>
        <w:rPr>
          <w:color w:val="auto"/>
          <w:highlight w:val="none"/>
        </w:rPr>
        <w:instrText xml:space="preserve"> PAGEREF _Toc17775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2EC3A2F3">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_Toc20588 </w:instrText>
      </w:r>
      <w:r>
        <w:rPr>
          <w:color w:val="auto"/>
          <w:highlight w:val="none"/>
        </w:rPr>
        <w:fldChar w:fldCharType="separate"/>
      </w:r>
      <w:r>
        <w:rPr>
          <w:color w:val="auto"/>
          <w:highlight w:val="none"/>
        </w:rPr>
        <w:t xml:space="preserve">20. </w:t>
      </w:r>
      <w:r>
        <w:rPr>
          <w:rFonts w:hint="eastAsia" w:hAnsi="宋体" w:cs="黑体"/>
          <w:color w:val="auto"/>
          <w:highlight w:val="none"/>
        </w:rPr>
        <w:t>争议解决</w:t>
      </w:r>
      <w:r>
        <w:rPr>
          <w:color w:val="auto"/>
          <w:highlight w:val="none"/>
        </w:rPr>
        <w:tab/>
      </w:r>
      <w:r>
        <w:rPr>
          <w:color w:val="auto"/>
          <w:highlight w:val="none"/>
        </w:rPr>
        <w:fldChar w:fldCharType="begin"/>
      </w:r>
      <w:r>
        <w:rPr>
          <w:color w:val="auto"/>
          <w:highlight w:val="none"/>
        </w:rPr>
        <w:instrText xml:space="preserve"> PAGEREF _Toc20588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14:paraId="3F4175C5">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_Toc13010 </w:instrText>
      </w:r>
      <w:r>
        <w:rPr>
          <w:color w:val="auto"/>
          <w:highlight w:val="none"/>
        </w:rPr>
        <w:fldChar w:fldCharType="separate"/>
      </w:r>
      <w:r>
        <w:rPr>
          <w:rFonts w:hint="eastAsia" w:cs="黑体"/>
          <w:color w:val="auto"/>
          <w:highlight w:val="none"/>
        </w:rPr>
        <w:t>第五章</w:t>
      </w:r>
      <w:r>
        <w:rPr>
          <w:color w:val="auto"/>
          <w:highlight w:val="none"/>
        </w:rPr>
        <w:t xml:space="preserve"> </w:t>
      </w:r>
      <w:r>
        <w:rPr>
          <w:rFonts w:hint="eastAsia" w:cs="黑体"/>
          <w:color w:val="auto"/>
          <w:highlight w:val="none"/>
        </w:rPr>
        <w:t>工程量清单</w:t>
      </w:r>
      <w:r>
        <w:rPr>
          <w:color w:val="auto"/>
          <w:highlight w:val="none"/>
        </w:rPr>
        <w:tab/>
      </w:r>
      <w:r>
        <w:rPr>
          <w:color w:val="auto"/>
          <w:highlight w:val="none"/>
        </w:rPr>
        <w:fldChar w:fldCharType="begin"/>
      </w:r>
      <w:r>
        <w:rPr>
          <w:color w:val="auto"/>
          <w:highlight w:val="none"/>
        </w:rPr>
        <w:instrText xml:space="preserve"> PAGEREF _Toc13010 \h </w:instrText>
      </w:r>
      <w:r>
        <w:rPr>
          <w:color w:val="auto"/>
          <w:highlight w:val="none"/>
        </w:rPr>
        <w:fldChar w:fldCharType="separate"/>
      </w:r>
      <w:r>
        <w:rPr>
          <w:color w:val="auto"/>
          <w:highlight w:val="none"/>
        </w:rPr>
        <w:t>211</w:t>
      </w:r>
      <w:r>
        <w:rPr>
          <w:color w:val="auto"/>
          <w:highlight w:val="none"/>
        </w:rPr>
        <w:fldChar w:fldCharType="end"/>
      </w:r>
      <w:r>
        <w:rPr>
          <w:color w:val="auto"/>
          <w:highlight w:val="none"/>
        </w:rPr>
        <w:fldChar w:fldCharType="end"/>
      </w:r>
    </w:p>
    <w:p w14:paraId="151799A2">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_Toc23613 </w:instrText>
      </w:r>
      <w:r>
        <w:rPr>
          <w:color w:val="auto"/>
          <w:highlight w:val="none"/>
        </w:rPr>
        <w:fldChar w:fldCharType="separate"/>
      </w:r>
      <w:r>
        <w:rPr>
          <w:color w:val="auto"/>
          <w:highlight w:val="none"/>
        </w:rPr>
        <w:t xml:space="preserve">1 </w:t>
      </w:r>
      <w:r>
        <w:rPr>
          <w:rFonts w:hint="eastAsia" w:cs="黑体"/>
          <w:color w:val="auto"/>
          <w:highlight w:val="none"/>
        </w:rPr>
        <w:t>工程量清单编制说明</w:t>
      </w:r>
      <w:r>
        <w:rPr>
          <w:color w:val="auto"/>
          <w:highlight w:val="none"/>
        </w:rPr>
        <w:tab/>
      </w:r>
      <w:r>
        <w:rPr>
          <w:color w:val="auto"/>
          <w:highlight w:val="none"/>
        </w:rPr>
        <w:fldChar w:fldCharType="begin"/>
      </w:r>
      <w:r>
        <w:rPr>
          <w:color w:val="auto"/>
          <w:highlight w:val="none"/>
        </w:rPr>
        <w:instrText xml:space="preserve"> PAGEREF _Toc23613 \h </w:instrText>
      </w:r>
      <w:r>
        <w:rPr>
          <w:color w:val="auto"/>
          <w:highlight w:val="none"/>
        </w:rPr>
        <w:fldChar w:fldCharType="separate"/>
      </w:r>
      <w:r>
        <w:rPr>
          <w:color w:val="auto"/>
          <w:highlight w:val="none"/>
        </w:rPr>
        <w:t>211</w:t>
      </w:r>
      <w:r>
        <w:rPr>
          <w:color w:val="auto"/>
          <w:highlight w:val="none"/>
        </w:rPr>
        <w:fldChar w:fldCharType="end"/>
      </w:r>
      <w:r>
        <w:rPr>
          <w:color w:val="auto"/>
          <w:highlight w:val="none"/>
        </w:rPr>
        <w:fldChar w:fldCharType="end"/>
      </w:r>
    </w:p>
    <w:p w14:paraId="6F309E43">
      <w:pPr>
        <w:pStyle w:val="34"/>
        <w:tabs>
          <w:tab w:val="right" w:leader="dot" w:pos="8669"/>
        </w:tabs>
        <w:rPr>
          <w:color w:val="auto"/>
          <w:highlight w:val="none"/>
        </w:rPr>
      </w:pPr>
      <w:r>
        <w:rPr>
          <w:color w:val="auto"/>
          <w:highlight w:val="none"/>
        </w:rPr>
        <w:fldChar w:fldCharType="begin"/>
      </w:r>
      <w:r>
        <w:rPr>
          <w:color w:val="auto"/>
          <w:highlight w:val="none"/>
        </w:rPr>
        <w:instrText xml:space="preserve"> HYPERLINK \l _Toc24340 </w:instrText>
      </w:r>
      <w:r>
        <w:rPr>
          <w:color w:val="auto"/>
          <w:highlight w:val="none"/>
        </w:rPr>
        <w:fldChar w:fldCharType="separate"/>
      </w:r>
      <w:r>
        <w:rPr>
          <w:color w:val="auto"/>
          <w:highlight w:val="none"/>
        </w:rPr>
        <w:t xml:space="preserve">2 </w:t>
      </w:r>
      <w:r>
        <w:rPr>
          <w:rFonts w:hint="default" w:cs="黑体"/>
          <w:color w:val="auto"/>
          <w:highlight w:val="none"/>
          <w:lang w:val="en"/>
        </w:rPr>
        <w:t>最高投标限价</w:t>
      </w:r>
      <w:r>
        <w:rPr>
          <w:rFonts w:hint="eastAsia" w:cs="黑体"/>
          <w:color w:val="auto"/>
          <w:highlight w:val="none"/>
        </w:rPr>
        <w:t>编制说明</w:t>
      </w:r>
      <w:r>
        <w:rPr>
          <w:color w:val="auto"/>
          <w:highlight w:val="none"/>
        </w:rPr>
        <w:tab/>
      </w:r>
      <w:r>
        <w:rPr>
          <w:color w:val="auto"/>
          <w:highlight w:val="none"/>
        </w:rPr>
        <w:fldChar w:fldCharType="begin"/>
      </w:r>
      <w:r>
        <w:rPr>
          <w:color w:val="auto"/>
          <w:highlight w:val="none"/>
        </w:rPr>
        <w:instrText xml:space="preserve"> PAGEREF _Toc24340 \h </w:instrText>
      </w:r>
      <w:r>
        <w:rPr>
          <w:color w:val="auto"/>
          <w:highlight w:val="none"/>
        </w:rPr>
        <w:fldChar w:fldCharType="separate"/>
      </w:r>
      <w:r>
        <w:rPr>
          <w:color w:val="auto"/>
          <w:highlight w:val="none"/>
        </w:rPr>
        <w:t>212</w:t>
      </w:r>
      <w:r>
        <w:rPr>
          <w:color w:val="auto"/>
          <w:highlight w:val="none"/>
        </w:rPr>
        <w:fldChar w:fldCharType="end"/>
      </w:r>
      <w:r>
        <w:rPr>
          <w:color w:val="auto"/>
          <w:highlight w:val="none"/>
        </w:rPr>
        <w:fldChar w:fldCharType="end"/>
      </w:r>
    </w:p>
    <w:p w14:paraId="68924098">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_Toc30713 </w:instrText>
      </w:r>
      <w:r>
        <w:rPr>
          <w:color w:val="auto"/>
          <w:highlight w:val="none"/>
        </w:rPr>
        <w:fldChar w:fldCharType="separate"/>
      </w:r>
      <w:r>
        <w:rPr>
          <w:rFonts w:hint="eastAsia" w:cs="黑体"/>
          <w:color w:val="auto"/>
          <w:highlight w:val="none"/>
        </w:rPr>
        <w:t>第六章</w:t>
      </w:r>
      <w:r>
        <w:rPr>
          <w:color w:val="auto"/>
          <w:highlight w:val="none"/>
        </w:rPr>
        <w:t xml:space="preserve"> </w:t>
      </w:r>
      <w:r>
        <w:rPr>
          <w:rFonts w:hint="eastAsia" w:cs="黑体"/>
          <w:color w:val="auto"/>
          <w:highlight w:val="none"/>
        </w:rPr>
        <w:t>图</w:t>
      </w:r>
      <w:r>
        <w:rPr>
          <w:color w:val="auto"/>
          <w:highlight w:val="none"/>
        </w:rPr>
        <w:t xml:space="preserve">  </w:t>
      </w:r>
      <w:r>
        <w:rPr>
          <w:rFonts w:hint="eastAsia" w:cs="黑体"/>
          <w:color w:val="auto"/>
          <w:highlight w:val="none"/>
        </w:rPr>
        <w:t>纸</w:t>
      </w:r>
      <w:r>
        <w:rPr>
          <w:color w:val="auto"/>
          <w:highlight w:val="none"/>
        </w:rPr>
        <w:tab/>
      </w:r>
      <w:r>
        <w:rPr>
          <w:color w:val="auto"/>
          <w:highlight w:val="none"/>
        </w:rPr>
        <w:fldChar w:fldCharType="begin"/>
      </w:r>
      <w:r>
        <w:rPr>
          <w:color w:val="auto"/>
          <w:highlight w:val="none"/>
        </w:rPr>
        <w:instrText xml:space="preserve"> PAGEREF _Toc30713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14:paraId="4F1ED100">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_Toc11521 </w:instrText>
      </w:r>
      <w:r>
        <w:rPr>
          <w:color w:val="auto"/>
          <w:highlight w:val="none"/>
        </w:rPr>
        <w:fldChar w:fldCharType="separate"/>
      </w:r>
      <w:r>
        <w:rPr>
          <w:rFonts w:hint="eastAsia" w:cs="黑体"/>
          <w:color w:val="auto"/>
          <w:highlight w:val="none"/>
        </w:rPr>
        <w:t>第七章</w:t>
      </w:r>
      <w:r>
        <w:rPr>
          <w:color w:val="auto"/>
          <w:highlight w:val="none"/>
        </w:rPr>
        <w:t xml:space="preserve"> </w:t>
      </w:r>
      <w:r>
        <w:rPr>
          <w:rFonts w:hint="eastAsia"/>
          <w:color w:val="auto"/>
          <w:highlight w:val="none"/>
        </w:rPr>
        <w:t>危险性较大的分部分项工程清单（如有）</w:t>
      </w:r>
      <w:r>
        <w:rPr>
          <w:color w:val="auto"/>
          <w:highlight w:val="none"/>
        </w:rPr>
        <w:tab/>
      </w:r>
      <w:r>
        <w:rPr>
          <w:color w:val="auto"/>
          <w:highlight w:val="none"/>
        </w:rPr>
        <w:fldChar w:fldCharType="begin"/>
      </w:r>
      <w:r>
        <w:rPr>
          <w:color w:val="auto"/>
          <w:highlight w:val="none"/>
        </w:rPr>
        <w:instrText xml:space="preserve"> PAGEREF _Toc11521 \h </w:instrText>
      </w:r>
      <w:r>
        <w:rPr>
          <w:color w:val="auto"/>
          <w:highlight w:val="none"/>
        </w:rPr>
        <w:fldChar w:fldCharType="separate"/>
      </w:r>
      <w:r>
        <w:rPr>
          <w:color w:val="auto"/>
          <w:highlight w:val="none"/>
        </w:rPr>
        <w:t>215</w:t>
      </w:r>
      <w:r>
        <w:rPr>
          <w:color w:val="auto"/>
          <w:highlight w:val="none"/>
        </w:rPr>
        <w:fldChar w:fldCharType="end"/>
      </w:r>
      <w:r>
        <w:rPr>
          <w:color w:val="auto"/>
          <w:highlight w:val="none"/>
        </w:rPr>
        <w:fldChar w:fldCharType="end"/>
      </w:r>
    </w:p>
    <w:p w14:paraId="7E63817B">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_Toc8947 </w:instrText>
      </w:r>
      <w:r>
        <w:rPr>
          <w:color w:val="auto"/>
          <w:highlight w:val="none"/>
        </w:rPr>
        <w:fldChar w:fldCharType="separate"/>
      </w:r>
      <w:r>
        <w:rPr>
          <w:rFonts w:hint="eastAsia" w:cs="黑体"/>
          <w:color w:val="auto"/>
          <w:highlight w:val="none"/>
        </w:rPr>
        <w:t>第八章</w:t>
      </w:r>
      <w:r>
        <w:rPr>
          <w:rFonts w:cs="黑体"/>
          <w:color w:val="auto"/>
          <w:highlight w:val="none"/>
        </w:rPr>
        <w:t xml:space="preserve"> </w:t>
      </w:r>
      <w:r>
        <w:rPr>
          <w:rFonts w:hint="eastAsia" w:cs="黑体"/>
          <w:color w:val="auto"/>
          <w:highlight w:val="none"/>
        </w:rPr>
        <w:t>技术标准和要求</w:t>
      </w:r>
      <w:r>
        <w:rPr>
          <w:color w:val="auto"/>
          <w:highlight w:val="none"/>
        </w:rPr>
        <w:tab/>
      </w:r>
      <w:r>
        <w:rPr>
          <w:color w:val="auto"/>
          <w:highlight w:val="none"/>
        </w:rPr>
        <w:fldChar w:fldCharType="begin"/>
      </w:r>
      <w:r>
        <w:rPr>
          <w:color w:val="auto"/>
          <w:highlight w:val="none"/>
        </w:rPr>
        <w:instrText xml:space="preserve"> PAGEREF _Toc8947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14:paraId="06AEAA61">
      <w:pPr>
        <w:pStyle w:val="29"/>
        <w:tabs>
          <w:tab w:val="right" w:leader="dot" w:pos="8669"/>
        </w:tabs>
        <w:rPr>
          <w:color w:val="auto"/>
          <w:highlight w:val="none"/>
        </w:rPr>
      </w:pPr>
      <w:r>
        <w:rPr>
          <w:color w:val="auto"/>
          <w:highlight w:val="none"/>
        </w:rPr>
        <w:fldChar w:fldCharType="begin"/>
      </w:r>
      <w:r>
        <w:rPr>
          <w:color w:val="auto"/>
          <w:highlight w:val="none"/>
        </w:rPr>
        <w:instrText xml:space="preserve"> HYPERLINK \l _Toc1391 </w:instrText>
      </w:r>
      <w:r>
        <w:rPr>
          <w:color w:val="auto"/>
          <w:highlight w:val="none"/>
        </w:rPr>
        <w:fldChar w:fldCharType="separate"/>
      </w:r>
      <w:r>
        <w:rPr>
          <w:rFonts w:hint="eastAsia" w:cs="黑体"/>
          <w:color w:val="auto"/>
          <w:highlight w:val="none"/>
        </w:rPr>
        <w:t>第九章</w:t>
      </w:r>
      <w:r>
        <w:rPr>
          <w:color w:val="auto"/>
          <w:highlight w:val="none"/>
        </w:rPr>
        <w:t xml:space="preserve"> </w:t>
      </w:r>
      <w:r>
        <w:rPr>
          <w:rFonts w:hint="eastAsia" w:cs="黑体"/>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_Toc1391 \h </w:instrText>
      </w:r>
      <w:r>
        <w:rPr>
          <w:color w:val="auto"/>
          <w:highlight w:val="none"/>
        </w:rPr>
        <w:fldChar w:fldCharType="separate"/>
      </w:r>
      <w:r>
        <w:rPr>
          <w:color w:val="auto"/>
          <w:highlight w:val="none"/>
        </w:rPr>
        <w:t>217</w:t>
      </w:r>
      <w:r>
        <w:rPr>
          <w:color w:val="auto"/>
          <w:highlight w:val="none"/>
        </w:rPr>
        <w:fldChar w:fldCharType="end"/>
      </w:r>
      <w:r>
        <w:rPr>
          <w:color w:val="auto"/>
          <w:highlight w:val="none"/>
        </w:rPr>
        <w:fldChar w:fldCharType="end"/>
      </w:r>
    </w:p>
    <w:p w14:paraId="0DD33D94">
      <w:pPr>
        <w:rPr>
          <w:color w:val="auto"/>
          <w:highlight w:val="none"/>
        </w:rPr>
      </w:pPr>
      <w:r>
        <w:rPr>
          <w:color w:val="auto"/>
          <w:highlight w:val="none"/>
        </w:rPr>
        <w:fldChar w:fldCharType="end"/>
      </w:r>
    </w:p>
    <w:p w14:paraId="660ABBA1">
      <w:pPr>
        <w:rPr>
          <w:color w:val="auto"/>
          <w:highlight w:val="none"/>
        </w:rPr>
        <w:sectPr>
          <w:footerReference r:id="rId3" w:type="default"/>
          <w:pgSz w:w="11906" w:h="16838"/>
          <w:pgMar w:top="1440" w:right="1440" w:bottom="1440" w:left="1797" w:header="851" w:footer="851" w:gutter="0"/>
          <w:pgNumType w:fmt="upperRoman"/>
          <w:cols w:space="720" w:num="1"/>
          <w:docGrid w:linePitch="312" w:charSpace="0"/>
        </w:sectPr>
      </w:pPr>
      <w:r>
        <w:rPr>
          <w:color w:val="auto"/>
          <w:highlight w:val="none"/>
        </w:rPr>
        <w:t xml:space="preserve">   </w:t>
      </w:r>
    </w:p>
    <w:p w14:paraId="4CB6440E">
      <w:pPr>
        <w:pStyle w:val="3"/>
        <w:jc w:val="center"/>
        <w:rPr>
          <w:color w:val="auto"/>
          <w:highlight w:val="none"/>
        </w:rPr>
      </w:pPr>
      <w:bookmarkStart w:id="2" w:name="_Toc78449593"/>
      <w:bookmarkStart w:id="3" w:name="_Toc27500"/>
      <w:bookmarkStart w:id="4" w:name="_Toc389065120"/>
      <w:bookmarkStart w:id="5" w:name="_Toc1633742230"/>
      <w:bookmarkStart w:id="6" w:name="_Toc407135048"/>
      <w:r>
        <w:rPr>
          <w:rFonts w:hint="eastAsia" w:cs="黑体"/>
          <w:color w:val="auto"/>
          <w:highlight w:val="none"/>
        </w:rPr>
        <w:t>第一章</w:t>
      </w:r>
      <w:r>
        <w:rPr>
          <w:color w:val="auto"/>
          <w:highlight w:val="none"/>
        </w:rPr>
        <w:t xml:space="preserve">  </w:t>
      </w:r>
      <w:r>
        <w:rPr>
          <w:rFonts w:hint="eastAsia" w:cs="黑体"/>
          <w:color w:val="auto"/>
          <w:highlight w:val="none"/>
        </w:rPr>
        <w:t>招标公告</w:t>
      </w:r>
      <w:bookmarkEnd w:id="2"/>
      <w:bookmarkEnd w:id="3"/>
      <w:bookmarkEnd w:id="4"/>
      <w:bookmarkEnd w:id="5"/>
      <w:bookmarkEnd w:id="6"/>
    </w:p>
    <w:p w14:paraId="5D68027E">
      <w:pPr>
        <w:ind w:firstLine="435"/>
        <w:rPr>
          <w:color w:val="auto"/>
          <w:highlight w:val="none"/>
        </w:rPr>
      </w:pPr>
    </w:p>
    <w:p w14:paraId="0BEB3EFC">
      <w:pPr>
        <w:spacing w:line="360" w:lineRule="auto"/>
        <w:ind w:firstLine="562" w:firstLineChars="200"/>
        <w:jc w:val="center"/>
        <w:rPr>
          <w:rFonts w:cs="宋体"/>
          <w:b/>
          <w:color w:val="auto"/>
          <w:sz w:val="28"/>
          <w:szCs w:val="28"/>
          <w:highlight w:val="none"/>
        </w:rPr>
      </w:pPr>
      <w:bookmarkStart w:id="7" w:name="_Toc389065121"/>
      <w:r>
        <w:rPr>
          <w:rFonts w:hint="eastAsia" w:cs="宋体"/>
          <w:b/>
          <w:color w:val="auto"/>
          <w:sz w:val="28"/>
          <w:szCs w:val="28"/>
          <w:highlight w:val="none"/>
          <w:u w:val="single"/>
          <w:lang w:eastAsia="zh-CN"/>
        </w:rPr>
        <w:t>广西警察学院长湖校区3号学员公寓楼改造工程（重）</w:t>
      </w:r>
      <w:r>
        <w:rPr>
          <w:rFonts w:cs="宋体"/>
          <w:b/>
          <w:color w:val="auto"/>
          <w:sz w:val="28"/>
          <w:szCs w:val="28"/>
          <w:highlight w:val="none"/>
          <w:u w:val="single"/>
        </w:rPr>
        <w:t xml:space="preserve">       </w:t>
      </w:r>
      <w:r>
        <w:rPr>
          <w:rFonts w:hint="eastAsia" w:cs="宋体"/>
          <w:b/>
          <w:color w:val="auto"/>
          <w:sz w:val="28"/>
          <w:szCs w:val="28"/>
          <w:highlight w:val="none"/>
        </w:rPr>
        <w:t>施工招标公告</w:t>
      </w:r>
      <w:bookmarkEnd w:id="7"/>
    </w:p>
    <w:p w14:paraId="04DDA12C">
      <w:pPr>
        <w:spacing w:line="360" w:lineRule="auto"/>
        <w:rPr>
          <w:color w:val="auto"/>
          <w:highlight w:val="none"/>
        </w:rPr>
      </w:pPr>
    </w:p>
    <w:p w14:paraId="19901D55">
      <w:pPr>
        <w:pStyle w:val="4"/>
        <w:rPr>
          <w:color w:val="auto"/>
          <w:highlight w:val="none"/>
        </w:rPr>
      </w:pPr>
      <w:bookmarkStart w:id="8" w:name="_Toc760041246"/>
      <w:bookmarkStart w:id="9" w:name="_Toc78449594"/>
      <w:bookmarkStart w:id="10" w:name="_Toc30779"/>
      <w:bookmarkStart w:id="11" w:name="_Toc407135049"/>
      <w:bookmarkStart w:id="12" w:name="_Toc389065122"/>
      <w:r>
        <w:rPr>
          <w:color w:val="auto"/>
          <w:highlight w:val="none"/>
        </w:rPr>
        <w:t xml:space="preserve">1. </w:t>
      </w:r>
      <w:r>
        <w:rPr>
          <w:rFonts w:hint="eastAsia" w:cs="黑体"/>
          <w:color w:val="auto"/>
          <w:highlight w:val="none"/>
        </w:rPr>
        <w:t>招标条件</w:t>
      </w:r>
      <w:bookmarkEnd w:id="8"/>
      <w:bookmarkEnd w:id="9"/>
      <w:bookmarkEnd w:id="10"/>
      <w:bookmarkEnd w:id="11"/>
      <w:bookmarkEnd w:id="12"/>
    </w:p>
    <w:p w14:paraId="6BF5B07F">
      <w:pPr>
        <w:spacing w:line="360" w:lineRule="auto"/>
        <w:ind w:firstLine="420" w:firstLineChars="200"/>
        <w:rPr>
          <w:color w:val="auto"/>
          <w:highlight w:val="none"/>
        </w:rPr>
      </w:pPr>
      <w:r>
        <w:rPr>
          <w:rFonts w:hint="eastAsia" w:cs="宋体"/>
          <w:color w:val="auto"/>
          <w:highlight w:val="none"/>
        </w:rPr>
        <w:t>本项目</w:t>
      </w:r>
      <w:r>
        <w:rPr>
          <w:rFonts w:hint="eastAsia" w:cs="宋体"/>
          <w:color w:val="auto"/>
          <w:highlight w:val="none"/>
          <w:u w:val="single"/>
          <w:lang w:eastAsia="zh-CN"/>
        </w:rPr>
        <w:t>广西警察学院长湖校区3号学员公寓楼改造工程（重）</w:t>
      </w:r>
      <w:r>
        <w:rPr>
          <w:rFonts w:hint="eastAsia" w:cs="宋体"/>
          <w:color w:val="auto"/>
          <w:highlight w:val="none"/>
        </w:rPr>
        <w:t>已由</w:t>
      </w:r>
      <w:r>
        <w:rPr>
          <w:color w:val="auto"/>
          <w:highlight w:val="none"/>
          <w:u w:val="single"/>
        </w:rPr>
        <w:t xml:space="preserve">  </w:t>
      </w:r>
      <w:r>
        <w:rPr>
          <w:rFonts w:hint="eastAsia"/>
          <w:color w:val="auto"/>
          <w:highlight w:val="none"/>
          <w:u w:val="single"/>
        </w:rPr>
        <w:t>广西壮族自治区计划委员会</w:t>
      </w:r>
      <w:r>
        <w:rPr>
          <w:rFonts w:hint="eastAsia" w:cs="宋体"/>
          <w:color w:val="auto"/>
          <w:highlight w:val="none"/>
        </w:rPr>
        <w:t>（项目审批、核准或备案机关名称）以</w:t>
      </w:r>
      <w:r>
        <w:rPr>
          <w:color w:val="auto"/>
          <w:highlight w:val="none"/>
          <w:u w:val="single"/>
        </w:rPr>
        <w:t xml:space="preserve"> </w:t>
      </w:r>
      <w:r>
        <w:rPr>
          <w:rFonts w:hint="eastAsia"/>
          <w:color w:val="auto"/>
          <w:highlight w:val="none"/>
          <w:u w:val="single"/>
        </w:rPr>
        <w:t>2510-450000-04-02-876660</w:t>
      </w:r>
      <w:r>
        <w:rPr>
          <w:color w:val="auto"/>
          <w:highlight w:val="none"/>
          <w:u w:val="single"/>
        </w:rPr>
        <w:t xml:space="preserve"> </w:t>
      </w:r>
      <w:r>
        <w:rPr>
          <w:rFonts w:hint="eastAsia" w:cs="宋体"/>
          <w:color w:val="auto"/>
          <w:highlight w:val="none"/>
        </w:rPr>
        <w:t>（</w:t>
      </w:r>
      <w:r>
        <w:rPr>
          <w:rFonts w:hint="eastAsia" w:ascii="仿宋_GB2312" w:hAnsi="宋体" w:cs="宋体"/>
          <w:color w:val="auto"/>
          <w:highlight w:val="none"/>
        </w:rPr>
        <w:t>批文名称、文号、项目代码</w:t>
      </w:r>
      <w:r>
        <w:rPr>
          <w:rFonts w:hint="eastAsia" w:cs="宋体"/>
          <w:color w:val="auto"/>
          <w:highlight w:val="none"/>
        </w:rPr>
        <w:t>）批准建设，招标人为</w:t>
      </w:r>
      <w:r>
        <w:rPr>
          <w:color w:val="auto"/>
          <w:highlight w:val="none"/>
          <w:u w:val="single"/>
        </w:rPr>
        <w:t xml:space="preserve">  </w:t>
      </w:r>
      <w:r>
        <w:rPr>
          <w:rFonts w:hint="eastAsia"/>
          <w:color w:val="auto"/>
          <w:highlight w:val="none"/>
          <w:u w:val="single"/>
          <w:lang w:eastAsia="zh-CN"/>
        </w:rPr>
        <w:t>广西警察学院</w:t>
      </w:r>
      <w:r>
        <w:rPr>
          <w:rFonts w:hint="eastAsia" w:cs="宋体"/>
          <w:color w:val="auto"/>
          <w:highlight w:val="none"/>
        </w:rPr>
        <w:t>，建设资金来自</w:t>
      </w:r>
      <w:r>
        <w:rPr>
          <w:color w:val="auto"/>
          <w:highlight w:val="none"/>
          <w:u w:val="single"/>
        </w:rPr>
        <w:t xml:space="preserve">  财政资金 </w:t>
      </w:r>
      <w:r>
        <w:rPr>
          <w:rFonts w:hint="eastAsia" w:cs="宋体"/>
          <w:color w:val="auto"/>
          <w:highlight w:val="none"/>
        </w:rPr>
        <w:t>（资金来源），项目出资比例为</w:t>
      </w:r>
      <w:r>
        <w:rPr>
          <w:color w:val="auto"/>
          <w:highlight w:val="none"/>
          <w:u w:val="single"/>
        </w:rPr>
        <w:t xml:space="preserve">   100.0%  </w:t>
      </w:r>
      <w:r>
        <w:rPr>
          <w:rFonts w:hint="eastAsia" w:cs="宋体"/>
          <w:color w:val="auto"/>
          <w:highlight w:val="none"/>
        </w:rPr>
        <w:t xml:space="preserve">。项目已具备招标条件，现对 </w:t>
      </w:r>
      <w:r>
        <w:rPr>
          <w:rFonts w:hint="eastAsia" w:cs="宋体"/>
          <w:color w:val="auto"/>
          <w:highlight w:val="none"/>
          <w:u w:val="single"/>
          <w:lang w:eastAsia="zh-CN"/>
        </w:rPr>
        <w:t>广西警察学院长湖校区3号学员公寓楼改造工程（重）</w:t>
      </w:r>
      <w:r>
        <w:rPr>
          <w:rFonts w:hint="eastAsia" w:cs="宋体"/>
          <w:color w:val="auto"/>
          <w:highlight w:val="none"/>
        </w:rPr>
        <w:t>进行公开招标。</w:t>
      </w:r>
    </w:p>
    <w:p w14:paraId="51CFFC9C">
      <w:pPr>
        <w:pStyle w:val="4"/>
        <w:rPr>
          <w:rFonts w:hint="eastAsia" w:eastAsia="黑体"/>
          <w:color w:val="auto"/>
          <w:highlight w:val="none"/>
          <w:lang w:eastAsia="zh-CN"/>
        </w:rPr>
      </w:pPr>
      <w:bookmarkStart w:id="13" w:name="_Toc1518967589"/>
      <w:bookmarkStart w:id="14" w:name="_Toc389065123"/>
      <w:bookmarkStart w:id="15" w:name="_Toc78449595"/>
      <w:bookmarkStart w:id="16" w:name="_Toc407135050"/>
      <w:bookmarkStart w:id="17" w:name="_Toc24390"/>
      <w:r>
        <w:rPr>
          <w:color w:val="auto"/>
          <w:highlight w:val="none"/>
        </w:rPr>
        <w:t xml:space="preserve">2. </w:t>
      </w:r>
      <w:bookmarkEnd w:id="13"/>
      <w:bookmarkEnd w:id="14"/>
      <w:bookmarkEnd w:id="15"/>
      <w:bookmarkEnd w:id="16"/>
      <w:r>
        <w:rPr>
          <w:rFonts w:hint="eastAsia" w:cs="黑体"/>
          <w:color w:val="auto"/>
          <w:highlight w:val="none"/>
          <w:lang w:eastAsia="zh-CN"/>
        </w:rPr>
        <w:t>招标项目概况与招标范围</w:t>
      </w:r>
      <w:bookmarkEnd w:id="17"/>
    </w:p>
    <w:p w14:paraId="5CDD707E">
      <w:pPr>
        <w:spacing w:line="360" w:lineRule="auto"/>
        <w:ind w:firstLine="420" w:firstLineChars="200"/>
        <w:rPr>
          <w:color w:val="auto"/>
          <w:highlight w:val="none"/>
          <w:u w:val="single"/>
        </w:rPr>
      </w:pP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p>
    <w:p w14:paraId="0E79F0FE">
      <w:pPr>
        <w:spacing w:line="360" w:lineRule="auto"/>
        <w:ind w:firstLine="420" w:firstLineChars="200"/>
        <w:rPr>
          <w:color w:val="auto"/>
          <w:highlight w:val="none"/>
          <w:u w:val="single"/>
        </w:rPr>
      </w:pPr>
      <w:r>
        <w:rPr>
          <w:rFonts w:hint="eastAsia" w:cs="宋体"/>
          <w:color w:val="auto"/>
          <w:highlight w:val="none"/>
        </w:rPr>
        <w:t>建设地点：</w:t>
      </w:r>
      <w:r>
        <w:rPr>
          <w:color w:val="auto"/>
          <w:highlight w:val="none"/>
          <w:u w:val="single"/>
        </w:rPr>
        <w:t xml:space="preserve">  </w:t>
      </w:r>
      <w:r>
        <w:rPr>
          <w:rFonts w:hint="eastAsia"/>
          <w:color w:val="auto"/>
          <w:highlight w:val="none"/>
          <w:u w:val="single"/>
          <w:lang w:eastAsia="zh-CN"/>
        </w:rPr>
        <w:t>广西南宁市青秀区长湖路6号</w:t>
      </w:r>
      <w:r>
        <w:rPr>
          <w:color w:val="auto"/>
          <w:highlight w:val="none"/>
          <w:u w:val="single"/>
        </w:rPr>
        <w:t xml:space="preserve">  </w:t>
      </w:r>
    </w:p>
    <w:p w14:paraId="0FCB1213">
      <w:pPr>
        <w:spacing w:line="360" w:lineRule="auto"/>
        <w:ind w:firstLine="420" w:firstLineChars="200"/>
        <w:rPr>
          <w:color w:val="auto"/>
          <w:highlight w:val="none"/>
          <w:u w:val="single"/>
        </w:rPr>
      </w:pPr>
      <w:r>
        <w:rPr>
          <w:rFonts w:hint="eastAsia" w:cs="宋体"/>
          <w:color w:val="auto"/>
          <w:highlight w:val="none"/>
        </w:rPr>
        <w:t>建设规模：</w:t>
      </w:r>
      <w:r>
        <w:rPr>
          <w:color w:val="auto"/>
          <w:highlight w:val="none"/>
          <w:u w:val="single"/>
        </w:rPr>
        <w:t xml:space="preserve">  </w:t>
      </w:r>
      <w:r>
        <w:rPr>
          <w:rFonts w:hint="eastAsia"/>
          <w:color w:val="auto"/>
          <w:highlight w:val="none"/>
          <w:u w:val="single"/>
        </w:rPr>
        <w:t>3号学员公寓楼为砖混建筑5层，改造套间51间，改造建筑面积约2679.04㎡。建设内容主要包括:旧地面、旧栏杆等拆除工程，室内外墙面、地面、栏杆、顶棚等装饰装修工程，电气、智能化、给排水等安装工程，外立面装饰工程，室外楼前场地防排水整平等工程。本次招标范围不包含电梯工程</w:t>
      </w:r>
      <w:r>
        <w:rPr>
          <w:color w:val="auto"/>
          <w:highlight w:val="none"/>
          <w:u w:val="single"/>
        </w:rPr>
        <w:t xml:space="preserve">。  </w:t>
      </w:r>
    </w:p>
    <w:p w14:paraId="4FA7B975">
      <w:pPr>
        <w:spacing w:line="360" w:lineRule="auto"/>
        <w:ind w:firstLine="420" w:firstLineChars="200"/>
        <w:rPr>
          <w:color w:val="auto"/>
          <w:highlight w:val="none"/>
          <w:u w:val="single"/>
        </w:rPr>
      </w:pPr>
      <w:r>
        <w:rPr>
          <w:rFonts w:hint="eastAsia" w:cs="宋体"/>
          <w:color w:val="auto"/>
          <w:highlight w:val="none"/>
        </w:rPr>
        <w:t>合同估算价：</w:t>
      </w:r>
      <w:r>
        <w:rPr>
          <w:color w:val="auto"/>
          <w:highlight w:val="none"/>
          <w:u w:val="single"/>
        </w:rPr>
        <w:t xml:space="preserve">   </w:t>
      </w:r>
      <w:bookmarkStart w:id="18" w:name="OLE_LINK12"/>
      <w:r>
        <w:rPr>
          <w:rFonts w:hint="eastAsia"/>
          <w:color w:val="auto"/>
          <w:highlight w:val="none"/>
          <w:u w:val="single"/>
        </w:rPr>
        <w:t>433.65</w:t>
      </w:r>
      <w:bookmarkEnd w:id="18"/>
      <w:r>
        <w:rPr>
          <w:color w:val="auto"/>
          <w:highlight w:val="none"/>
          <w:u w:val="single"/>
        </w:rPr>
        <w:t xml:space="preserve">万元  </w:t>
      </w:r>
    </w:p>
    <w:p w14:paraId="012AC96E">
      <w:pPr>
        <w:spacing w:line="360" w:lineRule="auto"/>
        <w:ind w:firstLine="420" w:firstLineChars="200"/>
        <w:rPr>
          <w:b/>
          <w:bCs/>
          <w:color w:val="auto"/>
          <w:highlight w:val="none"/>
        </w:rPr>
      </w:pPr>
      <w:r>
        <w:rPr>
          <w:rFonts w:hint="eastAsia" w:cs="宋体"/>
          <w:color w:val="auto"/>
          <w:highlight w:val="none"/>
        </w:rPr>
        <w:t>要求工期：</w:t>
      </w:r>
      <w:r>
        <w:rPr>
          <w:color w:val="auto"/>
          <w:highlight w:val="none"/>
          <w:u w:val="single"/>
        </w:rPr>
        <w:t xml:space="preserve">  </w:t>
      </w:r>
      <w:r>
        <w:rPr>
          <w:rFonts w:hint="eastAsia"/>
          <w:color w:val="auto"/>
          <w:highlight w:val="none"/>
          <w:u w:val="single"/>
          <w:lang w:val="en-US" w:eastAsia="zh-CN"/>
        </w:rPr>
        <w:t>100</w:t>
      </w:r>
      <w:r>
        <w:rPr>
          <w:color w:val="auto"/>
          <w:highlight w:val="none"/>
          <w:u w:val="single"/>
        </w:rPr>
        <w:t xml:space="preserve">  </w:t>
      </w:r>
      <w:r>
        <w:rPr>
          <w:rFonts w:hint="eastAsia" w:cs="宋体"/>
          <w:color w:val="auto"/>
          <w:highlight w:val="none"/>
        </w:rPr>
        <w:t>日历天，定额工期</w:t>
      </w:r>
      <w:r>
        <w:rPr>
          <w:color w:val="auto"/>
          <w:highlight w:val="none"/>
          <w:u w:val="single"/>
        </w:rPr>
        <w:t xml:space="preserve">   </w:t>
      </w:r>
      <w:r>
        <w:rPr>
          <w:rFonts w:hint="eastAsia"/>
          <w:color w:val="auto"/>
          <w:highlight w:val="none"/>
          <w:u w:val="single"/>
          <w:lang w:val="en-US" w:eastAsia="zh-CN"/>
        </w:rPr>
        <w:t>100</w:t>
      </w:r>
      <w:r>
        <w:rPr>
          <w:color w:val="auto"/>
          <w:highlight w:val="none"/>
          <w:u w:val="single"/>
        </w:rPr>
        <w:t xml:space="preserve">  </w:t>
      </w:r>
      <w:r>
        <w:rPr>
          <w:rFonts w:hint="eastAsia" w:cs="宋体"/>
          <w:color w:val="auto"/>
          <w:highlight w:val="none"/>
        </w:rPr>
        <w:t>日历天</w:t>
      </w:r>
      <w:r>
        <w:rPr>
          <w:rFonts w:hint="eastAsia" w:ascii="方正楷体_GB2312" w:hAnsi="方正楷体_GB2312" w:eastAsia="方正楷体_GB2312" w:cs="方正楷体_GB2312"/>
          <w:color w:val="auto"/>
          <w:highlight w:val="none"/>
        </w:rPr>
        <w:t>【备注：建筑安装工程定额工期应按《建筑安装工程工期定额（</w:t>
      </w:r>
      <w:r>
        <w:rPr>
          <w:rFonts w:hint="default" w:ascii="Times New Roman" w:hAnsi="Times New Roman" w:eastAsia="方正楷体_GB2312" w:cs="Times New Roman"/>
          <w:color w:val="auto"/>
          <w:highlight w:val="none"/>
        </w:rPr>
        <w:t>TY01-89-2016</w:t>
      </w:r>
      <w:r>
        <w:rPr>
          <w:rFonts w:hint="eastAsia" w:ascii="方正楷体_GB2312" w:hAnsi="方正楷体_GB2312" w:eastAsia="方正楷体_GB2312" w:cs="方正楷体_GB2312"/>
          <w:color w:val="auto"/>
          <w:highlight w:val="none"/>
        </w:rPr>
        <w:t>）》确定，工期压缩时，招标人应组织专家论证且对工程质量、安全负责。且在招标工程量清单中增加压缩定额工期增加费】</w:t>
      </w:r>
      <w:r>
        <w:rPr>
          <w:rFonts w:hint="eastAsia" w:cs="宋体"/>
          <w:color w:val="auto"/>
          <w:highlight w:val="none"/>
          <w:lang w:eastAsia="zh-CN"/>
        </w:rPr>
        <w:t>。</w:t>
      </w:r>
    </w:p>
    <w:p w14:paraId="0028642A">
      <w:pPr>
        <w:spacing w:line="360" w:lineRule="auto"/>
        <w:ind w:firstLine="420" w:firstLineChars="200"/>
        <w:rPr>
          <w:color w:val="auto"/>
          <w:highlight w:val="none"/>
          <w:u w:val="single"/>
        </w:rPr>
      </w:pPr>
      <w:r>
        <w:rPr>
          <w:rFonts w:hint="eastAsia" w:cs="宋体"/>
          <w:color w:val="auto"/>
          <w:highlight w:val="none"/>
        </w:rPr>
        <w:t>招标范围：</w:t>
      </w:r>
      <w:r>
        <w:rPr>
          <w:color w:val="auto"/>
          <w:highlight w:val="none"/>
        </w:rPr>
        <w:t xml:space="preserve"> </w:t>
      </w:r>
      <w:r>
        <w:rPr>
          <w:color w:val="auto"/>
          <w:highlight w:val="none"/>
          <w:u w:val="single"/>
        </w:rPr>
        <w:t xml:space="preserve">   </w:t>
      </w:r>
      <w:r>
        <w:rPr>
          <w:rFonts w:hint="eastAsia"/>
          <w:color w:val="auto"/>
          <w:highlight w:val="none"/>
          <w:u w:val="single"/>
        </w:rPr>
        <w:t>旧地面、旧栏杆等拆除工程，室内外墙面、地面、栏杆、顶棚等装饰装修工程，电气、智能化、给排水等安装工程，外立面装饰工程，室外楼前场地防排水整平等工程。本次招标范围不包含电梯工程。具体按工程量清单及图纸</w:t>
      </w:r>
      <w:r>
        <w:rPr>
          <w:color w:val="auto"/>
          <w:highlight w:val="none"/>
          <w:u w:val="single"/>
        </w:rPr>
        <w:t xml:space="preserve">。 </w:t>
      </w:r>
    </w:p>
    <w:p w14:paraId="5E070239">
      <w:pPr>
        <w:spacing w:line="360" w:lineRule="auto"/>
        <w:ind w:firstLine="420" w:firstLineChars="200"/>
        <w:rPr>
          <w:rFonts w:hint="eastAsia" w:ascii="方正楷体_GB2312" w:hAnsi="方正楷体_GB2312" w:eastAsia="方正楷体_GB2312" w:cs="方正楷体_GB2312"/>
          <w:color w:val="auto"/>
          <w:highlight w:val="none"/>
          <w:u w:val="single"/>
        </w:rPr>
      </w:pPr>
      <w:r>
        <w:rPr>
          <w:rFonts w:hint="eastAsia" w:cs="宋体"/>
          <w:color w:val="auto"/>
          <w:highlight w:val="none"/>
        </w:rPr>
        <w:t>标段划分：</w:t>
      </w:r>
      <w:r>
        <w:rPr>
          <w:color w:val="auto"/>
          <w:highlight w:val="none"/>
        </w:rPr>
        <w:t xml:space="preserve"> </w:t>
      </w:r>
      <w:r>
        <w:rPr>
          <w:color w:val="auto"/>
          <w:highlight w:val="none"/>
          <w:u w:val="single"/>
        </w:rPr>
        <w:t xml:space="preserve"> </w:t>
      </w:r>
      <w:r>
        <w:rPr>
          <w:rFonts w:hint="eastAsia"/>
          <w:color w:val="auto"/>
          <w:highlight w:val="none"/>
          <w:u w:val="single"/>
          <w:lang w:val="en-US" w:eastAsia="zh-CN"/>
        </w:rPr>
        <w:t xml:space="preserve">标段(包)编号：    ，标段(包)名称：广西警察学院长湖校区3号学员公寓楼改造工程（重）        </w:t>
      </w:r>
      <w:r>
        <w:rPr>
          <w:rFonts w:hint="eastAsia" w:ascii="方正楷体_GB2312" w:hAnsi="方正楷体_GB2312" w:eastAsia="方正楷体_GB2312" w:cs="方正楷体_GB2312"/>
          <w:color w:val="auto"/>
          <w:highlight w:val="none"/>
          <w:u w:val="none"/>
          <w:lang w:eastAsia="zh-CN"/>
        </w:rPr>
        <w:t>（</w:t>
      </w:r>
      <w:r>
        <w:rPr>
          <w:rFonts w:hint="eastAsia" w:ascii="方正楷体_GB2312" w:hAnsi="方正楷体_GB2312" w:eastAsia="方正楷体_GB2312" w:cs="方正楷体_GB2312"/>
          <w:color w:val="auto"/>
          <w:highlight w:val="none"/>
          <w:u w:val="none"/>
          <w:lang w:val="en-US" w:eastAsia="zh-CN"/>
        </w:rPr>
        <w:t>备注：</w:t>
      </w:r>
      <w:r>
        <w:rPr>
          <w:rFonts w:hint="eastAsia" w:ascii="方正楷体_GB2312" w:hAnsi="方正楷体_GB2312" w:eastAsia="方正楷体_GB2312" w:cs="方正楷体_GB2312"/>
          <w:i w:val="0"/>
          <w:iCs w:val="0"/>
          <w:caps w:val="0"/>
          <w:color w:val="auto"/>
          <w:spacing w:val="0"/>
          <w:sz w:val="21"/>
          <w:szCs w:val="21"/>
          <w:highlight w:val="none"/>
          <w:shd w:val="clear" w:fill="auto"/>
        </w:rPr>
        <w:t>建设单位将一个单位工程的施工分解成若干部分发包给不同的施工总承包或专业承包单位的</w:t>
      </w:r>
      <w:r>
        <w:rPr>
          <w:rFonts w:hint="eastAsia" w:ascii="方正楷体_GB2312" w:hAnsi="方正楷体_GB2312" w:eastAsia="方正楷体_GB2312" w:cs="方正楷体_GB2312"/>
          <w:i w:val="0"/>
          <w:iCs w:val="0"/>
          <w:caps w:val="0"/>
          <w:color w:val="auto"/>
          <w:spacing w:val="0"/>
          <w:sz w:val="21"/>
          <w:szCs w:val="21"/>
          <w:highlight w:val="none"/>
          <w:shd w:val="clear" w:fill="auto"/>
          <w:lang w:val="en-US" w:eastAsia="zh-CN"/>
        </w:rPr>
        <w:t>属于违法发包，例如：将单位工程中的消防工程、幕墙工程等分解发包</w:t>
      </w:r>
      <w:r>
        <w:rPr>
          <w:rFonts w:hint="eastAsia" w:ascii="方正楷体_GB2312" w:hAnsi="方正楷体_GB2312" w:eastAsia="方正楷体_GB2312" w:cs="方正楷体_GB2312"/>
          <w:i w:val="0"/>
          <w:iCs w:val="0"/>
          <w:caps w:val="0"/>
          <w:color w:val="auto"/>
          <w:spacing w:val="0"/>
          <w:sz w:val="21"/>
          <w:szCs w:val="21"/>
          <w:highlight w:val="none"/>
          <w:shd w:val="clear" w:fill="auto"/>
          <w:lang w:eastAsia="zh-CN"/>
        </w:rPr>
        <w:t>）。</w:t>
      </w:r>
    </w:p>
    <w:p w14:paraId="4BCDFEBC">
      <w:pPr>
        <w:spacing w:line="360" w:lineRule="auto"/>
        <w:ind w:firstLine="420" w:firstLineChars="200"/>
        <w:rPr>
          <w:color w:val="auto"/>
          <w:highlight w:val="none"/>
        </w:rPr>
      </w:pPr>
      <w:r>
        <w:rPr>
          <w:rFonts w:hint="eastAsia" w:cs="宋体"/>
          <w:color w:val="auto"/>
          <w:highlight w:val="none"/>
        </w:rPr>
        <w:t>设计单位：</w:t>
      </w:r>
      <w:r>
        <w:rPr>
          <w:color w:val="auto"/>
          <w:highlight w:val="none"/>
        </w:rPr>
        <w:t xml:space="preserve"> </w:t>
      </w:r>
      <w:r>
        <w:rPr>
          <w:color w:val="auto"/>
          <w:highlight w:val="none"/>
          <w:u w:val="single"/>
        </w:rPr>
        <w:t xml:space="preserve">  </w:t>
      </w:r>
      <w:r>
        <w:rPr>
          <w:rFonts w:hint="eastAsia"/>
          <w:color w:val="auto"/>
          <w:highlight w:val="none"/>
          <w:u w:val="single"/>
          <w:lang w:eastAsia="zh-CN"/>
        </w:rPr>
        <w:t>中国能源建设集团广西电力设计研究院有限公司</w:t>
      </w:r>
      <w:r>
        <w:rPr>
          <w:color w:val="auto"/>
          <w:highlight w:val="none"/>
        </w:rPr>
        <w:t xml:space="preserve">  </w:t>
      </w:r>
    </w:p>
    <w:p w14:paraId="412E729C">
      <w:pPr>
        <w:spacing w:line="360" w:lineRule="auto"/>
        <w:ind w:firstLine="420" w:firstLineChars="200"/>
        <w:rPr>
          <w:color w:val="auto"/>
          <w:highlight w:val="none"/>
          <w:u w:val="single"/>
        </w:rPr>
      </w:pPr>
      <w:r>
        <w:rPr>
          <w:rFonts w:hint="eastAsia" w:cs="宋体"/>
          <w:color w:val="auto"/>
          <w:highlight w:val="none"/>
        </w:rPr>
        <w:t>勘察单位：</w:t>
      </w:r>
      <w:r>
        <w:rPr>
          <w:color w:val="auto"/>
          <w:highlight w:val="none"/>
        </w:rPr>
        <w:t xml:space="preserve"> </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p>
    <w:p w14:paraId="5671C664">
      <w:pPr>
        <w:pStyle w:val="4"/>
        <w:rPr>
          <w:color w:val="auto"/>
          <w:highlight w:val="none"/>
        </w:rPr>
      </w:pPr>
      <w:bookmarkStart w:id="19" w:name="_Toc389065124"/>
      <w:bookmarkStart w:id="20" w:name="_Toc78449596"/>
      <w:bookmarkStart w:id="21" w:name="_Toc828765096"/>
      <w:bookmarkStart w:id="22" w:name="_Toc407135051"/>
      <w:bookmarkStart w:id="23" w:name="_Toc18992"/>
      <w:r>
        <w:rPr>
          <w:color w:val="auto"/>
          <w:highlight w:val="none"/>
        </w:rPr>
        <w:t xml:space="preserve">3. </w:t>
      </w:r>
      <w:r>
        <w:rPr>
          <w:rFonts w:hint="eastAsia" w:cs="黑体"/>
          <w:color w:val="auto"/>
          <w:highlight w:val="none"/>
        </w:rPr>
        <w:t>投标人资格要求</w:t>
      </w:r>
      <w:bookmarkEnd w:id="19"/>
      <w:bookmarkEnd w:id="20"/>
      <w:bookmarkEnd w:id="21"/>
      <w:bookmarkEnd w:id="22"/>
      <w:bookmarkEnd w:id="23"/>
    </w:p>
    <w:p w14:paraId="618C6EEC">
      <w:pPr>
        <w:spacing w:line="360" w:lineRule="auto"/>
        <w:ind w:firstLine="420" w:firstLineChars="200"/>
        <w:rPr>
          <w:color w:val="auto"/>
          <w:highlight w:val="none"/>
        </w:rPr>
      </w:pPr>
      <w:r>
        <w:rPr>
          <w:color w:val="auto"/>
          <w:highlight w:val="none"/>
        </w:rPr>
        <w:t xml:space="preserve">3.1 </w:t>
      </w:r>
      <w:r>
        <w:rPr>
          <w:rFonts w:hint="eastAsia" w:cs="宋体"/>
          <w:color w:val="auto"/>
          <w:highlight w:val="none"/>
        </w:rPr>
        <w:t>本次招标要求投标人须已办理</w:t>
      </w:r>
      <w:r>
        <w:rPr>
          <w:rFonts w:hint="eastAsia" w:cs="宋体"/>
          <w:color w:val="auto"/>
          <w:highlight w:val="none"/>
          <w:lang w:eastAsia="zh-CN"/>
        </w:rPr>
        <w:t>“</w:t>
      </w:r>
      <w:r>
        <w:rPr>
          <w:rFonts w:hint="eastAsia" w:cs="宋体"/>
          <w:color w:val="auto"/>
          <w:highlight w:val="none"/>
        </w:rPr>
        <w:t>桂建云</w:t>
      </w:r>
      <w:r>
        <w:rPr>
          <w:rFonts w:hint="eastAsia" w:cs="宋体"/>
          <w:color w:val="auto"/>
          <w:highlight w:val="none"/>
          <w:lang w:eastAsia="zh-CN"/>
        </w:rPr>
        <w:t>”</w:t>
      </w:r>
      <w:r>
        <w:rPr>
          <w:rFonts w:hint="eastAsia" w:cs="宋体"/>
          <w:color w:val="auto"/>
          <w:highlight w:val="none"/>
        </w:rPr>
        <w:t>入库手续并处于有效状态，□无资质要求</w:t>
      </w:r>
      <w:r>
        <w:rPr>
          <w:rFonts w:hint="eastAsia" w:eastAsia="楷体_GB2312" w:cs="楷体_GB2312"/>
          <w:b w:val="0"/>
          <w:bCs w:val="0"/>
          <w:color w:val="auto"/>
          <w:highlight w:val="none"/>
        </w:rPr>
        <w:t>【备注：已经取消资质要求的承包类型选无资质要求】</w:t>
      </w:r>
      <w:r>
        <w:rPr>
          <w:rFonts w:hint="eastAsia" w:cs="宋体"/>
          <w:color w:val="auto"/>
          <w:highlight w:val="none"/>
          <w:lang w:eastAsia="zh-CN"/>
        </w:rPr>
        <w:t>☑</w:t>
      </w:r>
      <w:r>
        <w:rPr>
          <w:rFonts w:hint="eastAsia" w:cs="宋体"/>
          <w:color w:val="auto"/>
          <w:highlight w:val="none"/>
          <w:lang w:val="en-US" w:eastAsia="zh-CN"/>
        </w:rPr>
        <w:t>有</w:t>
      </w:r>
      <w:r>
        <w:rPr>
          <w:rFonts w:hint="eastAsia" w:cs="宋体"/>
          <w:color w:val="auto"/>
          <w:highlight w:val="none"/>
        </w:rPr>
        <w:t>资质要求</w:t>
      </w:r>
      <w:r>
        <w:rPr>
          <w:rFonts w:hint="eastAsia" w:cs="宋体"/>
          <w:color w:val="auto"/>
          <w:highlight w:val="none"/>
          <w:lang w:eastAsia="zh-CN"/>
        </w:rPr>
        <w:t>，</w:t>
      </w:r>
      <w:r>
        <w:rPr>
          <w:rFonts w:hint="eastAsia" w:cs="宋体"/>
          <w:color w:val="auto"/>
          <w:highlight w:val="none"/>
        </w:rPr>
        <w:t>具备</w:t>
      </w:r>
      <w:r>
        <w:rPr>
          <w:color w:val="auto"/>
          <w:highlight w:val="none"/>
          <w:u w:val="single"/>
        </w:rPr>
        <w:t xml:space="preserve">  </w:t>
      </w:r>
      <w:r>
        <w:rPr>
          <w:rFonts w:hint="eastAsia"/>
          <w:color w:val="auto"/>
          <w:highlight w:val="none"/>
          <w:u w:val="single"/>
        </w:rPr>
        <w:t>建筑工程施工总承包三级（含三级）以上</w:t>
      </w:r>
      <w:r>
        <w:rPr>
          <w:color w:val="auto"/>
          <w:highlight w:val="none"/>
          <w:u w:val="single"/>
        </w:rPr>
        <w:t xml:space="preserve">  </w:t>
      </w:r>
      <w:r>
        <w:rPr>
          <w:rFonts w:hint="eastAsia" w:cs="宋体"/>
          <w:color w:val="auto"/>
          <w:highlight w:val="none"/>
        </w:rPr>
        <w:t>资质</w:t>
      </w:r>
      <w:r>
        <w:rPr>
          <w:rFonts w:hint="eastAsia" w:eastAsia="楷体_GB2312" w:cs="楷体_GB2312"/>
          <w:b w:val="0"/>
          <w:bCs w:val="0"/>
          <w:color w:val="auto"/>
          <w:highlight w:val="none"/>
        </w:rPr>
        <w:t>【备注：</w:t>
      </w:r>
      <w:r>
        <w:rPr>
          <w:rFonts w:hint="eastAsia" w:eastAsia="楷体_GB2312" w:cs="楷体_GB2312"/>
          <w:b w:val="0"/>
          <w:bCs w:val="0"/>
          <w:color w:val="auto"/>
          <w:highlight w:val="none"/>
          <w:lang w:eastAsia="zh-CN"/>
        </w:rPr>
        <w:t>1.</w:t>
      </w:r>
      <w:r>
        <w:rPr>
          <w:rFonts w:hint="eastAsia" w:eastAsia="楷体_GB2312" w:cs="楷体_GB2312"/>
          <w:b w:val="0"/>
          <w:bCs w:val="0"/>
          <w:color w:val="auto"/>
          <w:highlight w:val="none"/>
        </w:rPr>
        <w:t>招标人应当根据国家法律法规对企业资质等级许可的相关规定及招标项目特点，合理设置企业资质等级，不得提高资质等级要求；资质设置为施工总承包已可满足项目建设要求的，不得额外同时设置专业承包资质；设有专业承包资质的专业工程单独发包时， 应由取得相应专业承包资质的企业承担</w:t>
      </w:r>
      <w:r>
        <w:rPr>
          <w:rFonts w:hint="eastAsia" w:eastAsia="楷体_GB2312" w:cs="楷体_GB2312"/>
          <w:b w:val="0"/>
          <w:bCs w:val="0"/>
          <w:color w:val="auto"/>
          <w:highlight w:val="none"/>
          <w:lang w:eastAsia="zh-CN"/>
        </w:rPr>
        <w:t>；2.</w:t>
      </w:r>
      <w:r>
        <w:rPr>
          <w:rFonts w:hint="eastAsia" w:eastAsia="楷体_GB2312" w:cs="楷体_GB2312"/>
          <w:b w:val="0"/>
          <w:bCs w:val="0"/>
          <w:color w:val="auto"/>
          <w:highlight w:val="none"/>
          <w:u w:val="single"/>
        </w:rPr>
        <w:t xml:space="preserve">     </w:t>
      </w:r>
      <w:r>
        <w:rPr>
          <w:rFonts w:hint="eastAsia" w:eastAsia="楷体_GB2312" w:cs="楷体_GB2312"/>
          <w:b w:val="0"/>
          <w:bCs w:val="0"/>
          <w:color w:val="auto"/>
          <w:highlight w:val="none"/>
          <w:u w:val="single"/>
          <w:lang w:val="en-US" w:eastAsia="zh-CN"/>
        </w:rPr>
        <w:t>/</w:t>
      </w:r>
      <w:r>
        <w:rPr>
          <w:rFonts w:hint="eastAsia" w:eastAsia="楷体_GB2312" w:cs="楷体_GB2312"/>
          <w:b w:val="0"/>
          <w:bCs w:val="0"/>
          <w:color w:val="auto"/>
          <w:highlight w:val="none"/>
          <w:u w:val="single"/>
        </w:rPr>
        <w:t xml:space="preserve">       </w:t>
      </w:r>
      <w:r>
        <w:rPr>
          <w:rFonts w:hint="eastAsia" w:eastAsia="楷体_GB2312" w:cs="楷体_GB2312"/>
          <w:b w:val="0"/>
          <w:bCs w:val="0"/>
          <w:color w:val="auto"/>
          <w:highlight w:val="none"/>
        </w:rPr>
        <w:t>】</w:t>
      </w:r>
      <w:r>
        <w:rPr>
          <w:rFonts w:hint="eastAsia" w:cs="宋体"/>
          <w:color w:val="auto"/>
          <w:kern w:val="0"/>
          <w:sz w:val="24"/>
          <w:szCs w:val="24"/>
          <w:highlight w:val="none"/>
        </w:rPr>
        <w:t>，</w:t>
      </w:r>
      <w:r>
        <w:rPr>
          <w:rFonts w:hint="eastAsia" w:cs="宋体"/>
          <w:color w:val="auto"/>
          <w:highlight w:val="none"/>
        </w:rPr>
        <w:t>并在人员、设备、资金等方面具备相应的施工能力。其中，投标人拟派项目经理须具备</w:t>
      </w:r>
      <w:r>
        <w:rPr>
          <w:rFonts w:hint="eastAsia" w:eastAsia="宋体" w:cs="宋体"/>
          <w:color w:val="auto"/>
          <w:highlight w:val="none"/>
          <w:u w:val="single"/>
        </w:rPr>
        <w:t xml:space="preserve"> 建筑工程 </w:t>
      </w:r>
      <w:r>
        <w:rPr>
          <w:color w:val="auto"/>
          <w:highlight w:val="none"/>
          <w:u w:val="single"/>
        </w:rPr>
        <w:t xml:space="preserve"> </w:t>
      </w:r>
      <w:r>
        <w:rPr>
          <w:rFonts w:hint="eastAsia" w:cs="宋体"/>
          <w:color w:val="auto"/>
          <w:highlight w:val="none"/>
        </w:rPr>
        <w:t>专业</w:t>
      </w:r>
      <w:r>
        <w:rPr>
          <w:color w:val="auto"/>
          <w:highlight w:val="none"/>
          <w:u w:val="single"/>
        </w:rPr>
        <w:t xml:space="preserve">    </w:t>
      </w:r>
      <w:r>
        <w:rPr>
          <w:rFonts w:hint="eastAsia"/>
          <w:color w:val="auto"/>
          <w:highlight w:val="none"/>
          <w:u w:val="single"/>
        </w:rPr>
        <w:t>二级以上（含本级）</w:t>
      </w:r>
      <w:r>
        <w:rPr>
          <w:rFonts w:hint="eastAsia" w:ascii="仿宋_GB2312" w:hAnsi="宋体"/>
          <w:color w:val="auto"/>
          <w:highlight w:val="none"/>
          <w:u w:val="single"/>
          <w:lang w:val="en-US" w:eastAsia="zh-CN"/>
        </w:rPr>
        <w:t xml:space="preserve">  </w:t>
      </w:r>
      <w:r>
        <w:rPr>
          <w:rFonts w:hint="eastAsia" w:ascii="仿宋_GB2312" w:hAnsi="宋体"/>
          <w:color w:val="auto"/>
          <w:highlight w:val="none"/>
          <w:lang w:val="en-US" w:eastAsia="zh-CN"/>
        </w:rPr>
        <w:t xml:space="preserve"> </w:t>
      </w:r>
      <w:r>
        <w:rPr>
          <w:rFonts w:hint="eastAsia" w:cs="宋体"/>
          <w:color w:val="auto"/>
          <w:highlight w:val="none"/>
        </w:rPr>
        <w:t>注册建造师执业资格</w:t>
      </w:r>
      <w:r>
        <w:rPr>
          <w:rFonts w:hint="eastAsia" w:eastAsia="楷体_GB2312" w:cs="楷体_GB2312"/>
          <w:b w:val="0"/>
          <w:bCs w:val="0"/>
          <w:color w:val="auto"/>
          <w:highlight w:val="none"/>
        </w:rPr>
        <w:t>【备注：招标人应当根据项目规模，按照注册建造师执业工程规模标准，合理设置注册建造师等级，不得提高资格要求】</w:t>
      </w:r>
      <w:r>
        <w:rPr>
          <w:rFonts w:hint="eastAsia" w:cs="宋体"/>
          <w:color w:val="auto"/>
          <w:highlight w:val="none"/>
        </w:rPr>
        <w:t>，已录入</w:t>
      </w:r>
      <w:r>
        <w:rPr>
          <w:rFonts w:hint="eastAsia"/>
          <w:color w:val="auto"/>
          <w:highlight w:val="none"/>
          <w:lang w:eastAsia="zh-CN"/>
        </w:rPr>
        <w:t>“</w:t>
      </w:r>
      <w:r>
        <w:rPr>
          <w:rFonts w:hint="eastAsia"/>
          <w:color w:val="auto"/>
          <w:highlight w:val="none"/>
        </w:rPr>
        <w:t>桂建云</w:t>
      </w:r>
      <w:r>
        <w:rPr>
          <w:rFonts w:hint="eastAsia"/>
          <w:color w:val="auto"/>
          <w:highlight w:val="none"/>
          <w:lang w:eastAsia="zh-CN"/>
        </w:rPr>
        <w:t>”</w:t>
      </w:r>
      <w:r>
        <w:rPr>
          <w:rFonts w:hint="eastAsia" w:cs="宋体"/>
          <w:color w:val="auto"/>
          <w:highlight w:val="none"/>
        </w:rPr>
        <w:t>并处于有效状态，具备有效的安全生产考核合格证书（</w:t>
      </w:r>
      <w:r>
        <w:rPr>
          <w:color w:val="auto"/>
          <w:highlight w:val="none"/>
        </w:rPr>
        <w:t>B</w:t>
      </w:r>
      <w:r>
        <w:rPr>
          <w:rFonts w:hint="eastAsia" w:cs="宋体"/>
          <w:color w:val="auto"/>
          <w:highlight w:val="none"/>
        </w:rPr>
        <w:t>类）。本项目不接受有在建、已中标未开工或已列为其他项目中标候选人第一名的建造师作为项目经理</w:t>
      </w:r>
      <w:r>
        <w:rPr>
          <w:rFonts w:hint="eastAsia" w:cs="宋体"/>
          <w:color w:val="auto"/>
          <w:kern w:val="0"/>
          <w:highlight w:val="none"/>
        </w:rPr>
        <w:t>（</w:t>
      </w:r>
      <w:r>
        <w:rPr>
          <w:rFonts w:hint="eastAsia" w:cs="宋体"/>
          <w:color w:val="auto"/>
          <w:highlight w:val="none"/>
        </w:rPr>
        <w:t>符合《广西壮族自治区建筑市场诚信卡管理暂行办法》第十六条第一款</w:t>
      </w:r>
      <w:r>
        <w:rPr>
          <w:rFonts w:hint="eastAsia" w:ascii="宋体" w:hAnsi="宋体"/>
          <w:color w:val="auto"/>
          <w:highlight w:val="none"/>
        </w:rPr>
        <w:t>及桂建管</w:t>
      </w:r>
      <w:r>
        <w:rPr>
          <w:rFonts w:hint="eastAsia" w:ascii="Times New Roman" w:hAnsi="Times New Roman" w:eastAsia="宋体" w:cs="Times New Roman"/>
          <w:color w:val="auto"/>
          <w:kern w:val="0"/>
          <w:sz w:val="21"/>
          <w:szCs w:val="21"/>
          <w:highlight w:val="none"/>
          <w:u w:val="none"/>
        </w:rPr>
        <w:t>〔</w:t>
      </w:r>
      <w:r>
        <w:rPr>
          <w:rFonts w:hint="eastAsia"/>
          <w:color w:val="auto"/>
          <w:kern w:val="0"/>
          <w:highlight w:val="none"/>
        </w:rPr>
        <w:t>2016</w:t>
      </w:r>
      <w:r>
        <w:rPr>
          <w:rFonts w:hint="eastAsia" w:ascii="Times New Roman" w:hAnsi="Times New Roman" w:eastAsia="宋体" w:cs="Times New Roman"/>
          <w:color w:val="auto"/>
          <w:kern w:val="0"/>
          <w:sz w:val="21"/>
          <w:szCs w:val="21"/>
          <w:highlight w:val="none"/>
          <w:u w:val="none"/>
        </w:rPr>
        <w:t>〕</w:t>
      </w:r>
      <w:r>
        <w:rPr>
          <w:rFonts w:hint="eastAsia" w:ascii="Times New Roman" w:hAnsi="Times New Roman" w:eastAsia="宋体" w:cs="宋体"/>
          <w:color w:val="auto"/>
          <w:highlight w:val="none"/>
        </w:rPr>
        <w:t>70号</w:t>
      </w:r>
      <w:r>
        <w:rPr>
          <w:rFonts w:hint="eastAsia" w:ascii="Times New Roman" w:hAnsi="Times New Roman" w:eastAsia="宋体" w:cs="Times New Roman"/>
          <w:color w:val="auto"/>
          <w:kern w:val="0"/>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eastAsia" w:ascii="Times New Roman" w:hAnsi="Times New Roman" w:eastAsia="宋体" w:cs="Times New Roman"/>
          <w:color w:val="auto"/>
          <w:kern w:val="0"/>
          <w:highlight w:val="none"/>
        </w:rPr>
        <w:t>文</w:t>
      </w:r>
      <w:r>
        <w:rPr>
          <w:rFonts w:hint="eastAsia" w:cs="Times New Roman"/>
          <w:color w:val="auto"/>
          <w:kern w:val="0"/>
          <w:highlight w:val="none"/>
          <w:lang w:val="en-US" w:eastAsia="zh-CN"/>
        </w:rPr>
        <w:t>的</w:t>
      </w:r>
      <w:r>
        <w:rPr>
          <w:rFonts w:hint="eastAsia" w:ascii="Times New Roman" w:hAnsi="Times New Roman" w:eastAsia="宋体" w:cs="Times New Roman"/>
          <w:color w:val="auto"/>
          <w:kern w:val="0"/>
          <w:highlight w:val="none"/>
        </w:rPr>
        <w:t>除</w:t>
      </w:r>
      <w:r>
        <w:rPr>
          <w:rFonts w:hint="eastAsia" w:cs="宋体"/>
          <w:color w:val="auto"/>
          <w:highlight w:val="none"/>
        </w:rPr>
        <w:t>外）。</w:t>
      </w:r>
    </w:p>
    <w:p w14:paraId="592E5A7E">
      <w:pPr>
        <w:spacing w:line="360" w:lineRule="auto"/>
        <w:ind w:firstLine="420" w:firstLineChars="200"/>
        <w:rPr>
          <w:rFonts w:hint="eastAsia" w:cs="宋体"/>
          <w:color w:val="auto"/>
          <w:highlight w:val="none"/>
        </w:rPr>
      </w:pPr>
      <w:r>
        <w:rPr>
          <w:color w:val="auto"/>
          <w:highlight w:val="none"/>
        </w:rPr>
        <w:t xml:space="preserve">3.2 </w:t>
      </w:r>
      <w:r>
        <w:rPr>
          <w:rFonts w:hint="eastAsia" w:cs="宋体"/>
          <w:color w:val="auto"/>
          <w:highlight w:val="none"/>
        </w:rPr>
        <w:t>业绩要求：</w:t>
      </w:r>
      <w:r>
        <w:rPr>
          <w:rFonts w:hint="eastAsia" w:cs="宋体"/>
          <w:color w:val="auto"/>
          <w:highlight w:val="none"/>
          <w:lang w:eastAsia="zh-CN"/>
        </w:rPr>
        <w:t>☑</w:t>
      </w:r>
      <w:r>
        <w:rPr>
          <w:rFonts w:hint="eastAsia" w:cs="宋体"/>
          <w:color w:val="auto"/>
          <w:highlight w:val="none"/>
        </w:rPr>
        <w:t>无要求</w:t>
      </w:r>
      <w:r>
        <w:rPr>
          <w:color w:val="auto"/>
          <w:highlight w:val="none"/>
        </w:rPr>
        <w:t xml:space="preserve">  </w:t>
      </w:r>
      <w:r>
        <w:rPr>
          <w:rFonts w:hint="eastAsia" w:cs="宋体"/>
          <w:color w:val="auto"/>
          <w:highlight w:val="none"/>
        </w:rPr>
        <w:t>□有要求，要求</w:t>
      </w:r>
      <w:r>
        <w:rPr>
          <w:rFonts w:hint="eastAsia" w:ascii="仿宋_GB2312" w:hAnsi="宋体"/>
          <w:color w:val="auto"/>
          <w:highlight w:val="none"/>
          <w:u w:val="single"/>
        </w:rPr>
        <w:t xml:space="preserve">    </w:t>
      </w:r>
      <w:r>
        <w:rPr>
          <w:rFonts w:ascii="仿宋_GB2312" w:hAnsi="宋体"/>
          <w:color w:val="auto"/>
          <w:highlight w:val="none"/>
        </w:rPr>
        <w:t>年</w:t>
      </w:r>
      <w:r>
        <w:rPr>
          <w:rFonts w:hint="eastAsia" w:ascii="仿宋_GB2312" w:hAnsi="宋体"/>
          <w:color w:val="auto"/>
          <w:highlight w:val="none"/>
          <w:u w:val="single"/>
          <w:lang w:val="en-US" w:eastAsia="zh-CN"/>
        </w:rPr>
        <w:t xml:space="preserve">   </w:t>
      </w:r>
      <w:r>
        <w:rPr>
          <w:rFonts w:hint="eastAsia" w:ascii="仿宋_GB2312" w:hAnsi="宋体"/>
          <w:color w:val="auto"/>
          <w:highlight w:val="none"/>
          <w:lang w:val="en-US" w:eastAsia="zh-CN"/>
        </w:rPr>
        <w:t>月</w:t>
      </w:r>
      <w:r>
        <w:rPr>
          <w:rFonts w:hint="eastAsia" w:ascii="仿宋_GB2312" w:hAnsi="宋体"/>
          <w:color w:val="auto"/>
          <w:highlight w:val="none"/>
        </w:rPr>
        <w:t>（应填写年</w:t>
      </w:r>
      <w:r>
        <w:rPr>
          <w:rFonts w:hint="eastAsia" w:ascii="仿宋_GB2312" w:hAnsi="宋体"/>
          <w:color w:val="auto"/>
          <w:highlight w:val="none"/>
          <w:lang w:eastAsia="zh-CN"/>
        </w:rPr>
        <w:t>、</w:t>
      </w:r>
      <w:r>
        <w:rPr>
          <w:rFonts w:hint="eastAsia" w:ascii="仿宋_GB2312" w:hAnsi="宋体"/>
          <w:color w:val="auto"/>
          <w:highlight w:val="none"/>
          <w:lang w:val="en-US" w:eastAsia="zh-CN"/>
        </w:rPr>
        <w:t>月</w:t>
      </w:r>
      <w:r>
        <w:rPr>
          <w:rFonts w:hint="eastAsia" w:ascii="仿宋_GB2312" w:hAnsi="宋体"/>
          <w:color w:val="auto"/>
          <w:highlight w:val="none"/>
        </w:rPr>
        <w:t>份）以来</w:t>
      </w:r>
      <w:r>
        <w:rPr>
          <w:rFonts w:hint="eastAsia" w:cs="宋体"/>
          <w:color w:val="auto"/>
          <w:highlight w:val="none"/>
          <w:lang w:eastAsia="zh-CN"/>
        </w:rPr>
        <w:t>□</w:t>
      </w:r>
      <w:r>
        <w:rPr>
          <w:rFonts w:hint="eastAsia" w:cs="宋体"/>
          <w:color w:val="auto"/>
          <w:highlight w:val="none"/>
        </w:rPr>
        <w:t>完成过质量合格的类似工程业绩 □承接过类似工程业绩</w:t>
      </w:r>
      <w:r>
        <w:rPr>
          <w:rFonts w:hint="eastAsia" w:cs="宋体"/>
          <w:b/>
          <w:bCs/>
          <w:color w:val="auto"/>
          <w:highlight w:val="none"/>
          <w:lang w:eastAsia="zh-CN"/>
        </w:rPr>
        <w:t>。</w:t>
      </w:r>
      <w:r>
        <w:rPr>
          <w:rFonts w:hint="eastAsia" w:cs="宋体"/>
          <w:color w:val="auto"/>
          <w:highlight w:val="none"/>
        </w:rPr>
        <w:t>类似工程指：</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color w:val="auto"/>
          <w:highlight w:val="none"/>
          <w:u w:val="single"/>
          <w:lang w:eastAsia="zh-CN"/>
        </w:rPr>
        <w:t>（</w:t>
      </w:r>
      <w:r>
        <w:rPr>
          <w:rFonts w:hint="eastAsia" w:ascii="方正楷体_GB2312" w:hAnsi="方正楷体_GB2312" w:eastAsia="方正楷体_GB2312" w:cs="方正楷体_GB2312"/>
          <w:color w:val="auto"/>
          <w:highlight w:val="none"/>
          <w:u w:val="single"/>
          <w:lang w:eastAsia="zh-CN"/>
        </w:rPr>
        <w:t>设置的业绩条件不得高于本次招标项目相关指标要求</w:t>
      </w:r>
      <w:r>
        <w:rPr>
          <w:rFonts w:hint="eastAsia"/>
          <w:color w:val="auto"/>
          <w:highlight w:val="none"/>
          <w:u w:val="single"/>
          <w:lang w:eastAsia="zh-CN"/>
        </w:rPr>
        <w:t>）</w:t>
      </w:r>
      <w:r>
        <w:rPr>
          <w:rFonts w:hint="eastAsia" w:cs="宋体"/>
          <w:color w:val="auto"/>
          <w:highlight w:val="none"/>
        </w:rPr>
        <w:t>。</w:t>
      </w:r>
    </w:p>
    <w:p w14:paraId="3917CB2A">
      <w:pPr>
        <w:spacing w:line="360" w:lineRule="auto"/>
        <w:ind w:firstLine="420" w:firstLineChars="200"/>
        <w:rPr>
          <w:rFonts w:hint="eastAsia" w:ascii="方正楷体_GB2312" w:hAnsi="方正楷体_GB2312" w:eastAsia="方正楷体_GB2312" w:cs="方正楷体_GB2312"/>
          <w:color w:val="auto"/>
          <w:highlight w:val="none"/>
        </w:rPr>
      </w:pPr>
      <w:r>
        <w:rPr>
          <w:color w:val="auto"/>
          <w:highlight w:val="none"/>
        </w:rPr>
        <w:t xml:space="preserve">3.3 </w:t>
      </w:r>
      <w:r>
        <w:rPr>
          <w:rFonts w:hint="eastAsia" w:cs="宋体"/>
          <w:color w:val="auto"/>
          <w:highlight w:val="none"/>
        </w:rPr>
        <w:t>本次招标</w:t>
      </w:r>
      <w:r>
        <w:rPr>
          <w:color w:val="auto"/>
          <w:highlight w:val="none"/>
          <w:u w:val="single"/>
        </w:rPr>
        <w:t xml:space="preserve">  </w:t>
      </w:r>
      <w:r>
        <w:rPr>
          <w:rFonts w:hint="eastAsia"/>
          <w:color w:val="auto"/>
          <w:highlight w:val="none"/>
          <w:u w:val="single"/>
        </w:rPr>
        <w:t>接受</w:t>
      </w:r>
      <w:r>
        <w:rPr>
          <w:color w:val="auto"/>
          <w:highlight w:val="none"/>
          <w:u w:val="single"/>
        </w:rPr>
        <w:t xml:space="preserve">     </w:t>
      </w:r>
      <w:r>
        <w:rPr>
          <w:rFonts w:hint="eastAsia" w:cs="宋体"/>
          <w:color w:val="auto"/>
          <w:highlight w:val="none"/>
        </w:rPr>
        <w:t>（接受或不接受）联合体投标。联合体投标的，应满足下列要求：</w:t>
      </w:r>
      <w:r>
        <w:rPr>
          <w:color w:val="auto"/>
          <w:highlight w:val="none"/>
          <w:u w:val="single"/>
        </w:rPr>
        <w:t xml:space="preserve">  </w:t>
      </w:r>
      <w:r>
        <w:rPr>
          <w:rFonts w:hint="eastAsia"/>
          <w:color w:val="auto"/>
          <w:highlight w:val="none"/>
          <w:u w:val="single"/>
        </w:rPr>
        <w:t>（1）1+1+N模式：第一个1为联合体主办单位，第二个1为联合体主办单位控股且在南宁市注册具备法人资格的下属公司，N为联合体主办单位控股的具备法人资格的下属施工企业或注册地在南宁市的施工企业。（2）1+N模式：①1为联合体主办单位，N为联合体主办单位控股且在南宁市注册具备法人资格的下属施工企业或者注册地在南宁市的施工企业；②1为注册地在南宁市的联合体主办单位，N为施工企业</w:t>
      </w:r>
      <w:r>
        <w:rPr>
          <w:color w:val="auto"/>
          <w:highlight w:val="none"/>
          <w:u w:val="single"/>
        </w:rPr>
        <w:t xml:space="preserve">  </w:t>
      </w:r>
      <w:r>
        <w:rPr>
          <w:rFonts w:hint="eastAsia" w:cs="宋体"/>
          <w:color w:val="auto"/>
          <w:highlight w:val="none"/>
        </w:rPr>
        <w:t>。</w:t>
      </w:r>
      <w:r>
        <w:rPr>
          <w:rFonts w:hint="eastAsia" w:cs="宋体"/>
          <w:color w:val="auto"/>
          <w:highlight w:val="none"/>
          <w:lang w:eastAsia="zh-CN"/>
        </w:rPr>
        <w:t>（</w:t>
      </w: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val="en-US" w:eastAsia="zh-CN"/>
        </w:rPr>
        <w:t>1.</w:t>
      </w:r>
      <w:r>
        <w:rPr>
          <w:rFonts w:hint="eastAsia" w:ascii="方正楷体_GB2312" w:hAnsi="方正楷体_GB2312" w:eastAsia="方正楷体_GB2312" w:cs="方正楷体_GB2312"/>
          <w:color w:val="auto"/>
          <w:highlight w:val="none"/>
        </w:rPr>
        <w:t>联合体参与投标的，联合体各方应当签订联合体协议书，其中联合体牵头人代表联合体各方成员负责投标和合同实施阶段的主办、协调工作，但联合体其他成员在投标、签约与履行合同过程中，负有连带的和各自的法律责任</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lang w:val="en-US" w:eastAsia="zh-CN"/>
        </w:rPr>
        <w:t>2.</w:t>
      </w:r>
      <w:r>
        <w:rPr>
          <w:rFonts w:hint="eastAsia" w:ascii="方正楷体_GB2312" w:hAnsi="方正楷体_GB2312" w:eastAsia="方正楷体_GB2312" w:cs="方正楷体_GB2312"/>
          <w:color w:val="auto"/>
          <w:highlight w:val="none"/>
        </w:rPr>
        <w:t>联合体的</w:t>
      </w:r>
      <w:r>
        <w:rPr>
          <w:rFonts w:hint="eastAsia" w:ascii="方正楷体_GB2312" w:hAnsi="方正楷体_GB2312" w:eastAsia="方正楷体_GB2312" w:cs="方正楷体_GB2312"/>
          <w:color w:val="auto"/>
          <w:highlight w:val="none"/>
          <w:lang w:eastAsia="zh-CN"/>
        </w:rPr>
        <w:t>诚信综合评价分</w:t>
      </w:r>
      <w:r>
        <w:rPr>
          <w:rFonts w:hint="eastAsia" w:ascii="方正楷体_GB2312" w:hAnsi="方正楷体_GB2312" w:eastAsia="方正楷体_GB2312" w:cs="方正楷体_GB2312"/>
          <w:color w:val="auto"/>
          <w:highlight w:val="none"/>
        </w:rPr>
        <w:t>按联合体牵头人的企业认定</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lang w:val="en-US" w:eastAsia="zh-CN"/>
        </w:rPr>
        <w:t>3.</w:t>
      </w:r>
      <w:r>
        <w:rPr>
          <w:rFonts w:hint="eastAsia" w:ascii="方正楷体_GB2312" w:hAnsi="方正楷体_GB2312" w:eastAsia="方正楷体_GB2312" w:cs="方正楷体_GB2312"/>
          <w:color w:val="auto"/>
          <w:highlight w:val="none"/>
          <w:u w:val="single"/>
          <w:lang w:val="en-US" w:eastAsia="zh-CN"/>
        </w:rPr>
        <w:t xml:space="preserve">        /      )</w:t>
      </w:r>
    </w:p>
    <w:p w14:paraId="11E5E82F">
      <w:pPr>
        <w:spacing w:line="360" w:lineRule="auto"/>
        <w:ind w:firstLine="420" w:firstLineChars="200"/>
        <w:jc w:val="left"/>
        <w:rPr>
          <w:rFonts w:hint="default" w:eastAsia="宋体" w:cs="宋体"/>
          <w:color w:val="auto"/>
          <w:highlight w:val="none"/>
          <w:lang w:val="en-US" w:eastAsia="zh-CN"/>
        </w:rPr>
      </w:pPr>
      <w:r>
        <w:rPr>
          <w:color w:val="auto"/>
          <w:highlight w:val="none"/>
        </w:rPr>
        <w:t xml:space="preserve">3.4 </w:t>
      </w:r>
      <w:r>
        <w:rPr>
          <w:rFonts w:hint="eastAsia"/>
          <w:color w:val="auto"/>
          <w:highlight w:val="none"/>
          <w:lang w:eastAsia="zh-CN"/>
        </w:rPr>
        <w:t>多标段招标项目，</w:t>
      </w:r>
      <w:r>
        <w:rPr>
          <w:rFonts w:hint="eastAsia" w:cs="宋体"/>
          <w:color w:val="auto"/>
          <w:highlight w:val="none"/>
        </w:rPr>
        <w:t>各投标人可就招标项目的所有标段进行投标，并允许中标其中□一个/□多个/</w:t>
      </w:r>
      <w:r>
        <w:rPr>
          <w:rFonts w:hint="eastAsia" w:cs="宋体"/>
          <w:color w:val="auto"/>
          <w:highlight w:val="none"/>
          <w:lang w:eastAsia="zh-CN"/>
        </w:rPr>
        <w:t>☑</w:t>
      </w:r>
      <w:r>
        <w:rPr>
          <w:rFonts w:hint="eastAsia" w:cs="宋体"/>
          <w:color w:val="auto"/>
          <w:highlight w:val="none"/>
        </w:rPr>
        <w:t>所有标段（</w:t>
      </w:r>
      <w:r>
        <w:rPr>
          <w:rFonts w:hint="eastAsia" w:ascii="方正楷体_GB2312" w:hAnsi="方正楷体_GB2312" w:eastAsia="方正楷体_GB2312" w:cs="方正楷体_GB2312"/>
          <w:color w:val="auto"/>
          <w:highlight w:val="none"/>
        </w:rPr>
        <w:t>由招标人事先确定</w:t>
      </w:r>
      <w:r>
        <w:rPr>
          <w:rFonts w:hint="eastAsia" w:cs="宋体"/>
          <w:color w:val="auto"/>
          <w:highlight w:val="none"/>
        </w:rPr>
        <w:t>）。但投标人应就不同标段派出不同的项目经理和项目专职安全生产管理人员，否则</w:t>
      </w:r>
      <w:r>
        <w:rPr>
          <w:rFonts w:hint="eastAsia" w:cs="宋体"/>
          <w:color w:val="auto"/>
          <w:highlight w:val="none"/>
          <w:lang w:val="en-US" w:eastAsia="zh-CN"/>
        </w:rPr>
        <w:t>由</w:t>
      </w:r>
      <w:r>
        <w:rPr>
          <w:rFonts w:hint="eastAsia" w:cs="宋体"/>
          <w:color w:val="auto"/>
          <w:highlight w:val="none"/>
        </w:rPr>
        <w:t>同一</w:t>
      </w:r>
      <w:r>
        <w:rPr>
          <w:rFonts w:hint="eastAsia" w:cs="Times New Roman"/>
          <w:color w:val="auto"/>
          <w:szCs w:val="21"/>
          <w:highlight w:val="none"/>
          <w:lang w:val="en-US" w:eastAsia="zh-CN"/>
        </w:rPr>
        <w:t>人拟任不同标段</w:t>
      </w:r>
      <w:r>
        <w:rPr>
          <w:rFonts w:hint="eastAsia" w:cs="宋体"/>
          <w:color w:val="auto"/>
          <w:highlight w:val="none"/>
        </w:rPr>
        <w:t>项目经理或项目专职安全生产管理人员的投标文件作否决投标处理（符合《广西壮族自治区建筑市场诚信卡管理暂行办法》第十六条第一款</w:t>
      </w:r>
      <w:r>
        <w:rPr>
          <w:rFonts w:hint="eastAsia" w:ascii="宋体" w:hAnsi="宋体"/>
          <w:color w:val="auto"/>
          <w:highlight w:val="none"/>
        </w:rPr>
        <w:t>及桂建管</w:t>
      </w:r>
      <w:r>
        <w:rPr>
          <w:rFonts w:hint="eastAsia" w:ascii="Times New Roman" w:hAnsi="Times New Roman" w:eastAsia="宋体" w:cs="宋体"/>
          <w:color w:val="auto"/>
          <w:highlight w:val="none"/>
        </w:rPr>
        <w:t>﹝</w:t>
      </w:r>
      <w:r>
        <w:rPr>
          <w:rFonts w:hint="eastAsia" w:ascii="Times New Roman" w:hAnsi="Times New Roman" w:eastAsia="宋体" w:cs="宋体"/>
          <w:color w:val="auto"/>
          <w:kern w:val="2"/>
          <w:highlight w:val="none"/>
        </w:rPr>
        <w:t>2016</w:t>
      </w:r>
      <w:r>
        <w:rPr>
          <w:rFonts w:hint="eastAsia" w:ascii="Times New Roman" w:hAnsi="Times New Roman" w:eastAsia="宋体" w:cs="宋体"/>
          <w:color w:val="auto"/>
          <w:highlight w:val="none"/>
        </w:rPr>
        <w:t>﹞70号</w:t>
      </w:r>
      <w:r>
        <w:rPr>
          <w:rFonts w:hint="eastAsia" w:cs="宋体"/>
          <w:color w:val="auto"/>
          <w:highlight w:val="none"/>
          <w:lang w:val="en-US" w:eastAsia="zh-CN"/>
        </w:rPr>
        <w:t>的</w:t>
      </w:r>
      <w:r>
        <w:rPr>
          <w:rFonts w:hint="eastAsia" w:cs="宋体"/>
          <w:color w:val="auto"/>
          <w:kern w:val="0"/>
          <w:highlight w:val="none"/>
        </w:rPr>
        <w:t>除外</w:t>
      </w:r>
      <w:r>
        <w:rPr>
          <w:rFonts w:hint="eastAsia" w:cs="宋体"/>
          <w:color w:val="auto"/>
          <w:highlight w:val="none"/>
        </w:rPr>
        <w:t>），</w:t>
      </w:r>
      <w:r>
        <w:rPr>
          <w:rFonts w:hint="eastAsia" w:cs="宋体"/>
          <w:color w:val="auto"/>
          <w:highlight w:val="none"/>
          <w:u w:val="single"/>
          <w:lang w:eastAsia="zh-CN"/>
        </w:rPr>
        <w:t>（</w:t>
      </w:r>
      <w:r>
        <w:rPr>
          <w:rFonts w:hint="eastAsia" w:ascii="方正楷体_GB2312" w:hAnsi="方正楷体_GB2312" w:eastAsia="方正楷体_GB2312" w:cs="方正楷体_GB2312"/>
          <w:color w:val="auto"/>
          <w:highlight w:val="none"/>
          <w:u w:val="single"/>
          <w:lang w:val="en-US" w:eastAsia="zh-CN"/>
        </w:rPr>
        <w:t>其他补充</w:t>
      </w:r>
      <w:r>
        <w:rPr>
          <w:rFonts w:hint="eastAsia" w:cs="宋体"/>
          <w:color w:val="auto"/>
          <w:highlight w:val="none"/>
          <w:u w:val="single"/>
          <w:lang w:val="en-US" w:eastAsia="zh-CN"/>
        </w:rPr>
        <w:t xml:space="preserve">）   </w:t>
      </w:r>
      <w:r>
        <w:rPr>
          <w:rFonts w:hint="eastAsia" w:cs="宋体"/>
          <w:color w:val="auto"/>
          <w:highlight w:val="none"/>
          <w:u w:val="single"/>
        </w:rPr>
        <w:t xml:space="preserve">       </w:t>
      </w:r>
      <w:r>
        <w:rPr>
          <w:rFonts w:hint="eastAsia" w:cs="宋体"/>
          <w:color w:val="auto"/>
          <w:highlight w:val="none"/>
        </w:rPr>
        <w:t xml:space="preserve"> 。</w:t>
      </w:r>
    </w:p>
    <w:p w14:paraId="3239EF45">
      <w:pPr>
        <w:tabs>
          <w:tab w:val="left" w:pos="1080"/>
        </w:tabs>
        <w:spacing w:line="360" w:lineRule="auto"/>
        <w:ind w:firstLine="420" w:firstLineChars="200"/>
        <w:rPr>
          <w:rFonts w:hint="eastAsia" w:cs="宋体"/>
          <w:color w:val="auto"/>
          <w:highlight w:val="none"/>
          <w:lang w:val="en-US" w:eastAsia="zh-CN"/>
        </w:rPr>
      </w:pPr>
      <w:r>
        <w:rPr>
          <w:rFonts w:hint="eastAsia" w:cs="宋体"/>
          <w:color w:val="auto"/>
          <w:highlight w:val="none"/>
        </w:rPr>
        <w:t>3.5</w:t>
      </w:r>
      <w:r>
        <w:rPr>
          <w:rFonts w:hint="eastAsia" w:cs="宋体"/>
          <w:color w:val="auto"/>
          <w:highlight w:val="none"/>
          <w:lang w:val="en-US" w:eastAsia="zh-CN"/>
        </w:rPr>
        <w:t>诚信要求：</w:t>
      </w:r>
    </w:p>
    <w:p w14:paraId="7A434EF3">
      <w:pPr>
        <w:tabs>
          <w:tab w:val="left" w:pos="1080"/>
        </w:tabs>
        <w:spacing w:line="360" w:lineRule="auto"/>
        <w:ind w:firstLine="420" w:firstLineChars="200"/>
        <w:rPr>
          <w:rFonts w:hint="eastAsia" w:eastAsia="宋体" w:cs="宋体"/>
          <w:color w:val="auto"/>
          <w:highlight w:val="none"/>
          <w:lang w:eastAsia="zh-CN"/>
        </w:rPr>
      </w:pPr>
      <w:r>
        <w:rPr>
          <w:rFonts w:hint="eastAsia" w:cs="宋体"/>
          <w:color w:val="auto"/>
          <w:highlight w:val="none"/>
        </w:rPr>
        <w:t>根据最高人民法院等9部门《关于在招标投标活动中对失信被执行人实施联合惩戒的通知》（法〔2016〕285号）规定，投标人（如为联合体时，联合体中任一个成员</w:t>
      </w:r>
      <w:r>
        <w:rPr>
          <w:rFonts w:hint="eastAsia" w:cs="宋体"/>
          <w:color w:val="auto"/>
          <w:highlight w:val="none"/>
          <w:lang w:eastAsia="zh-CN"/>
        </w:rPr>
        <w:t>）</w:t>
      </w:r>
      <w:r>
        <w:rPr>
          <w:rFonts w:hint="eastAsia" w:cs="宋体"/>
          <w:color w:val="auto"/>
          <w:highlight w:val="none"/>
          <w:lang w:val="en-US" w:eastAsia="zh-CN"/>
        </w:rPr>
        <w:t>或</w:t>
      </w:r>
      <w:r>
        <w:rPr>
          <w:rFonts w:hint="eastAsia" w:cs="宋体"/>
          <w:color w:val="auto"/>
          <w:highlight w:val="none"/>
        </w:rPr>
        <w:t>拟派项目经理</w:t>
      </w:r>
      <w:r>
        <w:rPr>
          <w:rFonts w:hint="default" w:ascii="Times New Roman" w:hAnsi="Times New Roman" w:eastAsia="宋体" w:cs="Times New Roman"/>
          <w:color w:val="auto"/>
          <w:highlight w:val="none"/>
        </w:rPr>
        <w:t>被列</w:t>
      </w:r>
      <w:r>
        <w:rPr>
          <w:rFonts w:hint="eastAsia" w:cs="宋体"/>
          <w:color w:val="auto"/>
          <w:highlight w:val="none"/>
        </w:rPr>
        <w:t>为失信被执行人</w:t>
      </w:r>
      <w:r>
        <w:rPr>
          <w:rFonts w:hint="eastAsia" w:cs="宋体"/>
          <w:color w:val="auto"/>
          <w:highlight w:val="none"/>
          <w:lang w:val="en-US" w:eastAsia="zh-CN"/>
        </w:rPr>
        <w:t>的</w:t>
      </w:r>
      <w:r>
        <w:rPr>
          <w:rFonts w:hint="eastAsia" w:cs="宋体"/>
          <w:color w:val="auto"/>
          <w:highlight w:val="none"/>
        </w:rPr>
        <w:t>（以评标阶段通过</w:t>
      </w:r>
      <w:r>
        <w:rPr>
          <w:rFonts w:hint="eastAsia" w:cs="宋体"/>
          <w:color w:val="auto"/>
          <w:highlight w:val="none"/>
          <w:lang w:eastAsia="zh-CN"/>
        </w:rPr>
        <w:t>“</w:t>
      </w:r>
      <w:r>
        <w:rPr>
          <w:rFonts w:hint="eastAsia" w:cs="宋体"/>
          <w:color w:val="auto"/>
          <w:highlight w:val="none"/>
        </w:rPr>
        <w:t>中国执行信息公开网</w:t>
      </w:r>
      <w:r>
        <w:rPr>
          <w:rFonts w:hint="eastAsia" w:cs="宋体"/>
          <w:color w:val="auto"/>
          <w:highlight w:val="none"/>
          <w:lang w:eastAsia="zh-CN"/>
        </w:rPr>
        <w:t>”</w:t>
      </w:r>
      <w:r>
        <w:rPr>
          <w:rFonts w:hint="eastAsia" w:cs="宋体"/>
          <w:color w:val="auto"/>
          <w:highlight w:val="none"/>
        </w:rPr>
        <w:t>（https://zxgk.court.gov.cn/shixin/）查询的结果为准）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r>
        <w:rPr>
          <w:rFonts w:cs="宋体"/>
          <w:color w:val="auto"/>
          <w:highlight w:val="none"/>
        </w:rPr>
        <w:cr/>
      </w:r>
      <w:r>
        <w:rPr>
          <w:rFonts w:hint="eastAsia" w:cs="宋体"/>
          <w:color w:val="auto"/>
          <w:highlight w:val="none"/>
          <w:u w:val="none"/>
          <w:lang w:val="en-US" w:eastAsia="zh-CN"/>
        </w:rPr>
        <w:t xml:space="preserve">    </w:t>
      </w:r>
      <w:r>
        <w:rPr>
          <w:rFonts w:hint="eastAsia" w:cs="宋体"/>
          <w:color w:val="auto"/>
          <w:highlight w:val="none"/>
        </w:rPr>
        <w:t>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，不得参与投标。</w:t>
      </w:r>
    </w:p>
    <w:p w14:paraId="269D165D">
      <w:pPr>
        <w:tabs>
          <w:tab w:val="left" w:pos="1080"/>
        </w:tabs>
        <w:spacing w:line="360" w:lineRule="auto"/>
        <w:ind w:firstLine="420" w:firstLineChars="200"/>
        <w:rPr>
          <w:rFonts w:hint="eastAsia" w:cs="宋体"/>
          <w:color w:val="auto"/>
          <w:highlight w:val="none"/>
        </w:rPr>
      </w:pPr>
      <w:r>
        <w:rPr>
          <w:rFonts w:hint="eastAsia" w:cs="宋体"/>
          <w:color w:val="auto"/>
          <w:highlight w:val="none"/>
        </w:rPr>
        <w:t>投标人（如为联合体时，联合体中任一个成员）、拟派项目经理被列为企业或个人诚信不良</w:t>
      </w:r>
      <w:r>
        <w:rPr>
          <w:rFonts w:hint="default" w:cs="宋体"/>
          <w:color w:val="auto"/>
          <w:highlight w:val="none"/>
          <w:lang w:val="en-US"/>
        </w:rPr>
        <w:t>、黑名单</w:t>
      </w:r>
      <w:r>
        <w:rPr>
          <w:rFonts w:hint="eastAsia" w:cs="宋体"/>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r>
        <w:rPr>
          <w:rFonts w:cs="宋体"/>
          <w:color w:val="auto"/>
          <w:highlight w:val="none"/>
        </w:rPr>
        <w:cr/>
      </w:r>
      <w:r>
        <w:rPr>
          <w:rFonts w:hint="eastAsia" w:cs="宋体"/>
          <w:color w:val="auto"/>
          <w:highlight w:val="none"/>
          <w:lang w:val="en-US" w:eastAsia="zh-CN"/>
        </w:rPr>
        <w:t xml:space="preserve">    </w:t>
      </w:r>
      <w:r>
        <w:rPr>
          <w:rFonts w:hint="eastAsia" w:cs="宋体"/>
          <w:color w:val="auto"/>
          <w:highlight w:val="none"/>
        </w:rPr>
        <w:t>近三年内投标人或其法定代表人有行贿犯罪行为</w:t>
      </w:r>
      <w:r>
        <w:rPr>
          <w:rFonts w:hint="eastAsia" w:cs="宋体"/>
          <w:color w:val="auto"/>
          <w:highlight w:val="none"/>
          <w:lang w:val="en-US" w:eastAsia="zh-CN"/>
        </w:rPr>
        <w:t>的</w:t>
      </w:r>
      <w:r>
        <w:rPr>
          <w:rFonts w:hint="eastAsia" w:cs="宋体"/>
          <w:color w:val="auto"/>
          <w:highlight w:val="none"/>
        </w:rPr>
        <w:t>（以评标阶段通过</w:t>
      </w:r>
      <w:r>
        <w:rPr>
          <w:rFonts w:hint="eastAsia" w:cs="宋体"/>
          <w:color w:val="auto"/>
          <w:highlight w:val="none"/>
          <w:lang w:eastAsia="zh-CN"/>
        </w:rPr>
        <w:t>“</w:t>
      </w:r>
      <w:r>
        <w:rPr>
          <w:rFonts w:hint="eastAsia" w:cs="宋体"/>
          <w:color w:val="auto"/>
          <w:highlight w:val="none"/>
        </w:rPr>
        <w:t>中国裁判文书</w:t>
      </w:r>
      <w:r>
        <w:rPr>
          <w:rFonts w:hint="eastAsia" w:cs="宋体"/>
          <w:color w:val="auto"/>
          <w:highlight w:val="none"/>
          <w:lang w:val="en-US" w:eastAsia="zh-CN"/>
        </w:rPr>
        <w:t>网</w:t>
      </w:r>
      <w:r>
        <w:rPr>
          <w:rFonts w:hint="eastAsia" w:cs="宋体"/>
          <w:color w:val="auto"/>
          <w:highlight w:val="none"/>
          <w:lang w:eastAsia="zh-CN"/>
        </w:rPr>
        <w:t>”</w:t>
      </w:r>
      <w:r>
        <w:rPr>
          <w:rFonts w:hint="eastAsia" w:cs="宋体"/>
          <w:color w:val="auto"/>
          <w:highlight w:val="none"/>
        </w:rPr>
        <w:t>网站（</w:t>
      </w:r>
      <w:r>
        <w:rPr>
          <w:rFonts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6BBA41C9">
      <w:pPr>
        <w:spacing w:line="360" w:lineRule="auto"/>
        <w:ind w:firstLine="420" w:firstLineChars="200"/>
        <w:rPr>
          <w:rFonts w:hint="eastAsia"/>
          <w:color w:val="auto"/>
          <w:highlight w:val="none"/>
        </w:rPr>
      </w:pPr>
      <w:r>
        <w:rPr>
          <w:rFonts w:hint="eastAsia" w:cs="宋体"/>
          <w:color w:val="auto"/>
          <w:highlight w:val="none"/>
          <w:lang w:val="en-US" w:eastAsia="zh-CN"/>
        </w:rPr>
        <w:t>投标人因生产安全事故处于暂扣、吊销安全生产许可证状态的</w:t>
      </w:r>
      <w:r>
        <w:rPr>
          <w:rFonts w:hint="eastAsia" w:cs="宋体"/>
          <w:color w:val="auto"/>
          <w:highlight w:val="none"/>
        </w:rPr>
        <w:t>（以评标阶段通过全国工程质量安全监管信息平台公共服务门户（https://zlaq.mohurd.gov.cn</w:t>
      </w:r>
      <w:r>
        <w:rPr>
          <w:rFonts w:hint="eastAsia" w:cs="宋体"/>
          <w:color w:val="auto"/>
          <w:highlight w:val="none"/>
          <w:lang w:eastAsia="zh-CN"/>
        </w:rPr>
        <w:t>）</w:t>
      </w:r>
      <w:r>
        <w:rPr>
          <w:rFonts w:hint="eastAsia" w:cs="宋体"/>
          <w:color w:val="auto"/>
          <w:highlight w:val="none"/>
        </w:rPr>
        <w:t>查询的结果为准），不得参与投标</w:t>
      </w:r>
      <w:r>
        <w:rPr>
          <w:rFonts w:hint="eastAsia" w:cs="宋体"/>
          <w:color w:val="auto"/>
          <w:highlight w:val="none"/>
          <w:lang w:val="en-US" w:eastAsia="zh-CN"/>
        </w:rPr>
        <w:t>。</w:t>
      </w:r>
    </w:p>
    <w:p w14:paraId="290EE5D7">
      <w:pPr>
        <w:spacing w:line="360" w:lineRule="auto"/>
        <w:ind w:firstLine="420" w:firstLineChars="200"/>
        <w:rPr>
          <w:rFonts w:hint="eastAsia" w:cs="宋体"/>
          <w:color w:val="auto"/>
          <w:highlight w:val="none"/>
        </w:rPr>
      </w:pPr>
      <w:r>
        <w:rPr>
          <w:color w:val="auto"/>
          <w:highlight w:val="none"/>
        </w:rPr>
        <w:t>3.</w:t>
      </w:r>
      <w:r>
        <w:rPr>
          <w:rFonts w:hint="eastAsia"/>
          <w:color w:val="auto"/>
          <w:highlight w:val="none"/>
          <w:lang w:val="en-US" w:eastAsia="zh-CN"/>
        </w:rPr>
        <w:t>6</w:t>
      </w:r>
      <w:r>
        <w:rPr>
          <w:rFonts w:hint="eastAsia"/>
          <w:color w:val="auto"/>
          <w:highlight w:val="none"/>
        </w:rPr>
        <w:t xml:space="preserve"> </w:t>
      </w:r>
      <w:r>
        <w:rPr>
          <w:rFonts w:hint="eastAsia" w:cs="宋体"/>
          <w:color w:val="auto"/>
          <w:highlight w:val="none"/>
        </w:rPr>
        <w:t>投标人信息以</w:t>
      </w:r>
      <w:r>
        <w:rPr>
          <w:rFonts w:hint="eastAsia" w:cs="宋体"/>
          <w:color w:val="auto"/>
          <w:highlight w:val="none"/>
          <w:lang w:eastAsia="zh-CN"/>
        </w:rPr>
        <w:t>“</w:t>
      </w:r>
      <w:r>
        <w:rPr>
          <w:rFonts w:hint="eastAsia" w:cs="宋体"/>
          <w:color w:val="auto"/>
          <w:highlight w:val="none"/>
        </w:rPr>
        <w:t>桂建云</w:t>
      </w:r>
      <w:r>
        <w:rPr>
          <w:rFonts w:hint="eastAsia" w:cs="宋体"/>
          <w:color w:val="auto"/>
          <w:highlight w:val="none"/>
          <w:lang w:eastAsia="zh-CN"/>
        </w:rPr>
        <w:t>”</w:t>
      </w:r>
      <w:r>
        <w:rPr>
          <w:rFonts w:hint="eastAsia" w:cs="宋体"/>
          <w:color w:val="auto"/>
          <w:highlight w:val="none"/>
        </w:rPr>
        <w:t>为准。</w:t>
      </w:r>
    </w:p>
    <w:p w14:paraId="2E739192">
      <w:pPr>
        <w:spacing w:line="360" w:lineRule="auto"/>
        <w:ind w:firstLine="420" w:firstLineChars="200"/>
        <w:rPr>
          <w:rFonts w:hint="eastAsia" w:eastAsia="宋体"/>
          <w:color w:val="auto"/>
          <w:highlight w:val="none"/>
          <w:lang w:eastAsia="zh-CN"/>
        </w:rPr>
      </w:pPr>
      <w:r>
        <w:rPr>
          <w:rFonts w:hint="eastAsia"/>
          <w:color w:val="auto"/>
          <w:highlight w:val="none"/>
        </w:rPr>
        <w:t>3.</w:t>
      </w:r>
      <w:r>
        <w:rPr>
          <w:rFonts w:hint="eastAsia"/>
          <w:color w:val="auto"/>
          <w:highlight w:val="none"/>
          <w:lang w:val="en-US" w:eastAsia="zh-CN"/>
        </w:rPr>
        <w:t xml:space="preserve">7 </w:t>
      </w:r>
      <w:r>
        <w:rPr>
          <w:rFonts w:hint="eastAsia"/>
          <w:color w:val="auto"/>
          <w:highlight w:val="none"/>
          <w:lang w:eastAsia="zh-CN"/>
        </w:rPr>
        <w:t>□</w:t>
      </w:r>
      <w:r>
        <w:rPr>
          <w:rFonts w:hint="eastAsia"/>
          <w:color w:val="auto"/>
          <w:highlight w:val="none"/>
        </w:rPr>
        <w:t>本项目不属于政府采购工程项目</w:t>
      </w:r>
      <w:r>
        <w:rPr>
          <w:rFonts w:hint="eastAsia"/>
          <w:color w:val="auto"/>
          <w:highlight w:val="none"/>
          <w:lang w:eastAsia="zh-CN"/>
        </w:rPr>
        <w:t>；</w:t>
      </w:r>
    </w:p>
    <w:p w14:paraId="7F2FA754">
      <w:pPr>
        <w:spacing w:line="360" w:lineRule="auto"/>
        <w:ind w:firstLine="420" w:firstLineChars="200"/>
        <w:rPr>
          <w:rFonts w:hint="eastAsia"/>
          <w:color w:val="auto"/>
          <w:highlight w:val="none"/>
        </w:rPr>
      </w:pPr>
      <w:r>
        <w:rPr>
          <w:rFonts w:hint="eastAsia"/>
          <w:color w:val="auto"/>
          <w:highlight w:val="none"/>
        </w:rPr>
        <w:t xml:space="preserve">   </w:t>
      </w:r>
      <w:r>
        <w:rPr>
          <w:rFonts w:hint="eastAsia"/>
          <w:color w:val="auto"/>
          <w:highlight w:val="none"/>
        </w:rPr>
        <w:sym w:font="Wingdings 2" w:char="0052"/>
      </w:r>
      <w:r>
        <w:rPr>
          <w:rFonts w:hint="eastAsia"/>
          <w:color w:val="auto"/>
          <w:highlight w:val="none"/>
        </w:rPr>
        <w:t>本项目属于政府采购工程项目：</w:t>
      </w:r>
    </w:p>
    <w:p w14:paraId="6AD82CF2">
      <w:pPr>
        <w:spacing w:line="360" w:lineRule="auto"/>
        <w:ind w:firstLine="420" w:firstLineChars="200"/>
        <w:rPr>
          <w:rFonts w:hint="eastAsia"/>
          <w:color w:val="auto"/>
          <w:highlight w:val="none"/>
        </w:rPr>
      </w:pPr>
      <w:r>
        <w:rPr>
          <w:rFonts w:hint="eastAsia"/>
          <w:color w:val="auto"/>
          <w:highlight w:val="none"/>
        </w:rPr>
        <w:t xml:space="preserve">  </w:t>
      </w:r>
      <w:r>
        <w:rPr>
          <w:color w:val="auto"/>
          <w:highlight w:val="none"/>
        </w:rPr>
        <w:t xml:space="preserve">    </w:t>
      </w:r>
      <w:r>
        <w:rPr>
          <w:rFonts w:hint="eastAsia"/>
          <w:color w:val="auto"/>
          <w:highlight w:val="non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标段为未预留份额专门面向中小企业采购的项目，落实政府采购政策需满足的资格要求：无。</w:t>
      </w:r>
    </w:p>
    <w:p w14:paraId="353C0E00">
      <w:pPr>
        <w:spacing w:line="360" w:lineRule="auto"/>
        <w:ind w:firstLine="420" w:firstLineChars="200"/>
        <w:rPr>
          <w:rFonts w:hint="eastAsia"/>
          <w:color w:val="auto"/>
          <w:highlight w:val="none"/>
        </w:rPr>
      </w:pPr>
      <w:r>
        <w:rPr>
          <w:rFonts w:hint="eastAsia"/>
          <w:color w:val="auto"/>
          <w:highlight w:val="none"/>
        </w:rPr>
        <w:t xml:space="preserve">       </w:t>
      </w:r>
      <w:r>
        <w:rPr>
          <w:rFonts w:hint="eastAsia"/>
          <w:color w:val="auto"/>
          <w:highlight w:val="none"/>
          <w:lang w:eastAsia="zh-CN"/>
        </w:rPr>
        <w:t>☑</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lang w:val="en-US" w:eastAsia="zh-CN"/>
        </w:rPr>
        <w:t>1</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标段为预留份额专门面向中小企业采购的项目，落实政府采购政策需满足的资格要求：投标人必须为（</w:t>
      </w:r>
      <w:r>
        <w:rPr>
          <w:rFonts w:hint="eastAsia"/>
          <w:color w:val="auto"/>
          <w:highlight w:val="none"/>
          <w:lang w:eastAsia="zh-CN"/>
        </w:rPr>
        <w:t>☑</w:t>
      </w:r>
      <w:r>
        <w:rPr>
          <w:rFonts w:hint="eastAsia"/>
          <w:color w:val="auto"/>
          <w:highlight w:val="none"/>
        </w:rPr>
        <w:t>中小微/□小微）企业、监狱企业或者残疾人福利性单位，（</w:t>
      </w:r>
      <w:r>
        <w:rPr>
          <w:rFonts w:hint="eastAsia"/>
          <w:color w:val="auto"/>
          <w:highlight w:val="none"/>
          <w:lang w:eastAsia="zh-CN"/>
        </w:rPr>
        <w:t>☑</w:t>
      </w:r>
      <w:r>
        <w:rPr>
          <w:rFonts w:hint="eastAsia"/>
          <w:color w:val="auto"/>
          <w:highlight w:val="none"/>
        </w:rPr>
        <w:t>大型/□大中型）企业不得参加。</w:t>
      </w:r>
    </w:p>
    <w:p w14:paraId="5B6D904D">
      <w:pPr>
        <w:pStyle w:val="4"/>
        <w:rPr>
          <w:color w:val="auto"/>
          <w:highlight w:val="none"/>
        </w:rPr>
      </w:pPr>
      <w:bookmarkStart w:id="24" w:name="_Toc407135053"/>
      <w:bookmarkStart w:id="25" w:name="_Toc389065126"/>
      <w:bookmarkStart w:id="26" w:name="_Toc78449597"/>
      <w:bookmarkStart w:id="27" w:name="_Toc4101"/>
      <w:bookmarkStart w:id="28" w:name="_Toc660362003"/>
      <w:r>
        <w:rPr>
          <w:color w:val="auto"/>
          <w:highlight w:val="none"/>
        </w:rPr>
        <w:t xml:space="preserve">4. </w:t>
      </w:r>
      <w:r>
        <w:rPr>
          <w:rFonts w:hint="eastAsia" w:cs="黑体"/>
          <w:color w:val="auto"/>
          <w:highlight w:val="none"/>
        </w:rPr>
        <w:t>招标文件的获取</w:t>
      </w:r>
      <w:bookmarkEnd w:id="24"/>
      <w:bookmarkEnd w:id="25"/>
      <w:bookmarkEnd w:id="26"/>
      <w:bookmarkEnd w:id="27"/>
      <w:bookmarkEnd w:id="28"/>
    </w:p>
    <w:p w14:paraId="040BF19B">
      <w:pPr>
        <w:spacing w:line="360" w:lineRule="auto"/>
        <w:ind w:firstLine="420" w:firstLineChars="200"/>
        <w:rPr>
          <w:color w:val="auto"/>
          <w:highlight w:val="none"/>
        </w:rPr>
      </w:pPr>
      <w:r>
        <w:rPr>
          <w:color w:val="auto"/>
          <w:highlight w:val="none"/>
          <w:u w:val="single"/>
        </w:rPr>
        <w:t xml:space="preserve">   </w:t>
      </w:r>
      <w:r>
        <w:rPr>
          <w:rFonts w:hint="eastAsia"/>
          <w:color w:val="auto"/>
          <w:highlight w:val="none"/>
          <w:u w:val="single"/>
          <w:lang w:val="en-US" w:eastAsia="zh-CN"/>
        </w:rPr>
        <w:t>2026</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r>
        <w:rPr>
          <w:rFonts w:hint="eastAsia" w:cs="宋体"/>
          <w:color w:val="auto"/>
          <w:highlight w:val="none"/>
        </w:rPr>
        <w:t>日至</w:t>
      </w:r>
      <w:r>
        <w:rPr>
          <w:rFonts w:ascii="Calibri" w:hAnsi="Calibri"/>
          <w:color w:val="auto"/>
          <w:highlight w:val="none"/>
          <w:u w:val="single"/>
        </w:rPr>
        <w:t>投标文件递交的截止时间止（不少于20日）</w:t>
      </w:r>
      <w:r>
        <w:rPr>
          <w:rFonts w:hint="eastAsia" w:cs="宋体"/>
          <w:color w:val="auto"/>
          <w:highlight w:val="none"/>
        </w:rPr>
        <w:t>，由潜在投标人通过全国公共资源交易平台（广西壮族自治区）（网址： http://ggzy.jgswj.gxzf.gov.cn/gxggzy</w:t>
      </w:r>
      <w:r>
        <w:rPr>
          <w:rFonts w:hint="eastAsia" w:cs="宋体"/>
          <w:color w:val="auto"/>
          <w:highlight w:val="none"/>
          <w:lang w:eastAsia="zh-CN"/>
        </w:rPr>
        <w:t>）</w:t>
      </w:r>
      <w:r>
        <w:rPr>
          <w:rFonts w:hint="eastAsia" w:cs="宋体"/>
          <w:color w:val="auto"/>
          <w:highlight w:val="none"/>
        </w:rPr>
        <w:t>免费下载招标文件。</w:t>
      </w:r>
    </w:p>
    <w:p w14:paraId="2A158C75">
      <w:pPr>
        <w:pStyle w:val="4"/>
        <w:rPr>
          <w:rFonts w:hint="eastAsia"/>
          <w:color w:val="auto"/>
          <w:highlight w:val="none"/>
        </w:rPr>
      </w:pPr>
      <w:bookmarkStart w:id="29" w:name="_Toc407135054"/>
      <w:bookmarkStart w:id="30" w:name="_Toc389065127"/>
      <w:bookmarkStart w:id="31" w:name="_Toc78449598"/>
      <w:bookmarkStart w:id="32" w:name="_Toc479407216"/>
      <w:bookmarkStart w:id="33" w:name="_Toc14014"/>
      <w:r>
        <w:rPr>
          <w:color w:val="auto"/>
          <w:highlight w:val="none"/>
        </w:rPr>
        <w:t xml:space="preserve">5. </w:t>
      </w:r>
      <w:r>
        <w:rPr>
          <w:rFonts w:hint="eastAsia" w:cs="黑体"/>
          <w:color w:val="auto"/>
          <w:highlight w:val="none"/>
        </w:rPr>
        <w:t>投标文件的</w:t>
      </w:r>
      <w:bookmarkEnd w:id="29"/>
      <w:bookmarkEnd w:id="30"/>
      <w:bookmarkEnd w:id="31"/>
      <w:r>
        <w:rPr>
          <w:rFonts w:hint="eastAsia" w:cs="黑体"/>
          <w:color w:val="auto"/>
          <w:highlight w:val="none"/>
        </w:rPr>
        <w:t>提交及</w:t>
      </w:r>
      <w:r>
        <w:rPr>
          <w:rFonts w:cs="黑体"/>
          <w:color w:val="auto"/>
          <w:highlight w:val="none"/>
        </w:rPr>
        <w:t>不见</w:t>
      </w:r>
      <w:r>
        <w:rPr>
          <w:rFonts w:hint="eastAsia" w:cs="黑体"/>
          <w:color w:val="auto"/>
          <w:highlight w:val="none"/>
        </w:rPr>
        <w:t>面</w:t>
      </w:r>
      <w:r>
        <w:rPr>
          <w:rFonts w:cs="黑体"/>
          <w:color w:val="auto"/>
          <w:highlight w:val="none"/>
        </w:rPr>
        <w:t>开标说明</w:t>
      </w:r>
      <w:bookmarkEnd w:id="32"/>
      <w:bookmarkEnd w:id="33"/>
    </w:p>
    <w:p w14:paraId="02BFE385">
      <w:pPr>
        <w:spacing w:line="360" w:lineRule="auto"/>
        <w:ind w:firstLine="420" w:firstLineChars="200"/>
        <w:rPr>
          <w:rFonts w:hint="eastAsia" w:cs="宋体"/>
          <w:color w:val="auto"/>
          <w:highlight w:val="none"/>
        </w:rPr>
      </w:pPr>
      <w:r>
        <w:rPr>
          <w:rFonts w:hint="eastAsia" w:cs="宋体"/>
          <w:color w:val="auto"/>
          <w:highlight w:val="none"/>
        </w:rPr>
        <w:t>5.1 投标人应在投标截止时间___</w:t>
      </w:r>
      <w:r>
        <w:rPr>
          <w:rFonts w:hint="eastAsia" w:cs="宋体"/>
          <w:color w:val="auto"/>
          <w:highlight w:val="none"/>
          <w:u w:val="single"/>
          <w:lang w:val="en-US" w:eastAsia="zh-CN"/>
        </w:rPr>
        <w:t>2026</w:t>
      </w:r>
      <w:r>
        <w:rPr>
          <w:rFonts w:hint="eastAsia" w:cs="宋体"/>
          <w:color w:val="auto"/>
          <w:highlight w:val="none"/>
          <w:u w:val="single"/>
        </w:rPr>
        <w:t>___</w:t>
      </w:r>
      <w:r>
        <w:rPr>
          <w:rFonts w:hint="eastAsia" w:cs="宋体"/>
          <w:color w:val="auto"/>
          <w:highlight w:val="none"/>
        </w:rPr>
        <w:t>_年</w:t>
      </w:r>
      <w:r>
        <w:rPr>
          <w:rFonts w:hint="eastAsia" w:cs="宋体"/>
          <w:color w:val="auto"/>
          <w:highlight w:val="none"/>
          <w:u w:val="single"/>
          <w:lang w:val="en-US" w:eastAsia="zh-CN"/>
        </w:rPr>
        <w:t xml:space="preserve">     </w:t>
      </w:r>
      <w:r>
        <w:rPr>
          <w:rFonts w:hint="eastAsia" w:cs="宋体"/>
          <w:color w:val="auto"/>
          <w:highlight w:val="none"/>
        </w:rPr>
        <w:t>月</w:t>
      </w:r>
      <w:r>
        <w:rPr>
          <w:rFonts w:hint="eastAsia" w:cs="宋体"/>
          <w:color w:val="auto"/>
          <w:highlight w:val="none"/>
          <w:u w:val="single"/>
          <w:lang w:val="en-US" w:eastAsia="zh-CN"/>
        </w:rPr>
        <w:t xml:space="preserve">    </w:t>
      </w:r>
      <w:r>
        <w:rPr>
          <w:rFonts w:hint="eastAsia" w:cs="宋体"/>
          <w:color w:val="auto"/>
          <w:highlight w:val="none"/>
        </w:rPr>
        <w:t>日</w:t>
      </w:r>
      <w:r>
        <w:rPr>
          <w:rFonts w:hint="eastAsia" w:cs="宋体"/>
          <w:color w:val="auto"/>
          <w:highlight w:val="none"/>
          <w:u w:val="single"/>
          <w:lang w:val="en-US" w:eastAsia="zh-CN"/>
        </w:rPr>
        <w:t xml:space="preserve">  8  </w:t>
      </w:r>
      <w:r>
        <w:rPr>
          <w:rFonts w:hint="eastAsia" w:cs="宋体"/>
          <w:color w:val="auto"/>
          <w:highlight w:val="none"/>
        </w:rPr>
        <w:t>时</w:t>
      </w:r>
      <w:r>
        <w:rPr>
          <w:color w:val="auto"/>
          <w:highlight w:val="none"/>
          <w:u w:val="single"/>
        </w:rPr>
        <w:t xml:space="preserve">  </w:t>
      </w:r>
      <w:r>
        <w:rPr>
          <w:rFonts w:hint="eastAsia"/>
          <w:color w:val="auto"/>
          <w:highlight w:val="none"/>
          <w:u w:val="single"/>
          <w:lang w:val="en-US" w:eastAsia="zh-CN"/>
        </w:rPr>
        <w:t>30</w:t>
      </w:r>
      <w:r>
        <w:rPr>
          <w:color w:val="auto"/>
          <w:highlight w:val="none"/>
          <w:u w:val="single"/>
        </w:rPr>
        <w:t xml:space="preserve">  </w:t>
      </w:r>
      <w:r>
        <w:rPr>
          <w:rFonts w:hint="eastAsia" w:cs="宋体"/>
          <w:color w:val="auto"/>
          <w:highlight w:val="none"/>
        </w:rPr>
        <w:t xml:space="preserve">分前登录全国公共资源交易平台（广西壮族自治区）（网址： </w:t>
      </w:r>
      <w:r>
        <w:rPr>
          <w:rFonts w:hint="eastAsia" w:cs="宋体"/>
          <w:color w:val="auto"/>
          <w:highlight w:val="none"/>
          <w:u w:val="none"/>
        </w:rPr>
        <w:fldChar w:fldCharType="begin"/>
      </w:r>
      <w:r>
        <w:rPr>
          <w:rFonts w:hint="eastAsia" w:cs="宋体"/>
          <w:color w:val="auto"/>
          <w:highlight w:val="none"/>
          <w:u w:val="none"/>
        </w:rPr>
        <w:instrText xml:space="preserve"> HYPERLINK "http://ggzy.jgswj.gxzf.gov.cn/gxggzy/），通过互联网使用广西壮族自治区公共资源交易平台系统数字证书（CA）交叉互认平台认可的数字证书将加密的电子投标文件上传。" </w:instrText>
      </w:r>
      <w:r>
        <w:rPr>
          <w:rFonts w:hint="eastAsia" w:cs="宋体"/>
          <w:color w:val="auto"/>
          <w:highlight w:val="none"/>
          <w:u w:val="none"/>
        </w:rPr>
        <w:fldChar w:fldCharType="separate"/>
      </w:r>
      <w:r>
        <w:rPr>
          <w:rStyle w:val="48"/>
          <w:rFonts w:hint="eastAsia" w:cs="宋体"/>
          <w:color w:val="auto"/>
          <w:highlight w:val="none"/>
          <w:u w:val="none"/>
        </w:rPr>
        <w:t>http://ggzy.jgswj.gxzf.gov.cn/gxggzy</w:t>
      </w:r>
      <w:r>
        <w:rPr>
          <w:rStyle w:val="48"/>
          <w:rFonts w:hint="eastAsia" w:cs="宋体"/>
          <w:color w:val="auto"/>
          <w:highlight w:val="none"/>
          <w:u w:val="none"/>
          <w:lang w:eastAsia="zh-CN"/>
        </w:rPr>
        <w:t>）</w:t>
      </w:r>
      <w:r>
        <w:rPr>
          <w:rStyle w:val="48"/>
          <w:rFonts w:hint="eastAsia" w:cs="宋体"/>
          <w:color w:val="auto"/>
          <w:highlight w:val="none"/>
          <w:u w:val="none"/>
        </w:rPr>
        <w:t>，通过互联网使用广西壮族自治区公共资源交易平台系统数字证书（CA）交叉互认平台认可的数字证书将加密的电子投标文件</w:t>
      </w:r>
      <w:r>
        <w:rPr>
          <w:rFonts w:hint="eastAsia"/>
          <w:color w:val="auto"/>
          <w:highlight w:val="none"/>
          <w:u w:val="none"/>
        </w:rPr>
        <w:t>（含弹出的输入框中需填写的专职投标员、拟投入的项目主要管理人员身份证信息）</w:t>
      </w:r>
      <w:r>
        <w:rPr>
          <w:rStyle w:val="48"/>
          <w:rFonts w:hint="eastAsia" w:cs="宋体"/>
          <w:color w:val="auto"/>
          <w:highlight w:val="none"/>
          <w:u w:val="none"/>
        </w:rPr>
        <w:t>上传。</w:t>
      </w:r>
      <w:r>
        <w:rPr>
          <w:rFonts w:hint="eastAsia" w:cs="宋体"/>
          <w:color w:val="auto"/>
          <w:highlight w:val="none"/>
          <w:u w:val="none"/>
        </w:rPr>
        <w:fldChar w:fldCharType="end"/>
      </w:r>
    </w:p>
    <w:p w14:paraId="069DE019">
      <w:pPr>
        <w:spacing w:line="360" w:lineRule="auto"/>
        <w:ind w:firstLine="420" w:firstLineChars="200"/>
        <w:rPr>
          <w:rFonts w:hint="eastAsia" w:cs="宋体"/>
          <w:color w:val="auto"/>
          <w:highlight w:val="none"/>
        </w:rPr>
      </w:pPr>
      <w:r>
        <w:rPr>
          <w:rFonts w:hint="eastAsia" w:cs="宋体"/>
          <w:color w:val="auto"/>
          <w:highlight w:val="none"/>
        </w:rPr>
        <w:t>5.2逾期提交的</w:t>
      </w:r>
      <w:r>
        <w:rPr>
          <w:rFonts w:hint="eastAsia" w:cs="宋体"/>
          <w:color w:val="auto"/>
          <w:highlight w:val="none"/>
          <w:lang w:eastAsia="zh-CN"/>
        </w:rPr>
        <w:t>或</w:t>
      </w:r>
      <w:r>
        <w:rPr>
          <w:rFonts w:hint="eastAsia" w:cs="宋体"/>
          <w:color w:val="auto"/>
          <w:highlight w:val="none"/>
        </w:rPr>
        <w:t>未按照招标文件要求加密的电子投标文件，广西壮族自治区公共资源交易平台系统将予以拒收。</w:t>
      </w:r>
    </w:p>
    <w:p w14:paraId="7E1DA5A4">
      <w:pPr>
        <w:spacing w:line="360" w:lineRule="auto"/>
        <w:ind w:firstLine="420" w:firstLineChars="200"/>
        <w:rPr>
          <w:rFonts w:cs="宋体"/>
          <w:color w:val="auto"/>
          <w:highlight w:val="none"/>
        </w:rPr>
      </w:pPr>
      <w:r>
        <w:rPr>
          <w:rFonts w:hint="eastAsia" w:cs="宋体"/>
          <w:color w:val="auto"/>
          <w:highlight w:val="none"/>
        </w:rPr>
        <w:t>5.3未办理广西壮族自治区公共资源交易平台系统数字证书</w:t>
      </w:r>
      <w:r>
        <w:rPr>
          <w:rFonts w:hint="eastAsia" w:cs="宋体"/>
          <w:color w:val="auto"/>
          <w:highlight w:val="none"/>
          <w:lang w:eastAsia="zh-CN"/>
        </w:rPr>
        <w:t>（</w:t>
      </w:r>
      <w:r>
        <w:rPr>
          <w:rFonts w:hint="eastAsia" w:cs="宋体"/>
          <w:color w:val="auto"/>
          <w:highlight w:val="none"/>
        </w:rPr>
        <w:t>CA</w:t>
      </w:r>
      <w:r>
        <w:rPr>
          <w:rFonts w:hint="eastAsia" w:cs="宋体"/>
          <w:color w:val="auto"/>
          <w:highlight w:val="none"/>
          <w:lang w:eastAsia="zh-CN"/>
        </w:rPr>
        <w:t>）</w:t>
      </w:r>
      <w:r>
        <w:rPr>
          <w:rFonts w:hint="eastAsia" w:cs="宋体"/>
          <w:color w:val="auto"/>
          <w:highlight w:val="none"/>
        </w:rPr>
        <w:t>的潜在投标人，应先取得数字证书</w:t>
      </w:r>
      <w:r>
        <w:rPr>
          <w:rFonts w:hint="eastAsia" w:cs="宋体"/>
          <w:color w:val="auto"/>
          <w:highlight w:val="none"/>
          <w:lang w:eastAsia="zh-CN"/>
        </w:rPr>
        <w:t>（</w:t>
      </w:r>
      <w:r>
        <w:rPr>
          <w:rFonts w:hint="eastAsia" w:cs="宋体"/>
          <w:color w:val="auto"/>
          <w:highlight w:val="none"/>
        </w:rPr>
        <w:t>CA</w:t>
      </w:r>
      <w:r>
        <w:rPr>
          <w:rFonts w:hint="eastAsia" w:cs="宋体"/>
          <w:color w:val="auto"/>
          <w:highlight w:val="none"/>
          <w:lang w:eastAsia="zh-CN"/>
        </w:rPr>
        <w:t>）</w:t>
      </w:r>
      <w:r>
        <w:rPr>
          <w:rFonts w:hint="eastAsia" w:cs="宋体"/>
          <w:color w:val="auto"/>
          <w:highlight w:val="none"/>
        </w:rPr>
        <w:t>。具体办理方法请登录广西壮族自治区公共资源交易平台系统数字证书</w:t>
      </w:r>
      <w:r>
        <w:rPr>
          <w:rFonts w:hint="eastAsia" w:cs="宋体"/>
          <w:color w:val="auto"/>
          <w:highlight w:val="none"/>
          <w:lang w:eastAsia="zh-CN"/>
        </w:rPr>
        <w:t>（</w:t>
      </w:r>
      <w:r>
        <w:rPr>
          <w:rFonts w:hint="eastAsia" w:cs="宋体"/>
          <w:color w:val="auto"/>
          <w:highlight w:val="none"/>
        </w:rPr>
        <w:t>CA</w:t>
      </w:r>
      <w:r>
        <w:rPr>
          <w:rFonts w:hint="eastAsia" w:cs="宋体"/>
          <w:color w:val="auto"/>
          <w:highlight w:val="none"/>
          <w:lang w:eastAsia="zh-CN"/>
        </w:rPr>
        <w:t>）</w:t>
      </w:r>
      <w:r>
        <w:rPr>
          <w:rFonts w:hint="eastAsia" w:cs="宋体"/>
          <w:color w:val="auto"/>
          <w:highlight w:val="none"/>
        </w:rPr>
        <w:t>交叉互认平台（http://ggzy.jgswj.gxzf.gov.cn/gxggzy/CAhrpt/CAlogin.html）查看。</w:t>
      </w:r>
    </w:p>
    <w:p w14:paraId="1BEAE983">
      <w:pPr>
        <w:spacing w:line="360" w:lineRule="auto"/>
        <w:ind w:firstLine="420" w:firstLineChars="200"/>
        <w:rPr>
          <w:rFonts w:cs="宋体"/>
          <w:color w:val="auto"/>
          <w:highlight w:val="none"/>
        </w:rPr>
      </w:pPr>
      <w:r>
        <w:rPr>
          <w:rFonts w:cs="宋体"/>
          <w:color w:val="auto"/>
          <w:highlight w:val="none"/>
        </w:rPr>
        <w:t>5.</w:t>
      </w:r>
      <w:r>
        <w:rPr>
          <w:rFonts w:hint="eastAsia" w:cs="宋体"/>
          <w:color w:val="auto"/>
          <w:highlight w:val="none"/>
          <w:lang w:val="en-US" w:eastAsia="zh-CN"/>
        </w:rPr>
        <w:t>4</w:t>
      </w:r>
      <w:r>
        <w:rPr>
          <w:rFonts w:cs="宋体"/>
          <w:color w:val="auto"/>
          <w:highlight w:val="none"/>
        </w:rPr>
        <w:t xml:space="preserve"> </w:t>
      </w:r>
      <w:r>
        <w:rPr>
          <w:rFonts w:hint="eastAsia"/>
          <w:color w:val="auto"/>
          <w:highlight w:val="none"/>
        </w:rPr>
        <w:t>投标人须在投标截止前将加密的投标文件（含弹出的输入框中需填写的专职投标员、拟投入的项目主要管理人员身份证信息）通过全国公共资源交易平台（广西壮族自治区）http://ggzy.jgswj.gxzf.gov.cn/成功上传。投标截止公布投标人名单后，由招标代理机构点击进入投标文件解密环节，解密时间为60分钟。在解密时间结束前投标人须通过广西壮族自治区网上开标子系统（http://202.103.240.162:8072/BidOpening</w:t>
      </w:r>
      <w:r>
        <w:rPr>
          <w:rFonts w:hint="eastAsia"/>
          <w:color w:val="auto"/>
          <w:highlight w:val="none"/>
          <w:lang w:eastAsia="zh-CN"/>
        </w:rPr>
        <w:t>）</w:t>
      </w:r>
      <w:r>
        <w:rPr>
          <w:rFonts w:hint="eastAsia"/>
          <w:color w:val="auto"/>
          <w:highlight w:val="none"/>
        </w:rPr>
        <w:t>使用专职投标员个人</w:t>
      </w:r>
      <w:r>
        <w:rPr>
          <w:rFonts w:hint="eastAsia"/>
          <w:color w:val="auto"/>
          <w:highlight w:val="none"/>
          <w:lang w:eastAsia="zh-CN"/>
        </w:rPr>
        <w:t>数字证书（CA）</w:t>
      </w:r>
      <w:r>
        <w:rPr>
          <w:rFonts w:hint="eastAsia"/>
          <w:color w:val="auto"/>
          <w:highlight w:val="none"/>
        </w:rPr>
        <w:t>签到，使用加密投标文件的</w:t>
      </w:r>
      <w:r>
        <w:rPr>
          <w:rFonts w:hint="eastAsia"/>
          <w:color w:val="auto"/>
          <w:highlight w:val="none"/>
          <w:lang w:eastAsia="zh-CN"/>
        </w:rPr>
        <w:t>数字证书（CA）</w:t>
      </w:r>
      <w:r>
        <w:rPr>
          <w:rFonts w:hint="eastAsia"/>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eastAsia"/>
          <w:color w:val="auto"/>
          <w:highlight w:val="none"/>
          <w:lang w:eastAsia="zh-CN"/>
        </w:rPr>
        <w:t>（</w:t>
      </w:r>
      <w:r>
        <w:rPr>
          <w:rFonts w:hint="eastAsia" w:ascii="方正楷体_GB2312" w:hAnsi="方正楷体_GB2312" w:eastAsia="方正楷体_GB2312" w:cs="方正楷体_GB2312"/>
          <w:color w:val="auto"/>
          <w:highlight w:val="none"/>
          <w:lang w:eastAsia="zh-CN"/>
        </w:rPr>
        <w:t>注：</w:t>
      </w:r>
      <w:r>
        <w:rPr>
          <w:rFonts w:hint="eastAsia" w:ascii="方正楷体_GB2312" w:hAnsi="方正楷体_GB2312" w:eastAsia="方正楷体_GB2312" w:cs="方正楷体_GB2312"/>
          <w:color w:val="auto"/>
          <w:highlight w:val="none"/>
        </w:rPr>
        <w:t>投标单位在制作电子投标文件过程中，须在弹出的输入框中填写</w:t>
      </w:r>
      <w:r>
        <w:rPr>
          <w:rFonts w:hint="eastAsia" w:ascii="方正楷体_GB2312" w:hAnsi="方正楷体_GB2312" w:eastAsia="方正楷体_GB2312" w:cs="方正楷体_GB2312"/>
          <w:color w:val="auto"/>
          <w:highlight w:val="none"/>
          <w:lang w:eastAsia="zh-CN"/>
        </w:rPr>
        <w:t>专职投标员及</w:t>
      </w:r>
      <w:r>
        <w:rPr>
          <w:rFonts w:hint="eastAsia" w:ascii="方正楷体_GB2312" w:hAnsi="方正楷体_GB2312" w:eastAsia="方正楷体_GB2312" w:cs="方正楷体_GB2312"/>
          <w:color w:val="auto"/>
          <w:highlight w:val="none"/>
        </w:rPr>
        <w:t>拟投入的项目主要管理人员身份证信息并仔细确认</w:t>
      </w:r>
      <w:r>
        <w:rPr>
          <w:rFonts w:hint="eastAsia"/>
          <w:color w:val="auto"/>
          <w:highlight w:val="none"/>
          <w:lang w:eastAsia="zh-CN"/>
        </w:rPr>
        <w:t>）</w:t>
      </w:r>
    </w:p>
    <w:p w14:paraId="48FCE772">
      <w:pPr>
        <w:wordWrap w:val="0"/>
        <w:spacing w:line="360" w:lineRule="auto"/>
        <w:ind w:firstLine="420" w:firstLineChars="200"/>
        <w:jc w:val="left"/>
        <w:rPr>
          <w:rFonts w:hint="eastAsia" w:cs="宋体"/>
          <w:color w:val="auto"/>
          <w:highlight w:val="none"/>
          <w:lang w:val="en-US" w:eastAsia="zh-CN"/>
        </w:rPr>
      </w:pPr>
      <w:r>
        <w:rPr>
          <w:rFonts w:hint="eastAsia" w:cs="宋体"/>
          <w:color w:val="auto"/>
          <w:highlight w:val="none"/>
        </w:rPr>
        <w:t>5.</w:t>
      </w:r>
      <w:r>
        <w:rPr>
          <w:rFonts w:hint="eastAsia" w:cs="宋体"/>
          <w:color w:val="auto"/>
          <w:highlight w:val="none"/>
          <w:lang w:val="en-US" w:eastAsia="zh-CN"/>
        </w:rPr>
        <w:t>5广西壮族自治区网上开标子系统（不见面）登录方式：建议各投标人使用360、edge、谷歌、火狐、华为等浏览器打开登录页面（登录地址：http://202.103.240.162:8072/BidOpening），使用数字证书（包含“移动数字证书（CA）全国互认APP”、数字证书(CA)和“桂交易移动CA”）登录。使用“移动数字证书（CA）全国互认APP”投标的操作流程，详见http://ggzy.jgswj.gxzf.gov.cn/gxggzy/gywm/004002/20251231/97bfe2a8-5e4f-4925-bcf3-4913319071a8.html。使用“桂交易移动CA”投标的操作流程，详见http://ggzy.jgswj.gxzf.gov.cn/gxggzy/gywm/004021/004021001/20211123/185f3a63-1ec6-4c75-a0c9-4aeedfdacda9.html。</w:t>
      </w:r>
    </w:p>
    <w:p w14:paraId="6F1B4AB1">
      <w:pPr>
        <w:spacing w:line="360" w:lineRule="auto"/>
        <w:ind w:firstLine="420" w:firstLineChars="200"/>
        <w:rPr>
          <w:rFonts w:hint="eastAsia" w:cs="宋体"/>
          <w:color w:val="auto"/>
          <w:highlight w:val="none"/>
        </w:rPr>
      </w:pPr>
      <w:r>
        <w:rPr>
          <w:rFonts w:hint="eastAsia" w:cs="宋体"/>
          <w:color w:val="auto"/>
          <w:highlight w:val="none"/>
        </w:rPr>
        <w:t>5.</w:t>
      </w:r>
      <w:r>
        <w:rPr>
          <w:rFonts w:hint="eastAsia" w:cs="宋体"/>
          <w:color w:val="auto"/>
          <w:highlight w:val="none"/>
          <w:lang w:val="en-US" w:eastAsia="zh-CN"/>
        </w:rPr>
        <w:t>6</w:t>
      </w:r>
      <w:r>
        <w:rPr>
          <w:rFonts w:hint="eastAsia" w:cs="宋体"/>
          <w:color w:val="auto"/>
          <w:highlight w:val="none"/>
        </w:rPr>
        <w:t xml:space="preserve"> 以</w:t>
      </w:r>
      <w:r>
        <w:rPr>
          <w:rFonts w:hint="eastAsia" w:cs="宋体"/>
          <w:color w:val="auto"/>
          <w:highlight w:val="none"/>
          <w:lang w:eastAsia="zh-CN"/>
        </w:rPr>
        <w:t>“</w:t>
      </w:r>
      <w:r>
        <w:rPr>
          <w:rFonts w:hint="eastAsia" w:cs="宋体"/>
          <w:color w:val="auto"/>
          <w:highlight w:val="none"/>
        </w:rPr>
        <w:t>桂交易移动CA</w:t>
      </w:r>
      <w:r>
        <w:rPr>
          <w:rFonts w:hint="eastAsia" w:cs="宋体"/>
          <w:color w:val="auto"/>
          <w:highlight w:val="none"/>
          <w:lang w:eastAsia="zh-CN"/>
        </w:rPr>
        <w:t>”</w:t>
      </w:r>
      <w:r>
        <w:rPr>
          <w:rFonts w:hint="eastAsia" w:cs="宋体"/>
          <w:color w:val="auto"/>
          <w:highlight w:val="none"/>
        </w:rPr>
        <w:t>制作的投标文件，只能用生成投标文件时加密投标文件的</w:t>
      </w:r>
      <w:r>
        <w:rPr>
          <w:rFonts w:hint="eastAsia" w:cs="宋体"/>
          <w:color w:val="auto"/>
          <w:highlight w:val="none"/>
          <w:lang w:eastAsia="zh-CN"/>
        </w:rPr>
        <w:t>“</w:t>
      </w:r>
      <w:r>
        <w:rPr>
          <w:rFonts w:hint="eastAsia" w:cs="宋体"/>
          <w:color w:val="auto"/>
          <w:highlight w:val="none"/>
        </w:rPr>
        <w:t>桂交易移动CA</w:t>
      </w:r>
      <w:r>
        <w:rPr>
          <w:rFonts w:hint="eastAsia" w:cs="宋体"/>
          <w:color w:val="auto"/>
          <w:highlight w:val="none"/>
          <w:lang w:eastAsia="zh-CN"/>
        </w:rPr>
        <w:t>”</w:t>
      </w:r>
      <w:r>
        <w:rPr>
          <w:rFonts w:hint="eastAsia" w:cs="宋体"/>
          <w:color w:val="auto"/>
          <w:highlight w:val="none"/>
        </w:rPr>
        <w:t>证书解密</w:t>
      </w:r>
      <w:r>
        <w:rPr>
          <w:rFonts w:hint="eastAsia" w:cs="宋体"/>
          <w:color w:val="auto"/>
          <w:highlight w:val="none"/>
          <w:lang w:eastAsia="zh-CN"/>
        </w:rPr>
        <w:t>。</w:t>
      </w:r>
      <w:r>
        <w:rPr>
          <w:rFonts w:hint="eastAsia" w:cs="宋体"/>
          <w:color w:val="auto"/>
          <w:highlight w:val="none"/>
        </w:rPr>
        <w:t>以</w:t>
      </w:r>
      <w:r>
        <w:rPr>
          <w:rFonts w:hint="eastAsia" w:cs="宋体"/>
          <w:color w:val="auto"/>
          <w:highlight w:val="none"/>
          <w:lang w:eastAsia="zh-CN"/>
        </w:rPr>
        <w:t>数字证书（CA）</w:t>
      </w:r>
      <w:r>
        <w:rPr>
          <w:rFonts w:hint="eastAsia" w:cs="宋体"/>
          <w:color w:val="auto"/>
          <w:highlight w:val="none"/>
        </w:rPr>
        <w:t>制作的投标文件，只能用生成投标文件时加密投标文件</w:t>
      </w:r>
      <w:r>
        <w:rPr>
          <w:rFonts w:hint="eastAsia" w:cs="宋体"/>
          <w:color w:val="auto"/>
          <w:highlight w:val="none"/>
          <w:lang w:eastAsia="zh-CN"/>
        </w:rPr>
        <w:t>数字证书（CA）</w:t>
      </w:r>
      <w:r>
        <w:rPr>
          <w:rFonts w:hint="eastAsia" w:cs="宋体"/>
          <w:color w:val="auto"/>
          <w:highlight w:val="none"/>
        </w:rPr>
        <w:t>解密。</w:t>
      </w:r>
    </w:p>
    <w:p w14:paraId="38F1AA33">
      <w:pPr>
        <w:pStyle w:val="4"/>
        <w:rPr>
          <w:color w:val="auto"/>
          <w:highlight w:val="none"/>
        </w:rPr>
      </w:pPr>
      <w:bookmarkStart w:id="34" w:name="_Toc462079481"/>
      <w:bookmarkStart w:id="35" w:name="_Toc389065128"/>
      <w:bookmarkStart w:id="36" w:name="_Toc78449599"/>
      <w:bookmarkStart w:id="37" w:name="_Toc407135055"/>
      <w:bookmarkStart w:id="38" w:name="_Toc30230"/>
      <w:r>
        <w:rPr>
          <w:color w:val="auto"/>
          <w:highlight w:val="none"/>
        </w:rPr>
        <w:t xml:space="preserve">6. </w:t>
      </w:r>
      <w:r>
        <w:rPr>
          <w:rFonts w:hint="eastAsia" w:cs="黑体"/>
          <w:color w:val="auto"/>
          <w:highlight w:val="none"/>
        </w:rPr>
        <w:t>评标方式</w:t>
      </w:r>
      <w:bookmarkEnd w:id="34"/>
      <w:bookmarkEnd w:id="35"/>
      <w:bookmarkEnd w:id="36"/>
      <w:bookmarkEnd w:id="37"/>
      <w:bookmarkEnd w:id="38"/>
    </w:p>
    <w:p w14:paraId="414CF3DB">
      <w:pPr>
        <w:spacing w:line="360" w:lineRule="auto"/>
        <w:ind w:firstLine="420" w:firstLineChars="200"/>
        <w:rPr>
          <w:color w:val="auto"/>
          <w:highlight w:val="none"/>
        </w:rPr>
      </w:pPr>
      <w:r>
        <w:rPr>
          <w:rFonts w:hint="eastAsia" w:cs="宋体"/>
          <w:color w:val="auto"/>
          <w:highlight w:val="none"/>
        </w:rPr>
        <w:t>□经评审的合理低价法</w:t>
      </w:r>
      <w:r>
        <w:rPr>
          <w:color w:val="auto"/>
          <w:highlight w:val="none"/>
        </w:rPr>
        <w:t xml:space="preserve">  </w:t>
      </w:r>
      <w:r>
        <w:rPr>
          <w:rFonts w:hint="eastAsia" w:cs="宋体"/>
          <w:color w:val="auto"/>
          <w:highlight w:val="none"/>
          <w:lang w:eastAsia="zh-CN"/>
        </w:rPr>
        <w:t>☑</w:t>
      </w:r>
      <w:r>
        <w:rPr>
          <w:rFonts w:hint="eastAsia" w:cs="宋体"/>
          <w:color w:val="auto"/>
          <w:highlight w:val="none"/>
        </w:rPr>
        <w:t>综合评估法</w:t>
      </w:r>
    </w:p>
    <w:p w14:paraId="15F5C0DA">
      <w:pPr>
        <w:pStyle w:val="4"/>
        <w:rPr>
          <w:color w:val="auto"/>
          <w:highlight w:val="none"/>
        </w:rPr>
      </w:pPr>
      <w:bookmarkStart w:id="39" w:name="_Toc78449600"/>
      <w:bookmarkStart w:id="40" w:name="_Toc2291"/>
      <w:bookmarkStart w:id="41" w:name="_Toc389065129"/>
      <w:bookmarkStart w:id="42" w:name="_Toc366794271"/>
      <w:bookmarkStart w:id="43" w:name="_Toc407135056"/>
      <w:r>
        <w:rPr>
          <w:color w:val="auto"/>
          <w:highlight w:val="none"/>
        </w:rPr>
        <w:t xml:space="preserve">7. </w:t>
      </w:r>
      <w:r>
        <w:rPr>
          <w:rFonts w:hint="eastAsia" w:cs="黑体"/>
          <w:color w:val="auto"/>
          <w:highlight w:val="none"/>
        </w:rPr>
        <w:t>预付款和进度款支付方式</w:t>
      </w:r>
      <w:bookmarkEnd w:id="39"/>
      <w:bookmarkEnd w:id="40"/>
      <w:bookmarkEnd w:id="41"/>
      <w:bookmarkEnd w:id="42"/>
      <w:bookmarkEnd w:id="43"/>
    </w:p>
    <w:p w14:paraId="5F565A47">
      <w:pPr>
        <w:spacing w:line="360" w:lineRule="auto"/>
        <w:ind w:firstLine="420" w:firstLineChars="200"/>
        <w:rPr>
          <w:rFonts w:hint="default" w:eastAsia="宋体" w:cs="宋体"/>
          <w:color w:val="auto"/>
          <w:highlight w:val="none"/>
          <w:u w:val="single"/>
          <w:lang w:val="en-US" w:eastAsia="zh-CN"/>
        </w:rPr>
      </w:pPr>
      <w:r>
        <w:rPr>
          <w:rFonts w:hint="eastAsia" w:cs="宋体"/>
          <w:color w:val="auto"/>
          <w:highlight w:val="none"/>
        </w:rPr>
        <w:t>预付款支付比例或金额：_</w:t>
      </w:r>
      <w:r>
        <w:rPr>
          <w:rFonts w:hint="eastAsia" w:cs="宋体"/>
          <w:color w:val="auto"/>
          <w:highlight w:val="none"/>
          <w:u w:val="single"/>
        </w:rPr>
        <w:t>___</w:t>
      </w:r>
      <w:bookmarkStart w:id="44" w:name="OLE_LINK9"/>
      <w:r>
        <w:rPr>
          <w:rFonts w:hint="eastAsia" w:cs="宋体"/>
          <w:color w:val="auto"/>
          <w:highlight w:val="none"/>
          <w:u w:val="single"/>
        </w:rPr>
        <w:t>具体详见合同条款</w:t>
      </w:r>
      <w:bookmarkEnd w:id="44"/>
      <w:r>
        <w:rPr>
          <w:rFonts w:hint="eastAsia" w:cs="宋体"/>
          <w:color w:val="auto"/>
          <w:highlight w:val="none"/>
          <w:u w:val="single"/>
        </w:rPr>
        <w:t>___</w:t>
      </w:r>
      <w:r>
        <w:rPr>
          <w:rFonts w:hint="eastAsia" w:cs="Times New Roman"/>
          <w:strike w:val="0"/>
          <w:color w:val="auto"/>
          <w:szCs w:val="21"/>
          <w:highlight w:val="none"/>
          <w:shd w:val="clear" w:color="auto" w:fill="auto"/>
          <w:lang w:eastAsia="zh-CN"/>
        </w:rPr>
        <w:t>（</w:t>
      </w:r>
      <w:r>
        <w:rPr>
          <w:rFonts w:hint="eastAsia" w:ascii="方正楷体_GB2312" w:hAnsi="方正楷体_GB2312" w:eastAsia="方正楷体_GB2312" w:cs="方正楷体_GB2312"/>
          <w:strike w:val="0"/>
          <w:color w:val="auto"/>
          <w:szCs w:val="21"/>
          <w:highlight w:val="none"/>
          <w:shd w:val="clear" w:color="auto" w:fill="auto"/>
          <w:lang w:bidi="ar"/>
        </w:rPr>
        <w:t>注：原则上预付比例不低于合同金额的10％，不高于合同金额的30％</w:t>
      </w:r>
      <w:r>
        <w:rPr>
          <w:rFonts w:hint="eastAsia" w:cs="Times New Roman"/>
          <w:strike w:val="0"/>
          <w:color w:val="auto"/>
          <w:szCs w:val="21"/>
          <w:highlight w:val="none"/>
          <w:shd w:val="clear" w:color="auto" w:fill="auto"/>
          <w:lang w:eastAsia="zh-CN"/>
        </w:rPr>
        <w:t>）</w:t>
      </w:r>
    </w:p>
    <w:p w14:paraId="0EC92F6D">
      <w:pPr>
        <w:spacing w:line="360" w:lineRule="auto"/>
        <w:ind w:firstLine="420" w:firstLineChars="200"/>
        <w:rPr>
          <w:rFonts w:hint="eastAsia" w:eastAsia="宋体"/>
          <w:color w:val="auto"/>
          <w:highlight w:val="none"/>
          <w:lang w:eastAsia="zh-CN"/>
        </w:rPr>
      </w:pPr>
      <w:r>
        <w:rPr>
          <w:rFonts w:hint="eastAsia" w:cs="宋体"/>
          <w:color w:val="auto"/>
          <w:highlight w:val="none"/>
        </w:rPr>
        <w:t>进度款支付</w:t>
      </w:r>
      <w:r>
        <w:rPr>
          <w:rFonts w:hint="eastAsia" w:cs="宋体"/>
          <w:color w:val="auto"/>
          <w:highlight w:val="none"/>
          <w:lang w:val="en-US" w:eastAsia="zh-CN"/>
        </w:rPr>
        <w:t>比例</w:t>
      </w:r>
      <w:r>
        <w:rPr>
          <w:rFonts w:hint="eastAsia" w:cs="宋体"/>
          <w:color w:val="auto"/>
          <w:highlight w:val="none"/>
        </w:rPr>
        <w:t>：</w:t>
      </w:r>
      <w:r>
        <w:rPr>
          <w:rFonts w:hint="eastAsia" w:cs="宋体"/>
          <w:color w:val="auto"/>
          <w:highlight w:val="none"/>
          <w:u w:val="single"/>
        </w:rPr>
        <w:t>具体详见合同专用条款</w:t>
      </w:r>
      <w:r>
        <w:rPr>
          <w:rFonts w:hint="eastAsia" w:cs="宋体"/>
          <w:color w:val="auto"/>
          <w:highlight w:val="none"/>
          <w:lang w:eastAsia="zh-CN"/>
        </w:rPr>
        <w:t>（</w:t>
      </w:r>
      <w:r>
        <w:rPr>
          <w:rFonts w:hint="eastAsia" w:ascii="方正楷体_GB2312" w:hAnsi="方正楷体_GB2312" w:eastAsia="方正楷体_GB2312" w:cs="方正楷体_GB2312"/>
          <w:color w:val="auto"/>
          <w:highlight w:val="none"/>
          <w:shd w:val="clear"/>
          <w:lang w:bidi="ar"/>
        </w:rPr>
        <w:t>发包人应按不低于工程价款的60％，不高于工程价款的90％向承包人支付工程进度款</w:t>
      </w:r>
      <w:r>
        <w:rPr>
          <w:rFonts w:hint="eastAsia" w:ascii="方正楷体_GB2312" w:hAnsi="方正楷体_GB2312" w:eastAsia="方正楷体_GB2312" w:cs="方正楷体_GB2312"/>
          <w:color w:val="auto"/>
          <w:highlight w:val="none"/>
          <w:shd w:val="clear"/>
          <w:lang w:eastAsia="zh-CN" w:bidi="ar"/>
        </w:rPr>
        <w:t>；</w:t>
      </w:r>
      <w:r>
        <w:rPr>
          <w:rFonts w:hint="eastAsia" w:ascii="方正楷体_GB2312" w:hAnsi="方正楷体_GB2312" w:eastAsia="方正楷体_GB2312" w:cs="方正楷体_GB2312"/>
          <w:color w:val="auto"/>
          <w:kern w:val="2"/>
          <w:sz w:val="21"/>
          <w:szCs w:val="21"/>
          <w:highlight w:val="none"/>
          <w:lang w:val="en-US" w:eastAsia="zh-CN" w:bidi="ar"/>
        </w:rPr>
        <w:t>政府机关、事业单位、国有企业建设工程进度款支付应不低于已完成工程价款的80%</w:t>
      </w:r>
      <w:r>
        <w:rPr>
          <w:rFonts w:hint="eastAsia" w:ascii="方正楷体_GB2312" w:hAnsi="方正楷体_GB2312" w:eastAsia="方正楷体_GB2312" w:cs="方正楷体_GB2312"/>
          <w:color w:val="auto"/>
          <w:highlight w:val="none"/>
          <w:lang w:eastAsia="zh-CN"/>
        </w:rPr>
        <w:t>）</w:t>
      </w:r>
    </w:p>
    <w:p w14:paraId="544BABB4">
      <w:pPr>
        <w:pStyle w:val="4"/>
        <w:rPr>
          <w:color w:val="auto"/>
          <w:highlight w:val="none"/>
          <w:lang w:val="en-US"/>
        </w:rPr>
      </w:pPr>
      <w:bookmarkStart w:id="45" w:name="_Toc389065130"/>
      <w:bookmarkStart w:id="46" w:name="_Toc407135057"/>
      <w:bookmarkStart w:id="47" w:name="_Toc78449601"/>
      <w:bookmarkStart w:id="48" w:name="_Toc1348545503"/>
      <w:bookmarkStart w:id="49" w:name="_Toc23394"/>
      <w:r>
        <w:rPr>
          <w:color w:val="auto"/>
          <w:highlight w:val="none"/>
          <w:lang w:val="en-US"/>
        </w:rPr>
        <w:t xml:space="preserve">8. </w:t>
      </w:r>
      <w:r>
        <w:rPr>
          <w:rFonts w:hint="eastAsia" w:cs="黑体"/>
          <w:color w:val="auto"/>
          <w:highlight w:val="none"/>
        </w:rPr>
        <w:t>发布媒介</w:t>
      </w:r>
      <w:bookmarkEnd w:id="45"/>
      <w:bookmarkEnd w:id="46"/>
      <w:bookmarkEnd w:id="47"/>
      <w:bookmarkEnd w:id="48"/>
      <w:bookmarkEnd w:id="49"/>
    </w:p>
    <w:p w14:paraId="3D48FD44">
      <w:pPr>
        <w:spacing w:line="360" w:lineRule="auto"/>
        <w:ind w:firstLine="420" w:firstLineChars="200"/>
        <w:rPr>
          <w:color w:val="auto"/>
          <w:highlight w:val="none"/>
        </w:rPr>
      </w:pPr>
      <w:r>
        <w:rPr>
          <w:rFonts w:hint="eastAsia" w:cs="宋体"/>
          <w:color w:val="auto"/>
          <w:highlight w:val="none"/>
        </w:rPr>
        <w:t>本次招标公告同时在在中国招标投标公共服务平台(www.cebpubservice.com)、广西壮族自治区招标投标公共服务平台(http://zbtb.gxi.gov.cn:9000)、全国公共资源交易平台(广西.南宁)（http://ggzy.jgswj.gxzf.gov.cn/nnggzy）、广西政府采购网（zfcg.gxzf.gov.cn）上发布。 （</w:t>
      </w:r>
      <w:r>
        <w:rPr>
          <w:rFonts w:hint="eastAsia" w:ascii="方正楷体_GB2312" w:hAnsi="方正楷体_GB2312" w:eastAsia="方正楷体_GB2312" w:cs="方正楷体_GB2312"/>
          <w:color w:val="auto"/>
          <w:highlight w:val="none"/>
        </w:rPr>
        <w:t>公告发布媒介包含但不限于上述媒介</w:t>
      </w:r>
      <w:r>
        <w:rPr>
          <w:rFonts w:hint="eastAsia" w:cs="宋体"/>
          <w:color w:val="auto"/>
          <w:highlight w:val="none"/>
        </w:rPr>
        <w:t>）发布。</w:t>
      </w: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kern w:val="2"/>
          <w:sz w:val="21"/>
          <w:szCs w:val="24"/>
          <w:highlight w:val="none"/>
          <w:lang w:val="en-US" w:eastAsia="zh-CN" w:bidi="ar"/>
        </w:rPr>
        <w:t>备注：实行招标投标的政府采购工程项目发布媒介还应当符合政府采购相关规定</w:t>
      </w:r>
      <w:r>
        <w:rPr>
          <w:rFonts w:hint="eastAsia" w:ascii="方正楷体_GB2312" w:hAnsi="方正楷体_GB2312" w:eastAsia="方正楷体_GB2312" w:cs="方正楷体_GB2312"/>
          <w:color w:val="auto"/>
          <w:highlight w:val="none"/>
        </w:rPr>
        <w:t>）</w:t>
      </w:r>
      <w:r>
        <w:rPr>
          <w:rFonts w:hint="eastAsia" w:cs="宋体"/>
          <w:color w:val="auto"/>
          <w:highlight w:val="none"/>
        </w:rPr>
        <w:t>。</w:t>
      </w:r>
    </w:p>
    <w:p w14:paraId="34E557B8">
      <w:pPr>
        <w:pStyle w:val="4"/>
        <w:rPr>
          <w:rFonts w:hint="eastAsia" w:eastAsia="黑体"/>
          <w:color w:val="auto"/>
          <w:highlight w:val="none"/>
          <w:lang w:eastAsia="zh-CN"/>
        </w:rPr>
      </w:pPr>
      <w:bookmarkStart w:id="50" w:name="_Toc407135058"/>
      <w:bookmarkStart w:id="51" w:name="_Toc78449602"/>
      <w:bookmarkStart w:id="52" w:name="_Toc888996978"/>
      <w:bookmarkStart w:id="53" w:name="_Toc2550"/>
      <w:r>
        <w:rPr>
          <w:color w:val="auto"/>
          <w:highlight w:val="none"/>
        </w:rPr>
        <w:t xml:space="preserve">9. </w:t>
      </w:r>
      <w:bookmarkEnd w:id="50"/>
      <w:bookmarkEnd w:id="51"/>
      <w:bookmarkEnd w:id="52"/>
      <w:r>
        <w:rPr>
          <w:rFonts w:hint="eastAsia" w:cs="黑体"/>
          <w:color w:val="auto"/>
          <w:highlight w:val="none"/>
          <w:lang w:eastAsia="zh-CN"/>
        </w:rPr>
        <w:t>公共资源交易平台运行服务机构</w:t>
      </w:r>
      <w:bookmarkEnd w:id="53"/>
    </w:p>
    <w:p w14:paraId="0FC746C0">
      <w:pPr>
        <w:spacing w:line="360" w:lineRule="auto"/>
        <w:ind w:firstLine="420" w:firstLineChars="200"/>
        <w:rPr>
          <w:color w:val="auto"/>
          <w:highlight w:val="none"/>
        </w:rPr>
      </w:pPr>
      <w:r>
        <w:rPr>
          <w:color w:val="auto"/>
          <w:highlight w:val="none"/>
          <w:u w:val="single"/>
        </w:rPr>
        <w:t xml:space="preserve">  南宁市公共资源交易中心。  </w:t>
      </w:r>
    </w:p>
    <w:p w14:paraId="402971F2">
      <w:pPr>
        <w:pStyle w:val="4"/>
        <w:rPr>
          <w:color w:val="auto"/>
          <w:highlight w:val="none"/>
        </w:rPr>
      </w:pPr>
      <w:bookmarkStart w:id="54" w:name="_Toc78449603"/>
      <w:bookmarkStart w:id="55" w:name="_Toc30663"/>
      <w:bookmarkStart w:id="56" w:name="_Toc335107020"/>
      <w:bookmarkStart w:id="57" w:name="_Toc407135059"/>
      <w:r>
        <w:rPr>
          <w:color w:val="auto"/>
          <w:highlight w:val="none"/>
        </w:rPr>
        <w:t xml:space="preserve">10. </w:t>
      </w:r>
      <w:r>
        <w:rPr>
          <w:rFonts w:hint="eastAsia" w:cs="黑体"/>
          <w:color w:val="auto"/>
          <w:highlight w:val="none"/>
        </w:rPr>
        <w:t>监督部门及电话</w:t>
      </w:r>
      <w:bookmarkEnd w:id="54"/>
      <w:bookmarkEnd w:id="55"/>
      <w:bookmarkEnd w:id="56"/>
      <w:bookmarkEnd w:id="57"/>
    </w:p>
    <w:p w14:paraId="01457F1E">
      <w:pPr>
        <w:spacing w:line="360" w:lineRule="auto"/>
        <w:ind w:firstLine="420" w:firstLineChars="200"/>
        <w:rPr>
          <w:color w:val="auto"/>
          <w:highlight w:val="none"/>
        </w:rPr>
      </w:pPr>
      <w:r>
        <w:rPr>
          <w:color w:val="auto"/>
          <w:highlight w:val="none"/>
          <w:u w:val="single"/>
        </w:rPr>
        <w:t xml:space="preserve">     </w:t>
      </w:r>
      <w:r>
        <w:rPr>
          <w:rFonts w:hint="eastAsia"/>
          <w:color w:val="auto"/>
          <w:highlight w:val="none"/>
          <w:u w:val="single"/>
        </w:rPr>
        <w:t>南宁市青秀区住房和城乡建设局（监督电话：0771-5891210）</w:t>
      </w:r>
      <w:r>
        <w:rPr>
          <w:color w:val="auto"/>
          <w:highlight w:val="none"/>
          <w:u w:val="single"/>
        </w:rPr>
        <w:t xml:space="preserve">。     </w:t>
      </w:r>
    </w:p>
    <w:p w14:paraId="22E5BD68">
      <w:pPr>
        <w:pStyle w:val="4"/>
        <w:spacing w:line="413" w:lineRule="auto"/>
        <w:rPr>
          <w:color w:val="auto"/>
          <w:sz w:val="32"/>
          <w:szCs w:val="32"/>
          <w:highlight w:val="none"/>
          <w:lang w:val="en-US"/>
        </w:rPr>
      </w:pPr>
      <w:bookmarkStart w:id="58" w:name="_Toc78449604"/>
      <w:bookmarkStart w:id="59" w:name="_Toc195229621"/>
      <w:bookmarkStart w:id="60" w:name="_Toc407135061"/>
      <w:bookmarkStart w:id="61" w:name="_Toc16413"/>
      <w:r>
        <w:rPr>
          <w:color w:val="auto"/>
          <w:highlight w:val="none"/>
          <w:lang w:val="en-US"/>
        </w:rPr>
        <w:t xml:space="preserve">11. </w:t>
      </w:r>
      <w:r>
        <w:rPr>
          <w:rFonts w:hint="eastAsia" w:cs="Times New Roman"/>
          <w:color w:val="auto"/>
          <w:sz w:val="32"/>
          <w:szCs w:val="32"/>
          <w:highlight w:val="none"/>
        </w:rPr>
        <w:t>注意事项</w:t>
      </w:r>
      <w:bookmarkEnd w:id="58"/>
      <w:bookmarkEnd w:id="59"/>
      <w:bookmarkEnd w:id="60"/>
      <w:bookmarkEnd w:id="61"/>
    </w:p>
    <w:p w14:paraId="6F632FB0">
      <w:pPr>
        <w:spacing w:line="360" w:lineRule="auto"/>
        <w:ind w:firstLine="420" w:firstLineChars="200"/>
        <w:rPr>
          <w:rFonts w:ascii="宋体"/>
          <w:color w:val="auto"/>
          <w:highlight w:val="none"/>
        </w:rPr>
      </w:pPr>
      <w:r>
        <w:rPr>
          <w:rFonts w:hint="eastAsia" w:hAnsi="宋体" w:cs="宋体"/>
          <w:color w:val="auto"/>
          <w:highlight w:val="none"/>
        </w:rPr>
        <w:t>潜在投标人必须录入</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系统，</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系统</w:t>
      </w:r>
      <w:r>
        <w:rPr>
          <w:rFonts w:hint="eastAsia" w:hAnsi="宋体" w:cs="宋体"/>
          <w:color w:val="auto"/>
          <w:highlight w:val="none"/>
          <w:lang w:eastAsia="zh-CN"/>
        </w:rPr>
        <w:t>登录</w:t>
      </w:r>
      <w:r>
        <w:rPr>
          <w:rFonts w:hint="eastAsia" w:hAnsi="宋体" w:cs="宋体"/>
          <w:color w:val="auto"/>
          <w:highlight w:val="none"/>
        </w:rPr>
        <w:t>地址：</w:t>
      </w:r>
      <w:r>
        <w:rPr>
          <w:rFonts w:hint="eastAsia" w:hAnsi="宋体" w:cs="宋体"/>
          <w:color w:val="auto"/>
          <w:highlight w:val="none"/>
          <w:lang w:eastAsia="zh-CN"/>
        </w:rPr>
        <w:t>https://gxjzsc.gxcic.</w:t>
      </w:r>
      <w:r>
        <w:rPr>
          <w:rFonts w:hint="eastAsia" w:cs="宋体"/>
          <w:color w:val="auto"/>
          <w:highlight w:val="none"/>
          <w:lang w:val="en-US" w:eastAsia="zh-CN"/>
        </w:rPr>
        <w:t>cn</w:t>
      </w:r>
      <w:r>
        <w:rPr>
          <w:rFonts w:hint="eastAsia" w:hAnsi="宋体" w:cs="宋体"/>
          <w:color w:val="auto"/>
          <w:highlight w:val="none"/>
          <w:lang w:eastAsia="zh-CN"/>
        </w:rPr>
        <w:t>/</w:t>
      </w:r>
      <w:r>
        <w:rPr>
          <w:rFonts w:hint="default" w:ascii="Times New Roman" w:hAnsi="Times New Roman" w:cs="Times New Roman"/>
          <w:color w:val="auto"/>
          <w:highlight w:val="none"/>
        </w:rPr>
        <w:t>由于</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default" w:ascii="Times New Roman" w:hAnsi="Times New Roman" w:cs="Times New Roman"/>
          <w:color w:val="auto"/>
          <w:highlight w:val="none"/>
        </w:rPr>
        <w:t>与全国建筑市场监管公共服务平台</w:t>
      </w:r>
      <w:r>
        <w:rPr>
          <w:rFonts w:hint="eastAsia" w:cs="Times New Roman"/>
          <w:color w:val="auto"/>
          <w:highlight w:val="none"/>
          <w:lang w:eastAsia="zh-CN"/>
        </w:rPr>
        <w:t>（</w:t>
      </w:r>
      <w:r>
        <w:rPr>
          <w:rFonts w:hint="default" w:ascii="Times New Roman" w:hAnsi="Times New Roman" w:cs="Times New Roman"/>
          <w:color w:val="auto"/>
          <w:highlight w:val="none"/>
        </w:rPr>
        <w:t>以下简称全国平台</w:t>
      </w:r>
      <w:r>
        <w:rPr>
          <w:rFonts w:hint="eastAsia" w:cs="Times New Roman"/>
          <w:color w:val="auto"/>
          <w:highlight w:val="none"/>
          <w:lang w:eastAsia="zh-CN"/>
        </w:rPr>
        <w:t>）</w:t>
      </w:r>
      <w:r>
        <w:rPr>
          <w:rFonts w:hint="default" w:ascii="Times New Roman" w:hAnsi="Times New Roman" w:cs="Times New Roman"/>
          <w:color w:val="auto"/>
          <w:highlight w:val="none"/>
        </w:rPr>
        <w:t>相关信息同步存在时间差（企业每次登录</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default" w:ascii="Times New Roman" w:hAnsi="Times New Roman" w:cs="Times New Roman"/>
          <w:color w:val="auto"/>
          <w:highlight w:val="none"/>
        </w:rPr>
        <w:t>时自动同步全国平台数据），投标人应自行预留足够的时间，至少提前24小时将所需投标材料下行至</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eastAsia" w:ascii="宋体" w:hAnsi="宋体" w:cs="宋体"/>
          <w:color w:val="auto"/>
          <w:highlight w:val="none"/>
        </w:rPr>
        <w:t>，若因投标人原因未能同步的，后果自行负责。</w:t>
      </w:r>
    </w:p>
    <w:p w14:paraId="1ACAF433">
      <w:pPr>
        <w:pStyle w:val="4"/>
        <w:rPr>
          <w:color w:val="auto"/>
          <w:highlight w:val="none"/>
        </w:rPr>
      </w:pPr>
      <w:bookmarkStart w:id="62" w:name="_Toc78449605"/>
      <w:bookmarkStart w:id="63" w:name="_Toc30319"/>
      <w:bookmarkStart w:id="64" w:name="_Toc1384869539"/>
      <w:r>
        <w:rPr>
          <w:color w:val="auto"/>
          <w:highlight w:val="none"/>
        </w:rPr>
        <w:t xml:space="preserve">12. </w:t>
      </w:r>
      <w:r>
        <w:rPr>
          <w:rFonts w:hint="eastAsia" w:cs="黑体"/>
          <w:color w:val="auto"/>
          <w:highlight w:val="none"/>
        </w:rPr>
        <w:t>联系方式</w:t>
      </w:r>
      <w:bookmarkEnd w:id="62"/>
      <w:bookmarkEnd w:id="63"/>
      <w:bookmarkEnd w:id="64"/>
    </w:p>
    <w:tbl>
      <w:tblPr>
        <w:tblStyle w:val="4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1329"/>
        <w:gridCol w:w="2707"/>
        <w:gridCol w:w="1329"/>
        <w:gridCol w:w="3334"/>
      </w:tblGrid>
      <w:tr w14:paraId="27D69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280" w:type="dxa"/>
            <w:noWrap w:val="0"/>
            <w:tcMar>
              <w:top w:w="15" w:type="dxa"/>
              <w:left w:w="15" w:type="dxa"/>
              <w:bottom w:w="15" w:type="dxa"/>
              <w:right w:w="15" w:type="dxa"/>
            </w:tcMar>
            <w:vAlign w:val="center"/>
          </w:tcPr>
          <w:p w14:paraId="5ACC27A0">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r>
              <w:rPr>
                <w:rFonts w:hint="default"/>
                <w:color w:val="auto"/>
                <w:highlight w:val="none"/>
              </w:rPr>
              <w:t>招标人:</w:t>
            </w:r>
          </w:p>
        </w:tc>
        <w:tc>
          <w:tcPr>
            <w:tcW w:w="4155" w:type="dxa"/>
            <w:noWrap w:val="0"/>
            <w:tcMar>
              <w:top w:w="15" w:type="dxa"/>
              <w:left w:w="15" w:type="dxa"/>
              <w:bottom w:w="15" w:type="dxa"/>
              <w:right w:w="15" w:type="dxa"/>
            </w:tcMar>
            <w:vAlign w:val="center"/>
          </w:tcPr>
          <w:p w14:paraId="37FADAA2">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r>
              <w:rPr>
                <w:rFonts w:hint="eastAsia"/>
                <w:color w:val="auto"/>
                <w:highlight w:val="none"/>
                <w:lang w:eastAsia="zh-CN"/>
              </w:rPr>
              <w:t>广西警察学院</w:t>
            </w:r>
            <w:r>
              <w:rPr>
                <w:rFonts w:hint="default"/>
                <w:color w:val="auto"/>
                <w:highlight w:val="none"/>
              </w:rPr>
              <w:t>（需盖企业章及法人签字）</w:t>
            </w:r>
          </w:p>
        </w:tc>
        <w:tc>
          <w:tcPr>
            <w:tcW w:w="2280" w:type="dxa"/>
            <w:noWrap w:val="0"/>
            <w:tcMar>
              <w:top w:w="15" w:type="dxa"/>
              <w:left w:w="15" w:type="dxa"/>
              <w:bottom w:w="15" w:type="dxa"/>
              <w:right w:w="15" w:type="dxa"/>
            </w:tcMar>
            <w:vAlign w:val="center"/>
          </w:tcPr>
          <w:p w14:paraId="1020EC5C">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r>
              <w:rPr>
                <w:rFonts w:hint="default"/>
                <w:color w:val="auto"/>
                <w:highlight w:val="none"/>
              </w:rPr>
              <w:t>招标代理机构:</w:t>
            </w:r>
          </w:p>
        </w:tc>
        <w:tc>
          <w:tcPr>
            <w:tcW w:w="4155" w:type="dxa"/>
            <w:noWrap w:val="0"/>
            <w:tcMar>
              <w:top w:w="15" w:type="dxa"/>
              <w:left w:w="15" w:type="dxa"/>
              <w:bottom w:w="15" w:type="dxa"/>
              <w:right w:w="15" w:type="dxa"/>
            </w:tcMar>
            <w:vAlign w:val="center"/>
          </w:tcPr>
          <w:p w14:paraId="3744E37F">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r>
              <w:rPr>
                <w:rFonts w:hint="default"/>
                <w:color w:val="auto"/>
                <w:highlight w:val="none"/>
              </w:rPr>
              <w:t>广西建设工程机电设备招标中心有限公司（需盖企业章及法人签字）</w:t>
            </w:r>
          </w:p>
        </w:tc>
      </w:tr>
      <w:tr w14:paraId="79B6D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noWrap w:val="0"/>
            <w:tcMar>
              <w:top w:w="15" w:type="dxa"/>
              <w:left w:w="15" w:type="dxa"/>
              <w:bottom w:w="15" w:type="dxa"/>
              <w:right w:w="15" w:type="dxa"/>
            </w:tcMar>
            <w:vAlign w:val="center"/>
          </w:tcPr>
          <w:p w14:paraId="40E13C71">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r>
              <w:rPr>
                <w:rFonts w:hint="default"/>
                <w:color w:val="auto"/>
                <w:highlight w:val="none"/>
              </w:rPr>
              <w:t>地址:</w:t>
            </w:r>
          </w:p>
        </w:tc>
        <w:tc>
          <w:tcPr>
            <w:tcW w:w="0" w:type="auto"/>
            <w:noWrap w:val="0"/>
            <w:tcMar>
              <w:top w:w="15" w:type="dxa"/>
              <w:left w:w="15" w:type="dxa"/>
              <w:bottom w:w="15" w:type="dxa"/>
              <w:right w:w="15" w:type="dxa"/>
            </w:tcMar>
            <w:vAlign w:val="center"/>
          </w:tcPr>
          <w:p w14:paraId="55236BD1">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eastAsia"/>
                <w:color w:val="auto"/>
                <w:highlight w:val="none"/>
                <w:lang w:eastAsia="zh-CN"/>
              </w:rPr>
            </w:pPr>
            <w:r>
              <w:rPr>
                <w:rFonts w:hint="eastAsia"/>
                <w:color w:val="auto"/>
                <w:highlight w:val="none"/>
                <w:lang w:eastAsia="zh-CN"/>
              </w:rPr>
              <w:t>广西南宁市青秀区军堂路6号</w:t>
            </w:r>
          </w:p>
        </w:tc>
        <w:tc>
          <w:tcPr>
            <w:tcW w:w="0" w:type="auto"/>
            <w:noWrap w:val="0"/>
            <w:tcMar>
              <w:top w:w="15" w:type="dxa"/>
              <w:left w:w="15" w:type="dxa"/>
              <w:bottom w:w="15" w:type="dxa"/>
              <w:right w:w="15" w:type="dxa"/>
            </w:tcMar>
            <w:vAlign w:val="center"/>
          </w:tcPr>
          <w:p w14:paraId="2C5002E5">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r>
              <w:rPr>
                <w:rFonts w:hint="default"/>
                <w:color w:val="auto"/>
                <w:highlight w:val="none"/>
              </w:rPr>
              <w:t>地址:</w:t>
            </w:r>
          </w:p>
        </w:tc>
        <w:tc>
          <w:tcPr>
            <w:tcW w:w="0" w:type="auto"/>
            <w:noWrap w:val="0"/>
            <w:tcMar>
              <w:top w:w="15" w:type="dxa"/>
              <w:left w:w="15" w:type="dxa"/>
              <w:bottom w:w="15" w:type="dxa"/>
              <w:right w:w="15" w:type="dxa"/>
            </w:tcMar>
            <w:vAlign w:val="center"/>
          </w:tcPr>
          <w:p w14:paraId="2F09E218">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r>
              <w:rPr>
                <w:rFonts w:hint="default"/>
                <w:color w:val="auto"/>
                <w:highlight w:val="none"/>
              </w:rPr>
              <w:t>南宁市青秀区枫林路18号广西国控集团（枫林路办公区）裙楼三层</w:t>
            </w:r>
          </w:p>
        </w:tc>
      </w:tr>
      <w:tr w14:paraId="2EA7D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noWrap w:val="0"/>
            <w:tcMar>
              <w:top w:w="15" w:type="dxa"/>
              <w:left w:w="15" w:type="dxa"/>
              <w:bottom w:w="15" w:type="dxa"/>
              <w:right w:w="15" w:type="dxa"/>
            </w:tcMar>
            <w:vAlign w:val="center"/>
          </w:tcPr>
          <w:p w14:paraId="77F9E2F6">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r>
              <w:rPr>
                <w:rFonts w:hint="default"/>
                <w:color w:val="auto"/>
                <w:highlight w:val="none"/>
              </w:rPr>
              <w:t>邮编:</w:t>
            </w:r>
          </w:p>
        </w:tc>
        <w:tc>
          <w:tcPr>
            <w:tcW w:w="0" w:type="auto"/>
            <w:noWrap w:val="0"/>
            <w:tcMar>
              <w:top w:w="15" w:type="dxa"/>
              <w:left w:w="15" w:type="dxa"/>
              <w:bottom w:w="15" w:type="dxa"/>
              <w:right w:w="15" w:type="dxa"/>
            </w:tcMar>
            <w:vAlign w:val="center"/>
          </w:tcPr>
          <w:p w14:paraId="4683F1C7">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eastAsia"/>
                <w:color w:val="auto"/>
                <w:highlight w:val="none"/>
                <w:lang w:eastAsia="zh-CN"/>
              </w:rPr>
            </w:pPr>
            <w:r>
              <w:rPr>
                <w:rFonts w:hint="eastAsia"/>
                <w:color w:val="auto"/>
                <w:highlight w:val="none"/>
                <w:lang w:eastAsia="zh-CN"/>
              </w:rPr>
              <w:t>530022</w:t>
            </w:r>
          </w:p>
        </w:tc>
        <w:tc>
          <w:tcPr>
            <w:tcW w:w="0" w:type="auto"/>
            <w:noWrap w:val="0"/>
            <w:tcMar>
              <w:top w:w="15" w:type="dxa"/>
              <w:left w:w="15" w:type="dxa"/>
              <w:bottom w:w="15" w:type="dxa"/>
              <w:right w:w="15" w:type="dxa"/>
            </w:tcMar>
            <w:vAlign w:val="center"/>
          </w:tcPr>
          <w:p w14:paraId="1312458D">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r>
              <w:rPr>
                <w:rFonts w:hint="default"/>
                <w:color w:val="auto"/>
                <w:highlight w:val="none"/>
              </w:rPr>
              <w:t>邮编:</w:t>
            </w:r>
          </w:p>
        </w:tc>
        <w:tc>
          <w:tcPr>
            <w:tcW w:w="0" w:type="auto"/>
            <w:noWrap w:val="0"/>
            <w:tcMar>
              <w:top w:w="15" w:type="dxa"/>
              <w:left w:w="15" w:type="dxa"/>
              <w:bottom w:w="15" w:type="dxa"/>
              <w:right w:w="15" w:type="dxa"/>
            </w:tcMar>
            <w:vAlign w:val="center"/>
          </w:tcPr>
          <w:p w14:paraId="7444EB68">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eastAsia"/>
                <w:color w:val="auto"/>
                <w:highlight w:val="none"/>
                <w:lang w:eastAsia="zh-CN"/>
              </w:rPr>
            </w:pPr>
            <w:r>
              <w:rPr>
                <w:rFonts w:hint="eastAsia"/>
                <w:color w:val="auto"/>
                <w:highlight w:val="none"/>
                <w:lang w:eastAsia="zh-CN"/>
              </w:rPr>
              <w:t>530022</w:t>
            </w:r>
          </w:p>
        </w:tc>
      </w:tr>
      <w:tr w14:paraId="74655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noWrap w:val="0"/>
            <w:tcMar>
              <w:top w:w="15" w:type="dxa"/>
              <w:left w:w="15" w:type="dxa"/>
              <w:bottom w:w="15" w:type="dxa"/>
              <w:right w:w="15" w:type="dxa"/>
            </w:tcMar>
            <w:vAlign w:val="center"/>
          </w:tcPr>
          <w:p w14:paraId="2D957933">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r>
              <w:rPr>
                <w:rFonts w:hint="default"/>
                <w:color w:val="auto"/>
                <w:highlight w:val="none"/>
              </w:rPr>
              <w:t>联系人:</w:t>
            </w:r>
          </w:p>
        </w:tc>
        <w:tc>
          <w:tcPr>
            <w:tcW w:w="0" w:type="auto"/>
            <w:noWrap w:val="0"/>
            <w:tcMar>
              <w:top w:w="15" w:type="dxa"/>
              <w:left w:w="15" w:type="dxa"/>
              <w:bottom w:w="15" w:type="dxa"/>
              <w:right w:w="15" w:type="dxa"/>
            </w:tcMar>
            <w:vAlign w:val="center"/>
          </w:tcPr>
          <w:p w14:paraId="57872BF9">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eastAsia"/>
                <w:color w:val="auto"/>
                <w:highlight w:val="none"/>
                <w:lang w:eastAsia="zh-CN"/>
              </w:rPr>
            </w:pPr>
            <w:r>
              <w:rPr>
                <w:rFonts w:hint="eastAsia"/>
                <w:color w:val="auto"/>
                <w:highlight w:val="none"/>
                <w:lang w:eastAsia="zh-CN"/>
              </w:rPr>
              <w:t>陶锋</w:t>
            </w:r>
          </w:p>
        </w:tc>
        <w:tc>
          <w:tcPr>
            <w:tcW w:w="0" w:type="auto"/>
            <w:noWrap w:val="0"/>
            <w:tcMar>
              <w:top w:w="15" w:type="dxa"/>
              <w:left w:w="15" w:type="dxa"/>
              <w:bottom w:w="15" w:type="dxa"/>
              <w:right w:w="15" w:type="dxa"/>
            </w:tcMar>
            <w:vAlign w:val="center"/>
          </w:tcPr>
          <w:p w14:paraId="2E2744C4">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r>
              <w:rPr>
                <w:rFonts w:hint="default"/>
                <w:color w:val="auto"/>
                <w:highlight w:val="none"/>
              </w:rPr>
              <w:t>联系人:</w:t>
            </w:r>
          </w:p>
        </w:tc>
        <w:tc>
          <w:tcPr>
            <w:tcW w:w="0" w:type="auto"/>
            <w:noWrap w:val="0"/>
            <w:tcMar>
              <w:top w:w="15" w:type="dxa"/>
              <w:left w:w="15" w:type="dxa"/>
              <w:bottom w:w="15" w:type="dxa"/>
              <w:right w:w="15" w:type="dxa"/>
            </w:tcMar>
            <w:vAlign w:val="center"/>
          </w:tcPr>
          <w:p w14:paraId="133111DD">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eastAsia"/>
                <w:color w:val="auto"/>
                <w:highlight w:val="none"/>
                <w:lang w:eastAsia="zh-CN"/>
              </w:rPr>
            </w:pPr>
            <w:r>
              <w:rPr>
                <w:rFonts w:hint="eastAsia"/>
                <w:color w:val="auto"/>
                <w:highlight w:val="none"/>
                <w:lang w:eastAsia="zh-CN"/>
              </w:rPr>
              <w:t>庞雄庆</w:t>
            </w:r>
          </w:p>
        </w:tc>
      </w:tr>
      <w:tr w14:paraId="2B548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noWrap w:val="0"/>
            <w:tcMar>
              <w:top w:w="15" w:type="dxa"/>
              <w:left w:w="15" w:type="dxa"/>
              <w:bottom w:w="15" w:type="dxa"/>
              <w:right w:w="15" w:type="dxa"/>
            </w:tcMar>
            <w:vAlign w:val="center"/>
          </w:tcPr>
          <w:p w14:paraId="1CE209F0">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r>
              <w:rPr>
                <w:rFonts w:hint="default"/>
                <w:color w:val="auto"/>
                <w:highlight w:val="none"/>
              </w:rPr>
              <w:t>电话:</w:t>
            </w:r>
          </w:p>
        </w:tc>
        <w:tc>
          <w:tcPr>
            <w:tcW w:w="0" w:type="auto"/>
            <w:noWrap w:val="0"/>
            <w:tcMar>
              <w:top w:w="15" w:type="dxa"/>
              <w:left w:w="15" w:type="dxa"/>
              <w:bottom w:w="15" w:type="dxa"/>
              <w:right w:w="15" w:type="dxa"/>
            </w:tcMar>
            <w:vAlign w:val="center"/>
          </w:tcPr>
          <w:p w14:paraId="7D09DD68">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eastAsia"/>
                <w:color w:val="auto"/>
                <w:highlight w:val="none"/>
                <w:lang w:eastAsia="zh-CN"/>
              </w:rPr>
            </w:pPr>
            <w:r>
              <w:rPr>
                <w:rFonts w:hint="eastAsia"/>
                <w:color w:val="auto"/>
                <w:highlight w:val="none"/>
                <w:lang w:eastAsia="zh-CN"/>
              </w:rPr>
              <w:t>0771-5615802</w:t>
            </w:r>
          </w:p>
        </w:tc>
        <w:tc>
          <w:tcPr>
            <w:tcW w:w="0" w:type="auto"/>
            <w:noWrap w:val="0"/>
            <w:tcMar>
              <w:top w:w="15" w:type="dxa"/>
              <w:left w:w="15" w:type="dxa"/>
              <w:bottom w:w="15" w:type="dxa"/>
              <w:right w:w="15" w:type="dxa"/>
            </w:tcMar>
            <w:vAlign w:val="center"/>
          </w:tcPr>
          <w:p w14:paraId="1C40C27C">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r>
              <w:rPr>
                <w:rFonts w:hint="default"/>
                <w:color w:val="auto"/>
                <w:highlight w:val="none"/>
              </w:rPr>
              <w:t>电话:</w:t>
            </w:r>
          </w:p>
        </w:tc>
        <w:tc>
          <w:tcPr>
            <w:tcW w:w="0" w:type="auto"/>
            <w:noWrap w:val="0"/>
            <w:tcMar>
              <w:top w:w="15" w:type="dxa"/>
              <w:left w:w="15" w:type="dxa"/>
              <w:bottom w:w="15" w:type="dxa"/>
              <w:right w:w="15" w:type="dxa"/>
            </w:tcMar>
            <w:vAlign w:val="center"/>
          </w:tcPr>
          <w:p w14:paraId="2FE09FB6">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eastAsia"/>
                <w:color w:val="auto"/>
                <w:highlight w:val="none"/>
                <w:lang w:eastAsia="zh-CN"/>
              </w:rPr>
            </w:pPr>
            <w:r>
              <w:rPr>
                <w:rFonts w:hint="eastAsia"/>
                <w:color w:val="auto"/>
                <w:highlight w:val="none"/>
                <w:lang w:eastAsia="zh-CN"/>
              </w:rPr>
              <w:t>0771-2869912</w:t>
            </w:r>
          </w:p>
        </w:tc>
      </w:tr>
      <w:tr w14:paraId="312EE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noWrap w:val="0"/>
            <w:tcMar>
              <w:top w:w="15" w:type="dxa"/>
              <w:left w:w="15" w:type="dxa"/>
              <w:bottom w:w="15" w:type="dxa"/>
              <w:right w:w="15" w:type="dxa"/>
            </w:tcMar>
            <w:vAlign w:val="center"/>
          </w:tcPr>
          <w:p w14:paraId="4FED2189">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r>
              <w:rPr>
                <w:rFonts w:hint="default"/>
                <w:color w:val="auto"/>
                <w:highlight w:val="none"/>
              </w:rPr>
              <w:t>传真:</w:t>
            </w:r>
          </w:p>
        </w:tc>
        <w:tc>
          <w:tcPr>
            <w:tcW w:w="0" w:type="auto"/>
            <w:noWrap w:val="0"/>
            <w:tcMar>
              <w:top w:w="15" w:type="dxa"/>
              <w:left w:w="15" w:type="dxa"/>
              <w:bottom w:w="15" w:type="dxa"/>
              <w:right w:w="15" w:type="dxa"/>
            </w:tcMar>
            <w:vAlign w:val="center"/>
          </w:tcPr>
          <w:p w14:paraId="18B0C56B">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r>
              <w:rPr>
                <w:rFonts w:hint="default"/>
                <w:color w:val="auto"/>
                <w:highlight w:val="none"/>
              </w:rPr>
              <w:t>/</w:t>
            </w:r>
          </w:p>
        </w:tc>
        <w:tc>
          <w:tcPr>
            <w:tcW w:w="0" w:type="auto"/>
            <w:noWrap w:val="0"/>
            <w:tcMar>
              <w:top w:w="15" w:type="dxa"/>
              <w:left w:w="15" w:type="dxa"/>
              <w:bottom w:w="15" w:type="dxa"/>
              <w:right w:w="15" w:type="dxa"/>
            </w:tcMar>
            <w:vAlign w:val="center"/>
          </w:tcPr>
          <w:p w14:paraId="68F885E4">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r>
              <w:rPr>
                <w:rFonts w:hint="default"/>
                <w:color w:val="auto"/>
                <w:highlight w:val="none"/>
              </w:rPr>
              <w:t>传真:</w:t>
            </w:r>
          </w:p>
        </w:tc>
        <w:tc>
          <w:tcPr>
            <w:tcW w:w="0" w:type="auto"/>
            <w:noWrap w:val="0"/>
            <w:tcMar>
              <w:top w:w="15" w:type="dxa"/>
              <w:left w:w="15" w:type="dxa"/>
              <w:bottom w:w="15" w:type="dxa"/>
              <w:right w:w="15" w:type="dxa"/>
            </w:tcMar>
            <w:vAlign w:val="center"/>
          </w:tcPr>
          <w:p w14:paraId="6180A0C9">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r>
              <w:rPr>
                <w:rFonts w:hint="default"/>
                <w:color w:val="auto"/>
                <w:highlight w:val="none"/>
              </w:rPr>
              <w:t>/</w:t>
            </w:r>
          </w:p>
        </w:tc>
      </w:tr>
      <w:tr w14:paraId="181A6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noWrap w:val="0"/>
            <w:tcMar>
              <w:top w:w="15" w:type="dxa"/>
              <w:left w:w="15" w:type="dxa"/>
              <w:bottom w:w="15" w:type="dxa"/>
              <w:right w:w="15" w:type="dxa"/>
            </w:tcMar>
            <w:vAlign w:val="center"/>
          </w:tcPr>
          <w:p w14:paraId="7D80F6E1">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r>
              <w:rPr>
                <w:rFonts w:hint="default"/>
                <w:color w:val="auto"/>
                <w:highlight w:val="none"/>
              </w:rPr>
              <w:t>电子邮箱:</w:t>
            </w:r>
          </w:p>
        </w:tc>
        <w:tc>
          <w:tcPr>
            <w:tcW w:w="0" w:type="auto"/>
            <w:noWrap w:val="0"/>
            <w:tcMar>
              <w:top w:w="15" w:type="dxa"/>
              <w:left w:w="15" w:type="dxa"/>
              <w:bottom w:w="15" w:type="dxa"/>
              <w:right w:w="15" w:type="dxa"/>
            </w:tcMar>
            <w:vAlign w:val="center"/>
          </w:tcPr>
          <w:p w14:paraId="035FCF66">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p>
        </w:tc>
        <w:tc>
          <w:tcPr>
            <w:tcW w:w="0" w:type="auto"/>
            <w:noWrap w:val="0"/>
            <w:tcMar>
              <w:top w:w="15" w:type="dxa"/>
              <w:left w:w="15" w:type="dxa"/>
              <w:bottom w:w="15" w:type="dxa"/>
              <w:right w:w="15" w:type="dxa"/>
            </w:tcMar>
            <w:vAlign w:val="center"/>
          </w:tcPr>
          <w:p w14:paraId="4DB93759">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r>
              <w:rPr>
                <w:rFonts w:hint="default"/>
                <w:color w:val="auto"/>
                <w:highlight w:val="none"/>
              </w:rPr>
              <w:t>电子邮箱:</w:t>
            </w:r>
          </w:p>
        </w:tc>
        <w:tc>
          <w:tcPr>
            <w:tcW w:w="0" w:type="auto"/>
            <w:noWrap w:val="0"/>
            <w:tcMar>
              <w:top w:w="15" w:type="dxa"/>
              <w:left w:w="15" w:type="dxa"/>
              <w:bottom w:w="15" w:type="dxa"/>
              <w:right w:w="15" w:type="dxa"/>
            </w:tcMar>
            <w:vAlign w:val="center"/>
          </w:tcPr>
          <w:p w14:paraId="213C65D7">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p>
        </w:tc>
      </w:tr>
      <w:tr w14:paraId="2D353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noWrap w:val="0"/>
            <w:tcMar>
              <w:top w:w="15" w:type="dxa"/>
              <w:left w:w="15" w:type="dxa"/>
              <w:bottom w:w="15" w:type="dxa"/>
              <w:right w:w="15" w:type="dxa"/>
            </w:tcMar>
            <w:vAlign w:val="center"/>
          </w:tcPr>
          <w:p w14:paraId="3BE54EDA">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r>
              <w:rPr>
                <w:rFonts w:hint="default"/>
                <w:color w:val="auto"/>
                <w:highlight w:val="none"/>
              </w:rPr>
              <w:t>网址:</w:t>
            </w:r>
          </w:p>
        </w:tc>
        <w:tc>
          <w:tcPr>
            <w:tcW w:w="0" w:type="auto"/>
            <w:noWrap w:val="0"/>
            <w:tcMar>
              <w:top w:w="15" w:type="dxa"/>
              <w:left w:w="15" w:type="dxa"/>
              <w:bottom w:w="15" w:type="dxa"/>
              <w:right w:w="15" w:type="dxa"/>
            </w:tcMar>
            <w:vAlign w:val="center"/>
          </w:tcPr>
          <w:p w14:paraId="73B592CE">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p>
        </w:tc>
        <w:tc>
          <w:tcPr>
            <w:tcW w:w="0" w:type="auto"/>
            <w:noWrap w:val="0"/>
            <w:tcMar>
              <w:top w:w="15" w:type="dxa"/>
              <w:left w:w="15" w:type="dxa"/>
              <w:bottom w:w="15" w:type="dxa"/>
              <w:right w:w="15" w:type="dxa"/>
            </w:tcMar>
            <w:vAlign w:val="center"/>
          </w:tcPr>
          <w:p w14:paraId="601F6C9F">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r>
              <w:rPr>
                <w:rFonts w:hint="default"/>
                <w:color w:val="auto"/>
                <w:highlight w:val="none"/>
              </w:rPr>
              <w:t>网址:</w:t>
            </w:r>
          </w:p>
        </w:tc>
        <w:tc>
          <w:tcPr>
            <w:tcW w:w="0" w:type="auto"/>
            <w:noWrap w:val="0"/>
            <w:tcMar>
              <w:top w:w="15" w:type="dxa"/>
              <w:left w:w="15" w:type="dxa"/>
              <w:bottom w:w="15" w:type="dxa"/>
              <w:right w:w="15" w:type="dxa"/>
            </w:tcMar>
            <w:vAlign w:val="center"/>
          </w:tcPr>
          <w:p w14:paraId="6D1A2032">
            <w:pPr>
              <w:pStyle w:val="28"/>
              <w:keepNext w:val="0"/>
              <w:keepLines w:val="0"/>
              <w:suppressLineNumbers w:val="0"/>
              <w:pBdr>
                <w:top w:val="none" w:color="auto" w:sz="0" w:space="0"/>
                <w:left w:val="none" w:color="auto" w:sz="0" w:space="0"/>
                <w:bottom w:val="none" w:color="auto" w:sz="0" w:space="1"/>
                <w:right w:val="none" w:color="auto" w:sz="0" w:space="0"/>
                <w:between w:val="none" w:color="auto" w:sz="0" w:space="0"/>
              </w:pBdr>
              <w:spacing w:before="0" w:beforeAutospacing="0" w:after="0" w:afterAutospacing="0"/>
              <w:ind w:left="0" w:right="0"/>
              <w:rPr>
                <w:rFonts w:hint="default"/>
                <w:color w:val="auto"/>
                <w:highlight w:val="none"/>
              </w:rPr>
            </w:pPr>
          </w:p>
        </w:tc>
      </w:tr>
    </w:tbl>
    <w:p w14:paraId="126D66F1">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0F9EDA9A">
      <w:pPr>
        <w:pStyle w:val="28"/>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招标人（或招标代理机构）法定代表人（或其授权项目负责人）：</w:t>
      </w:r>
      <w:r>
        <w:rPr>
          <w:rFonts w:hint="eastAsia"/>
          <w:color w:val="auto"/>
          <w:sz w:val="21"/>
          <w:szCs w:val="21"/>
          <w:highlight w:val="none"/>
          <w:u w:val="single"/>
          <w:lang w:val="en-US" w:eastAsia="zh-CN"/>
        </w:rPr>
        <w:t>（签名）</w:t>
      </w:r>
    </w:p>
    <w:p w14:paraId="57501AD6">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19CD5F21">
      <w:pPr>
        <w:pBdr>
          <w:top w:val="none" w:color="auto" w:sz="0" w:space="0"/>
          <w:left w:val="none" w:color="auto" w:sz="0" w:space="0"/>
          <w:bottom w:val="none" w:color="auto" w:sz="0" w:space="0"/>
          <w:right w:val="none" w:color="auto" w:sz="0" w:space="0"/>
          <w:between w:val="none" w:color="auto" w:sz="0" w:space="0"/>
        </w:pBdr>
        <w:spacing w:line="360" w:lineRule="auto"/>
        <w:rPr>
          <w:color w:val="auto"/>
          <w:highlight w:val="none"/>
        </w:rPr>
      </w:pPr>
    </w:p>
    <w:p w14:paraId="63000870">
      <w:pPr>
        <w:pStyle w:val="3"/>
        <w:jc w:val="center"/>
        <w:rPr>
          <w:color w:val="auto"/>
          <w:highlight w:val="none"/>
        </w:rPr>
      </w:pPr>
      <w:bookmarkStart w:id="65" w:name="_Toc78449619"/>
      <w:bookmarkStart w:id="66" w:name="_Toc13360"/>
      <w:bookmarkStart w:id="67" w:name="_Toc521967382"/>
      <w:bookmarkStart w:id="68" w:name="_Toc389065143"/>
      <w:bookmarkStart w:id="69" w:name="_Toc407135075"/>
      <w:r>
        <w:rPr>
          <w:rFonts w:hint="eastAsia" w:cs="黑体"/>
          <w:color w:val="auto"/>
          <w:highlight w:val="none"/>
        </w:rPr>
        <w:t>第二章</w:t>
      </w:r>
      <w:r>
        <w:rPr>
          <w:color w:val="auto"/>
          <w:highlight w:val="none"/>
        </w:rPr>
        <w:t xml:space="preserve">  </w:t>
      </w:r>
      <w:r>
        <w:rPr>
          <w:rFonts w:hint="eastAsia" w:cs="黑体"/>
          <w:color w:val="auto"/>
          <w:highlight w:val="none"/>
        </w:rPr>
        <w:t>投标人须知</w:t>
      </w:r>
      <w:bookmarkEnd w:id="65"/>
      <w:bookmarkEnd w:id="66"/>
      <w:bookmarkEnd w:id="67"/>
    </w:p>
    <w:p w14:paraId="54C97697">
      <w:pPr>
        <w:pStyle w:val="3"/>
        <w:jc w:val="center"/>
        <w:rPr>
          <w:color w:val="auto"/>
          <w:highlight w:val="none"/>
        </w:rPr>
      </w:pPr>
      <w:bookmarkStart w:id="70" w:name="_Toc32659"/>
      <w:bookmarkStart w:id="71" w:name="_Toc1768961744"/>
      <w:bookmarkStart w:id="72" w:name="_Toc78449620"/>
      <w:r>
        <w:rPr>
          <w:rFonts w:hint="eastAsia" w:cs="黑体"/>
          <w:color w:val="auto"/>
          <w:highlight w:val="none"/>
        </w:rPr>
        <w:t>投标人须知前附表</w:t>
      </w:r>
      <w:bookmarkEnd w:id="68"/>
      <w:bookmarkEnd w:id="69"/>
      <w:bookmarkEnd w:id="70"/>
      <w:bookmarkEnd w:id="71"/>
      <w:bookmarkEnd w:id="72"/>
    </w:p>
    <w:tbl>
      <w:tblPr>
        <w:tblStyle w:val="41"/>
        <w:tblW w:w="9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
        <w:gridCol w:w="3667"/>
        <w:gridCol w:w="4409"/>
        <w:gridCol w:w="64"/>
      </w:tblGrid>
      <w:tr w14:paraId="2201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71" w:hRule="atLeast"/>
          <w:tblHeader/>
          <w:jc w:val="center"/>
        </w:trPr>
        <w:tc>
          <w:tcPr>
            <w:tcW w:w="1247" w:type="dxa"/>
            <w:shd w:val="clear" w:color="auto" w:fill="E6E6E6"/>
            <w:noWrap w:val="0"/>
            <w:vAlign w:val="center"/>
          </w:tcPr>
          <w:p w14:paraId="317DB9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b/>
                <w:bCs/>
                <w:color w:val="auto"/>
                <w:highlight w:val="none"/>
              </w:rPr>
            </w:pPr>
            <w:r>
              <w:rPr>
                <w:rFonts w:hint="eastAsia" w:ascii="Calibri" w:hAnsi="Calibri" w:eastAsia="宋体" w:cs="宋体"/>
                <w:b/>
                <w:bCs/>
                <w:color w:val="auto"/>
                <w:highlight w:val="none"/>
              </w:rPr>
              <w:t>条款号</w:t>
            </w:r>
          </w:p>
        </w:tc>
        <w:tc>
          <w:tcPr>
            <w:tcW w:w="3674" w:type="dxa"/>
            <w:gridSpan w:val="2"/>
            <w:shd w:val="clear" w:color="auto" w:fill="E6E6E6"/>
            <w:noWrap w:val="0"/>
            <w:vAlign w:val="center"/>
          </w:tcPr>
          <w:p w14:paraId="2A6ED5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b/>
                <w:bCs/>
                <w:color w:val="auto"/>
                <w:highlight w:val="none"/>
              </w:rPr>
            </w:pPr>
            <w:r>
              <w:rPr>
                <w:rFonts w:hint="eastAsia" w:ascii="Calibri" w:hAnsi="Calibri" w:eastAsia="宋体" w:cs="宋体"/>
                <w:b/>
                <w:bCs/>
                <w:color w:val="auto"/>
                <w:highlight w:val="none"/>
              </w:rPr>
              <w:t>条</w:t>
            </w:r>
            <w:r>
              <w:rPr>
                <w:rFonts w:hint="default" w:ascii="Calibri" w:hAnsi="Calibri" w:eastAsia="宋体" w:cs="Times New Roman"/>
                <w:b/>
                <w:bCs/>
                <w:color w:val="auto"/>
                <w:highlight w:val="none"/>
              </w:rPr>
              <w:t xml:space="preserve">  </w:t>
            </w:r>
            <w:r>
              <w:rPr>
                <w:rFonts w:hint="eastAsia" w:ascii="Calibri" w:hAnsi="Calibri" w:eastAsia="宋体" w:cs="宋体"/>
                <w:b/>
                <w:bCs/>
                <w:color w:val="auto"/>
                <w:highlight w:val="none"/>
              </w:rPr>
              <w:t>款</w:t>
            </w:r>
            <w:r>
              <w:rPr>
                <w:rFonts w:hint="default" w:ascii="Calibri" w:hAnsi="Calibri" w:eastAsia="宋体" w:cs="Times New Roman"/>
                <w:b/>
                <w:bCs/>
                <w:color w:val="auto"/>
                <w:highlight w:val="none"/>
              </w:rPr>
              <w:t xml:space="preserve">  </w:t>
            </w:r>
            <w:r>
              <w:rPr>
                <w:rFonts w:hint="eastAsia" w:ascii="Calibri" w:hAnsi="Calibri" w:eastAsia="宋体" w:cs="宋体"/>
                <w:b/>
                <w:bCs/>
                <w:color w:val="auto"/>
                <w:highlight w:val="none"/>
              </w:rPr>
              <w:t>名</w:t>
            </w:r>
            <w:r>
              <w:rPr>
                <w:rFonts w:hint="default" w:ascii="Calibri" w:hAnsi="Calibri" w:eastAsia="宋体" w:cs="Times New Roman"/>
                <w:b/>
                <w:bCs/>
                <w:color w:val="auto"/>
                <w:highlight w:val="none"/>
              </w:rPr>
              <w:t xml:space="preserve">  </w:t>
            </w:r>
            <w:r>
              <w:rPr>
                <w:rFonts w:hint="eastAsia" w:ascii="Calibri" w:hAnsi="Calibri" w:eastAsia="宋体" w:cs="宋体"/>
                <w:b/>
                <w:bCs/>
                <w:color w:val="auto"/>
                <w:highlight w:val="none"/>
              </w:rPr>
              <w:t>称</w:t>
            </w:r>
          </w:p>
        </w:tc>
        <w:tc>
          <w:tcPr>
            <w:tcW w:w="4409" w:type="dxa"/>
            <w:shd w:val="clear" w:color="auto" w:fill="E6E6E6"/>
            <w:noWrap w:val="0"/>
            <w:vAlign w:val="center"/>
          </w:tcPr>
          <w:p w14:paraId="5F5B56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b/>
                <w:bCs/>
                <w:color w:val="auto"/>
                <w:highlight w:val="none"/>
              </w:rPr>
            </w:pPr>
            <w:r>
              <w:rPr>
                <w:rFonts w:hint="eastAsia" w:ascii="Calibri" w:hAnsi="Calibri" w:eastAsia="宋体" w:cs="宋体"/>
                <w:b/>
                <w:bCs/>
                <w:color w:val="auto"/>
                <w:highlight w:val="none"/>
              </w:rPr>
              <w:t>编</w:t>
            </w:r>
            <w:r>
              <w:rPr>
                <w:rFonts w:hint="default" w:ascii="Calibri" w:hAnsi="Calibri" w:eastAsia="宋体" w:cs="Times New Roman"/>
                <w:b/>
                <w:bCs/>
                <w:color w:val="auto"/>
                <w:highlight w:val="none"/>
              </w:rPr>
              <w:t xml:space="preserve">  </w:t>
            </w:r>
            <w:r>
              <w:rPr>
                <w:rFonts w:hint="eastAsia" w:ascii="Calibri" w:hAnsi="Calibri" w:eastAsia="宋体" w:cs="宋体"/>
                <w:b/>
                <w:bCs/>
                <w:color w:val="auto"/>
                <w:highlight w:val="none"/>
              </w:rPr>
              <w:t>列</w:t>
            </w:r>
            <w:r>
              <w:rPr>
                <w:rFonts w:hint="default" w:ascii="Calibri" w:hAnsi="Calibri" w:eastAsia="宋体" w:cs="Times New Roman"/>
                <w:b/>
                <w:bCs/>
                <w:color w:val="auto"/>
                <w:highlight w:val="none"/>
              </w:rPr>
              <w:t xml:space="preserve">  </w:t>
            </w:r>
            <w:r>
              <w:rPr>
                <w:rFonts w:hint="eastAsia" w:ascii="Calibri" w:hAnsi="Calibri" w:eastAsia="宋体" w:cs="宋体"/>
                <w:b/>
                <w:bCs/>
                <w:color w:val="auto"/>
                <w:highlight w:val="none"/>
              </w:rPr>
              <w:t>内</w:t>
            </w:r>
            <w:r>
              <w:rPr>
                <w:rFonts w:hint="default" w:ascii="Calibri" w:hAnsi="Calibri" w:eastAsia="宋体" w:cs="Times New Roman"/>
                <w:b/>
                <w:bCs/>
                <w:color w:val="auto"/>
                <w:highlight w:val="none"/>
              </w:rPr>
              <w:t xml:space="preserve">  </w:t>
            </w:r>
            <w:r>
              <w:rPr>
                <w:rFonts w:hint="eastAsia" w:ascii="Calibri" w:hAnsi="Calibri" w:eastAsia="宋体" w:cs="宋体"/>
                <w:b/>
                <w:bCs/>
                <w:color w:val="auto"/>
                <w:highlight w:val="none"/>
              </w:rPr>
              <w:t>容</w:t>
            </w:r>
          </w:p>
        </w:tc>
      </w:tr>
      <w:tr w14:paraId="5CBD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2091" w:hRule="atLeast"/>
          <w:jc w:val="center"/>
        </w:trPr>
        <w:tc>
          <w:tcPr>
            <w:tcW w:w="1247" w:type="dxa"/>
            <w:noWrap w:val="0"/>
            <w:vAlign w:val="center"/>
          </w:tcPr>
          <w:p w14:paraId="132D6C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1.1.2</w:t>
            </w:r>
          </w:p>
        </w:tc>
        <w:tc>
          <w:tcPr>
            <w:tcW w:w="3674" w:type="dxa"/>
            <w:gridSpan w:val="2"/>
            <w:noWrap w:val="0"/>
            <w:vAlign w:val="center"/>
          </w:tcPr>
          <w:p w14:paraId="07A06A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招标人</w:t>
            </w:r>
          </w:p>
        </w:tc>
        <w:tc>
          <w:tcPr>
            <w:tcW w:w="4409" w:type="dxa"/>
            <w:noWrap w:val="0"/>
            <w:vAlign w:val="center"/>
          </w:tcPr>
          <w:p w14:paraId="47FDCD8A">
            <w:pPr>
              <w:keepNext w:val="0"/>
              <w:keepLines w:val="0"/>
              <w:suppressLineNumbers w:val="0"/>
              <w:spacing w:before="0" w:beforeAutospacing="0" w:after="0" w:afterAutospacing="0" w:line="360" w:lineRule="auto"/>
              <w:ind w:left="0" w:right="0"/>
              <w:rPr>
                <w:rFonts w:hint="eastAsia" w:cs="宋体"/>
                <w:color w:val="auto"/>
              </w:rPr>
            </w:pPr>
            <w:r>
              <w:rPr>
                <w:rFonts w:hint="eastAsia" w:cs="宋体"/>
                <w:color w:val="auto"/>
                <w:highlight w:val="white"/>
              </w:rPr>
              <w:t>名称：</w:t>
            </w:r>
          </w:p>
          <w:p w14:paraId="6C2E7ACA">
            <w:pPr>
              <w:keepNext w:val="0"/>
              <w:keepLines w:val="0"/>
              <w:suppressLineNumbers w:val="0"/>
              <w:spacing w:before="0" w:beforeAutospacing="0" w:after="0" w:afterAutospacing="0" w:line="360" w:lineRule="auto"/>
              <w:ind w:left="0" w:right="0"/>
              <w:rPr>
                <w:rFonts w:hint="eastAsia" w:eastAsia="宋体"/>
                <w:color w:val="auto"/>
                <w:highlight w:val="green"/>
                <w:lang w:eastAsia="zh-CN"/>
              </w:rPr>
            </w:pPr>
            <w:r>
              <w:rPr>
                <w:rFonts w:hint="eastAsia"/>
                <w:color w:val="auto"/>
                <w:highlight w:val="white"/>
                <w:lang w:eastAsia="zh-CN"/>
              </w:rPr>
              <w:t>广西警察学院</w:t>
            </w:r>
          </w:p>
          <w:p w14:paraId="2E2B533D">
            <w:pPr>
              <w:keepNext w:val="0"/>
              <w:keepLines w:val="0"/>
              <w:suppressLineNumbers w:val="0"/>
              <w:spacing w:before="0" w:beforeAutospacing="0" w:after="0" w:afterAutospacing="0" w:line="360" w:lineRule="auto"/>
              <w:ind w:left="0" w:right="0"/>
              <w:rPr>
                <w:rFonts w:hint="eastAsia" w:cs="宋体"/>
                <w:color w:val="auto"/>
              </w:rPr>
            </w:pPr>
            <w:r>
              <w:rPr>
                <w:rFonts w:hint="eastAsia" w:cs="宋体"/>
                <w:color w:val="auto"/>
                <w:highlight w:val="white"/>
              </w:rPr>
              <w:t>地址：</w:t>
            </w:r>
          </w:p>
          <w:p w14:paraId="18885E02">
            <w:pPr>
              <w:keepNext w:val="0"/>
              <w:keepLines w:val="0"/>
              <w:suppressLineNumbers w:val="0"/>
              <w:spacing w:before="0" w:beforeAutospacing="0" w:after="0" w:afterAutospacing="0" w:line="360" w:lineRule="auto"/>
              <w:ind w:left="0" w:right="0"/>
              <w:rPr>
                <w:rFonts w:hint="eastAsia" w:eastAsia="宋体"/>
                <w:color w:val="auto"/>
                <w:highlight w:val="green"/>
                <w:lang w:eastAsia="zh-CN"/>
              </w:rPr>
            </w:pPr>
            <w:r>
              <w:rPr>
                <w:rFonts w:hint="eastAsia"/>
                <w:color w:val="auto"/>
                <w:highlight w:val="white"/>
                <w:lang w:eastAsia="zh-CN"/>
              </w:rPr>
              <w:t>广西南宁市青秀区军堂路6号</w:t>
            </w:r>
          </w:p>
          <w:p w14:paraId="74BFED3B">
            <w:pPr>
              <w:keepNext w:val="0"/>
              <w:keepLines w:val="0"/>
              <w:suppressLineNumbers w:val="0"/>
              <w:spacing w:before="0" w:beforeAutospacing="0" w:after="0" w:afterAutospacing="0" w:line="360" w:lineRule="auto"/>
              <w:ind w:left="0" w:right="0"/>
              <w:rPr>
                <w:rFonts w:hint="eastAsia" w:cs="宋体"/>
                <w:color w:val="auto"/>
              </w:rPr>
            </w:pPr>
            <w:r>
              <w:rPr>
                <w:rFonts w:hint="eastAsia" w:cs="宋体"/>
                <w:color w:val="auto"/>
                <w:highlight w:val="white"/>
              </w:rPr>
              <w:t>联系人：</w:t>
            </w:r>
          </w:p>
          <w:p w14:paraId="6D2DB776">
            <w:pPr>
              <w:keepNext w:val="0"/>
              <w:keepLines w:val="0"/>
              <w:suppressLineNumbers w:val="0"/>
              <w:spacing w:before="0" w:beforeAutospacing="0" w:after="0" w:afterAutospacing="0" w:line="360" w:lineRule="auto"/>
              <w:ind w:left="0" w:right="0"/>
              <w:rPr>
                <w:rFonts w:hint="eastAsia" w:eastAsia="宋体"/>
                <w:color w:val="auto"/>
                <w:highlight w:val="green"/>
                <w:lang w:eastAsia="zh-CN"/>
              </w:rPr>
            </w:pPr>
            <w:r>
              <w:rPr>
                <w:rFonts w:hint="eastAsia"/>
                <w:color w:val="auto"/>
                <w:highlight w:val="white"/>
                <w:lang w:eastAsia="zh-CN"/>
              </w:rPr>
              <w:t>陶锋</w:t>
            </w:r>
          </w:p>
          <w:p w14:paraId="107A61A1">
            <w:pPr>
              <w:keepNext w:val="0"/>
              <w:keepLines w:val="0"/>
              <w:suppressLineNumbers w:val="0"/>
              <w:spacing w:before="0" w:beforeAutospacing="0" w:after="0" w:afterAutospacing="0" w:line="360" w:lineRule="auto"/>
              <w:ind w:left="0" w:right="0"/>
              <w:rPr>
                <w:rFonts w:hint="eastAsia" w:cs="宋体"/>
                <w:color w:val="auto"/>
              </w:rPr>
            </w:pPr>
            <w:r>
              <w:rPr>
                <w:rFonts w:hint="eastAsia" w:cs="宋体"/>
                <w:color w:val="auto"/>
                <w:highlight w:val="white"/>
              </w:rPr>
              <w:t>电话：</w:t>
            </w:r>
          </w:p>
          <w:p w14:paraId="066380EA">
            <w:pPr>
              <w:keepNext w:val="0"/>
              <w:keepLines w:val="0"/>
              <w:suppressLineNumbers w:val="0"/>
              <w:spacing w:before="0" w:beforeAutospacing="0" w:after="0" w:afterAutospacing="0" w:line="360" w:lineRule="auto"/>
              <w:ind w:left="0" w:right="0"/>
              <w:rPr>
                <w:rFonts w:hint="eastAsia" w:eastAsia="宋体"/>
                <w:color w:val="auto"/>
                <w:highlight w:val="green"/>
                <w:lang w:eastAsia="zh-CN"/>
              </w:rPr>
            </w:pPr>
            <w:r>
              <w:rPr>
                <w:rFonts w:hint="eastAsia"/>
                <w:color w:val="auto"/>
                <w:highlight w:val="white"/>
                <w:lang w:eastAsia="zh-CN"/>
              </w:rPr>
              <w:t>0771-5615802</w:t>
            </w:r>
          </w:p>
          <w:p w14:paraId="55E74700">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cs="宋体"/>
                <w:color w:val="auto"/>
                <w:highlight w:val="white"/>
              </w:rPr>
              <w:t>电子邮箱：</w:t>
            </w:r>
          </w:p>
        </w:tc>
      </w:tr>
      <w:tr w14:paraId="0AEA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1980" w:hRule="atLeast"/>
          <w:jc w:val="center"/>
        </w:trPr>
        <w:tc>
          <w:tcPr>
            <w:tcW w:w="1247" w:type="dxa"/>
            <w:noWrap w:val="0"/>
            <w:vAlign w:val="center"/>
          </w:tcPr>
          <w:p w14:paraId="339030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1.1.3</w:t>
            </w:r>
          </w:p>
        </w:tc>
        <w:tc>
          <w:tcPr>
            <w:tcW w:w="3674" w:type="dxa"/>
            <w:gridSpan w:val="2"/>
            <w:noWrap w:val="0"/>
            <w:vAlign w:val="center"/>
          </w:tcPr>
          <w:p w14:paraId="444E5C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招标代理机构</w:t>
            </w:r>
          </w:p>
        </w:tc>
        <w:tc>
          <w:tcPr>
            <w:tcW w:w="4409" w:type="dxa"/>
            <w:noWrap w:val="0"/>
            <w:vAlign w:val="center"/>
          </w:tcPr>
          <w:p w14:paraId="17B4373F">
            <w:pPr>
              <w:keepNext w:val="0"/>
              <w:keepLines w:val="0"/>
              <w:suppressLineNumbers w:val="0"/>
              <w:spacing w:before="0" w:beforeAutospacing="0" w:after="0" w:afterAutospacing="0" w:line="360" w:lineRule="auto"/>
              <w:ind w:left="0" w:right="0"/>
              <w:rPr>
                <w:rFonts w:hint="eastAsia" w:cs="宋体"/>
                <w:color w:val="auto"/>
              </w:rPr>
            </w:pPr>
            <w:r>
              <w:rPr>
                <w:rFonts w:hint="eastAsia" w:cs="宋体"/>
                <w:color w:val="auto"/>
                <w:highlight w:val="white"/>
              </w:rPr>
              <w:t>名称：</w:t>
            </w:r>
          </w:p>
          <w:p w14:paraId="790982A2">
            <w:pPr>
              <w:keepNext w:val="0"/>
              <w:keepLines w:val="0"/>
              <w:suppressLineNumbers w:val="0"/>
              <w:spacing w:before="0" w:beforeAutospacing="0" w:after="0" w:afterAutospacing="0" w:line="360" w:lineRule="auto"/>
              <w:ind w:left="0" w:right="0"/>
              <w:rPr>
                <w:rFonts w:hint="default"/>
                <w:color w:val="auto"/>
                <w:highlight w:val="green"/>
              </w:rPr>
            </w:pPr>
            <w:r>
              <w:rPr>
                <w:rFonts w:hint="eastAsia"/>
                <w:color w:val="auto"/>
                <w:highlight w:val="white"/>
              </w:rPr>
              <w:t>广西建设工程机电设备招标中心有限公司</w:t>
            </w:r>
          </w:p>
          <w:p w14:paraId="15053C5E">
            <w:pPr>
              <w:keepNext w:val="0"/>
              <w:keepLines w:val="0"/>
              <w:suppressLineNumbers w:val="0"/>
              <w:spacing w:before="0" w:beforeAutospacing="0" w:after="0" w:afterAutospacing="0" w:line="360" w:lineRule="auto"/>
              <w:ind w:left="0" w:right="0"/>
              <w:rPr>
                <w:rFonts w:hint="eastAsia" w:cs="宋体"/>
                <w:color w:val="auto"/>
              </w:rPr>
            </w:pPr>
            <w:r>
              <w:rPr>
                <w:rFonts w:hint="eastAsia" w:cs="宋体"/>
                <w:color w:val="auto"/>
                <w:highlight w:val="white"/>
              </w:rPr>
              <w:t>地址：</w:t>
            </w:r>
          </w:p>
          <w:p w14:paraId="4B439A92">
            <w:pPr>
              <w:keepNext w:val="0"/>
              <w:keepLines w:val="0"/>
              <w:suppressLineNumbers w:val="0"/>
              <w:spacing w:before="0" w:beforeAutospacing="0" w:after="0" w:afterAutospacing="0" w:line="360" w:lineRule="auto"/>
              <w:ind w:left="0" w:right="0"/>
              <w:rPr>
                <w:rFonts w:hint="default"/>
                <w:color w:val="auto"/>
                <w:highlight w:val="green"/>
              </w:rPr>
            </w:pPr>
            <w:r>
              <w:rPr>
                <w:rFonts w:hint="eastAsia"/>
                <w:color w:val="auto"/>
                <w:highlight w:val="white"/>
              </w:rPr>
              <w:t>南宁市青秀区枫林路18号广西国控集团（枫林路办公区）裙楼三层</w:t>
            </w:r>
          </w:p>
          <w:p w14:paraId="24655F3A">
            <w:pPr>
              <w:keepNext w:val="0"/>
              <w:keepLines w:val="0"/>
              <w:suppressLineNumbers w:val="0"/>
              <w:spacing w:before="0" w:beforeAutospacing="0" w:after="0" w:afterAutospacing="0" w:line="360" w:lineRule="auto"/>
              <w:ind w:left="0" w:right="0"/>
              <w:rPr>
                <w:rFonts w:hint="eastAsia" w:cs="宋体"/>
                <w:color w:val="auto"/>
              </w:rPr>
            </w:pPr>
            <w:r>
              <w:rPr>
                <w:rFonts w:hint="eastAsia" w:cs="宋体"/>
                <w:color w:val="auto"/>
                <w:highlight w:val="white"/>
              </w:rPr>
              <w:t>联系人：</w:t>
            </w:r>
          </w:p>
          <w:p w14:paraId="790AC89F">
            <w:pPr>
              <w:keepNext w:val="0"/>
              <w:keepLines w:val="0"/>
              <w:suppressLineNumbers w:val="0"/>
              <w:spacing w:before="0" w:beforeAutospacing="0" w:after="0" w:afterAutospacing="0" w:line="360" w:lineRule="auto"/>
              <w:ind w:left="0" w:right="0"/>
              <w:rPr>
                <w:rFonts w:hint="eastAsia" w:eastAsia="宋体"/>
                <w:color w:val="auto"/>
                <w:highlight w:val="green"/>
                <w:lang w:eastAsia="zh-CN"/>
              </w:rPr>
            </w:pPr>
            <w:r>
              <w:rPr>
                <w:rFonts w:hint="eastAsia"/>
                <w:color w:val="auto"/>
                <w:highlight w:val="white"/>
                <w:lang w:eastAsia="zh-CN"/>
              </w:rPr>
              <w:t>庞雄庆</w:t>
            </w:r>
          </w:p>
          <w:p w14:paraId="2A0F673F">
            <w:pPr>
              <w:keepNext w:val="0"/>
              <w:keepLines w:val="0"/>
              <w:suppressLineNumbers w:val="0"/>
              <w:spacing w:before="0" w:beforeAutospacing="0" w:after="0" w:afterAutospacing="0" w:line="360" w:lineRule="auto"/>
              <w:ind w:left="0" w:right="0"/>
              <w:rPr>
                <w:rFonts w:hint="eastAsia" w:cs="宋体"/>
                <w:color w:val="auto"/>
              </w:rPr>
            </w:pPr>
            <w:r>
              <w:rPr>
                <w:rFonts w:hint="eastAsia" w:cs="宋体"/>
                <w:color w:val="auto"/>
                <w:highlight w:val="white"/>
              </w:rPr>
              <w:t>电话：</w:t>
            </w:r>
          </w:p>
          <w:p w14:paraId="5C358E11">
            <w:pPr>
              <w:keepNext w:val="0"/>
              <w:keepLines w:val="0"/>
              <w:suppressLineNumbers w:val="0"/>
              <w:spacing w:before="0" w:beforeAutospacing="0" w:after="0" w:afterAutospacing="0" w:line="360" w:lineRule="auto"/>
              <w:ind w:left="0" w:right="0"/>
              <w:rPr>
                <w:rFonts w:hint="eastAsia" w:eastAsia="宋体"/>
                <w:color w:val="auto"/>
                <w:highlight w:val="green"/>
                <w:lang w:eastAsia="zh-CN"/>
              </w:rPr>
            </w:pPr>
            <w:r>
              <w:rPr>
                <w:rFonts w:hint="eastAsia"/>
                <w:color w:val="auto"/>
                <w:highlight w:val="white"/>
                <w:lang w:eastAsia="zh-CN"/>
              </w:rPr>
              <w:t>0771-2869912</w:t>
            </w:r>
          </w:p>
          <w:p w14:paraId="3F7E183B">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cs="宋体"/>
                <w:color w:val="auto"/>
                <w:highlight w:val="white"/>
              </w:rPr>
              <w:t>电子邮箱：</w:t>
            </w:r>
          </w:p>
        </w:tc>
      </w:tr>
      <w:tr w14:paraId="259F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734" w:hRule="exact"/>
          <w:jc w:val="center"/>
        </w:trPr>
        <w:tc>
          <w:tcPr>
            <w:tcW w:w="1247" w:type="dxa"/>
            <w:noWrap w:val="0"/>
            <w:vAlign w:val="center"/>
          </w:tcPr>
          <w:p w14:paraId="702193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1.1.4</w:t>
            </w:r>
          </w:p>
        </w:tc>
        <w:tc>
          <w:tcPr>
            <w:tcW w:w="3674" w:type="dxa"/>
            <w:gridSpan w:val="2"/>
            <w:noWrap w:val="0"/>
            <w:vAlign w:val="center"/>
          </w:tcPr>
          <w:p w14:paraId="57D255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lang w:eastAsia="zh-CN"/>
              </w:rPr>
            </w:pPr>
            <w:r>
              <w:rPr>
                <w:rFonts w:hint="eastAsia" w:ascii="Calibri" w:hAnsi="Calibri" w:cs="宋体"/>
                <w:color w:val="auto"/>
                <w:highlight w:val="none"/>
                <w:lang w:val="en-US" w:eastAsia="zh-CN"/>
              </w:rPr>
              <w:t>招标</w:t>
            </w:r>
            <w:r>
              <w:rPr>
                <w:rFonts w:hint="eastAsia" w:ascii="Calibri" w:hAnsi="Calibri" w:eastAsia="宋体" w:cs="宋体"/>
                <w:color w:val="auto"/>
                <w:highlight w:val="none"/>
              </w:rPr>
              <w:t>项目名称及</w:t>
            </w:r>
            <w:r>
              <w:rPr>
                <w:rFonts w:hint="eastAsia" w:ascii="Calibri" w:hAnsi="Calibri" w:eastAsia="宋体" w:cs="宋体"/>
                <w:color w:val="auto"/>
                <w:highlight w:val="none"/>
                <w:lang w:eastAsia="zh-CN"/>
              </w:rPr>
              <w:t>招标项目编号</w:t>
            </w:r>
          </w:p>
        </w:tc>
        <w:tc>
          <w:tcPr>
            <w:tcW w:w="4409" w:type="dxa"/>
            <w:noWrap w:val="0"/>
            <w:vAlign w:val="center"/>
          </w:tcPr>
          <w:p w14:paraId="2E9551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yellow"/>
                <w:u w:val="single"/>
                <w:lang w:val="en-US" w:eastAsia="zh-CN"/>
              </w:rPr>
            </w:pPr>
            <w:r>
              <w:rPr>
                <w:rFonts w:hint="default" w:ascii="Calibri" w:hAnsi="Calibri" w:eastAsia="宋体" w:cs="Times New Roman"/>
                <w:color w:val="auto"/>
                <w:highlight w:val="none"/>
                <w:u w:val="single"/>
                <w:lang w:eastAsia="zh-CN"/>
              </w:rPr>
              <w:t>广西警察学院长湖校区3号学员公寓楼改造工程（重）</w:t>
            </w:r>
            <w:r>
              <w:rPr>
                <w:rFonts w:hint="eastAsia" w:cs="Times New Roman"/>
                <w:color w:val="auto"/>
                <w:highlight w:val="yellow"/>
                <w:lang w:val="en-US" w:eastAsia="zh-CN"/>
              </w:rPr>
              <w:t xml:space="preserve"> </w:t>
            </w:r>
          </w:p>
          <w:p w14:paraId="78D6CB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tc>
      </w:tr>
      <w:tr w14:paraId="0467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54" w:hRule="exact"/>
          <w:jc w:val="center"/>
        </w:trPr>
        <w:tc>
          <w:tcPr>
            <w:tcW w:w="1247" w:type="dxa"/>
            <w:noWrap w:val="0"/>
            <w:vAlign w:val="center"/>
          </w:tcPr>
          <w:p w14:paraId="1F21BF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1.1.5</w:t>
            </w:r>
          </w:p>
        </w:tc>
        <w:tc>
          <w:tcPr>
            <w:tcW w:w="3674" w:type="dxa"/>
            <w:gridSpan w:val="2"/>
            <w:noWrap w:val="0"/>
            <w:vAlign w:val="center"/>
          </w:tcPr>
          <w:p w14:paraId="472F45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建设地点</w:t>
            </w:r>
          </w:p>
        </w:tc>
        <w:tc>
          <w:tcPr>
            <w:tcW w:w="4409" w:type="dxa"/>
            <w:noWrap w:val="0"/>
            <w:vAlign w:val="center"/>
          </w:tcPr>
          <w:p w14:paraId="36ACE6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u w:val="single"/>
                <w:lang w:eastAsia="zh-CN"/>
              </w:rPr>
              <w:t>广西南宁市青秀区长湖路6号</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tc>
      </w:tr>
      <w:tr w14:paraId="5693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54" w:hRule="exact"/>
          <w:jc w:val="center"/>
        </w:trPr>
        <w:tc>
          <w:tcPr>
            <w:tcW w:w="1247" w:type="dxa"/>
            <w:noWrap w:val="0"/>
            <w:vAlign w:val="center"/>
          </w:tcPr>
          <w:p w14:paraId="4D4291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1.2.1</w:t>
            </w:r>
          </w:p>
        </w:tc>
        <w:tc>
          <w:tcPr>
            <w:tcW w:w="3674" w:type="dxa"/>
            <w:gridSpan w:val="2"/>
            <w:noWrap w:val="0"/>
            <w:vAlign w:val="center"/>
          </w:tcPr>
          <w:p w14:paraId="363A5F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资金来源</w:t>
            </w:r>
          </w:p>
        </w:tc>
        <w:tc>
          <w:tcPr>
            <w:tcW w:w="4409" w:type="dxa"/>
            <w:noWrap w:val="0"/>
            <w:vAlign w:val="center"/>
          </w:tcPr>
          <w:p w14:paraId="1C786C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bookmarkStart w:id="73" w:name="EB23ba19ebd1e04783b7118eb235503bdd"/>
            <w:r>
              <w:rPr>
                <w:rFonts w:hint="eastAsia" w:ascii="Calibri" w:hAnsi="Calibri" w:cs="Times New Roman"/>
                <w:color w:val="auto"/>
                <w:highlight w:val="none"/>
                <w:u w:val="single"/>
                <w:lang w:val="en-US" w:eastAsia="zh-CN"/>
              </w:rPr>
              <w:t>财政资金</w:t>
            </w:r>
            <w:bookmarkEnd w:id="73"/>
            <w:r>
              <w:rPr>
                <w:rFonts w:hint="eastAsia" w:ascii="Calibri" w:hAnsi="Calibri" w:cs="Times New Roman"/>
                <w:color w:val="auto"/>
                <w:highlight w:val="none"/>
                <w:u w:val="single"/>
                <w:lang w:val="en-US" w:eastAsia="zh-CN"/>
              </w:rPr>
              <w:t xml:space="preserve">                       </w:t>
            </w:r>
          </w:p>
        </w:tc>
      </w:tr>
      <w:tr w14:paraId="6BC30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54" w:hRule="exact"/>
          <w:jc w:val="center"/>
        </w:trPr>
        <w:tc>
          <w:tcPr>
            <w:tcW w:w="1247" w:type="dxa"/>
            <w:noWrap w:val="0"/>
            <w:vAlign w:val="center"/>
          </w:tcPr>
          <w:p w14:paraId="2A2655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1.2.2</w:t>
            </w:r>
          </w:p>
        </w:tc>
        <w:tc>
          <w:tcPr>
            <w:tcW w:w="3674" w:type="dxa"/>
            <w:gridSpan w:val="2"/>
            <w:noWrap w:val="0"/>
            <w:vAlign w:val="center"/>
          </w:tcPr>
          <w:p w14:paraId="1D3D95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出资比例</w:t>
            </w:r>
          </w:p>
        </w:tc>
        <w:tc>
          <w:tcPr>
            <w:tcW w:w="4409" w:type="dxa"/>
            <w:noWrap w:val="0"/>
            <w:vAlign w:val="center"/>
          </w:tcPr>
          <w:p w14:paraId="460CDD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bookmarkStart w:id="74" w:name="EB4de40b8cbb224ef1a8d75443a3e74caa"/>
            <w:r>
              <w:rPr>
                <w:rFonts w:hint="eastAsia" w:ascii="Calibri" w:hAnsi="Calibri" w:cs="Times New Roman"/>
                <w:color w:val="auto"/>
                <w:highlight w:val="none"/>
                <w:u w:val="single"/>
                <w:lang w:val="en-US" w:eastAsia="zh-CN"/>
              </w:rPr>
              <w:t>100%</w:t>
            </w:r>
            <w:bookmarkEnd w:id="74"/>
            <w:r>
              <w:rPr>
                <w:rFonts w:hint="eastAsia" w:ascii="Calibri" w:hAnsi="Calibri" w:cs="Times New Roman"/>
                <w:color w:val="auto"/>
                <w:highlight w:val="none"/>
                <w:u w:val="single"/>
                <w:lang w:val="en-US" w:eastAsia="zh-CN"/>
              </w:rPr>
              <w:t xml:space="preserve">                          </w:t>
            </w:r>
          </w:p>
        </w:tc>
      </w:tr>
      <w:tr w14:paraId="6716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54" w:hRule="exact"/>
          <w:jc w:val="center"/>
        </w:trPr>
        <w:tc>
          <w:tcPr>
            <w:tcW w:w="1247" w:type="dxa"/>
            <w:noWrap w:val="0"/>
            <w:vAlign w:val="center"/>
          </w:tcPr>
          <w:p w14:paraId="52BFB3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1.2.3</w:t>
            </w:r>
          </w:p>
        </w:tc>
        <w:tc>
          <w:tcPr>
            <w:tcW w:w="3674" w:type="dxa"/>
            <w:gridSpan w:val="2"/>
            <w:noWrap w:val="0"/>
            <w:vAlign w:val="center"/>
          </w:tcPr>
          <w:p w14:paraId="7F1348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资金落实情况</w:t>
            </w:r>
          </w:p>
        </w:tc>
        <w:tc>
          <w:tcPr>
            <w:tcW w:w="4409" w:type="dxa"/>
            <w:noWrap w:val="0"/>
            <w:vAlign w:val="center"/>
          </w:tcPr>
          <w:p w14:paraId="7ABE45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bookmarkStart w:id="75" w:name="EBa6254590ce3e4141819dba38843cf18c"/>
            <w:r>
              <w:rPr>
                <w:rFonts w:hint="eastAsia" w:ascii="Calibri" w:hAnsi="Calibri" w:cs="Times New Roman"/>
                <w:color w:val="auto"/>
                <w:highlight w:val="none"/>
                <w:u w:val="single"/>
                <w:lang w:val="en-US" w:eastAsia="zh-CN"/>
              </w:rPr>
              <w:t>已落实</w:t>
            </w:r>
            <w:bookmarkEnd w:id="75"/>
            <w:r>
              <w:rPr>
                <w:rFonts w:hint="eastAsia" w:ascii="Calibri" w:hAnsi="Calibri" w:cs="Times New Roman"/>
                <w:color w:val="auto"/>
                <w:highlight w:val="none"/>
                <w:u w:val="single"/>
                <w:lang w:val="en-US" w:eastAsia="zh-CN"/>
              </w:rPr>
              <w:t xml:space="preserve">                             </w:t>
            </w:r>
          </w:p>
        </w:tc>
      </w:tr>
      <w:tr w14:paraId="0B6E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top"/>
          </w:tcPr>
          <w:p w14:paraId="4F8146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1.3.1</w:t>
            </w:r>
          </w:p>
        </w:tc>
        <w:tc>
          <w:tcPr>
            <w:tcW w:w="3674" w:type="dxa"/>
            <w:gridSpan w:val="2"/>
            <w:noWrap w:val="0"/>
            <w:vAlign w:val="top"/>
          </w:tcPr>
          <w:p w14:paraId="6F7C6D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招标范围</w:t>
            </w:r>
          </w:p>
        </w:tc>
        <w:tc>
          <w:tcPr>
            <w:tcW w:w="4409" w:type="dxa"/>
            <w:noWrap w:val="0"/>
            <w:vAlign w:val="top"/>
          </w:tcPr>
          <w:p w14:paraId="444CC4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bookmarkStart w:id="76" w:name="EBabefe05ea1b8401b849874d4feb7a1f1"/>
            <w:r>
              <w:rPr>
                <w:rFonts w:hint="default" w:ascii="Calibri" w:hAnsi="Calibri" w:eastAsia="宋体" w:cs="Times New Roman"/>
                <w:color w:val="auto"/>
                <w:highlight w:val="none"/>
                <w:u w:val="single"/>
              </w:rPr>
              <w:t>旧地面、旧栏杆等拆除工程，室内外墙面、地面、栏杆、顶棚等装饰装修工程，电气、智能化、给排水等安装工程，外立面装饰工程，室外楼前场地防排水整平等工程。本次招标范围不包含电梯工程。具体按工程量清单及图纸。具体按工程量清单及图纸。</w:t>
            </w:r>
            <w:bookmarkEnd w:id="76"/>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tc>
      </w:tr>
      <w:tr w14:paraId="61C9A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5DA24B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1.3.2</w:t>
            </w:r>
          </w:p>
        </w:tc>
        <w:tc>
          <w:tcPr>
            <w:tcW w:w="3674" w:type="dxa"/>
            <w:gridSpan w:val="2"/>
            <w:noWrap w:val="0"/>
            <w:vAlign w:val="center"/>
          </w:tcPr>
          <w:p w14:paraId="610B2B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要求工期</w:t>
            </w:r>
          </w:p>
        </w:tc>
        <w:tc>
          <w:tcPr>
            <w:tcW w:w="4409" w:type="dxa"/>
            <w:noWrap w:val="0"/>
            <w:vAlign w:val="top"/>
          </w:tcPr>
          <w:p w14:paraId="0A1799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要求工期：</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100</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日历天</w:t>
            </w:r>
          </w:p>
          <w:p w14:paraId="34A219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计划开工日期：</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2026</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8</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1</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w:t>
            </w:r>
          </w:p>
          <w:p w14:paraId="0E337C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计划竣工日期：</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2026</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11</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8</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w:t>
            </w:r>
          </w:p>
          <w:p w14:paraId="034DCE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有关工期的详细要求见第八章</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技术标准和要求</w:t>
            </w:r>
            <w:r>
              <w:rPr>
                <w:rFonts w:hint="eastAsia" w:ascii="Calibri" w:hAnsi="Calibri" w:cs="Times New Roman"/>
                <w:color w:val="auto"/>
                <w:highlight w:val="none"/>
                <w:lang w:eastAsia="zh-CN"/>
              </w:rPr>
              <w:t>”</w:t>
            </w:r>
            <w:r>
              <w:rPr>
                <w:rFonts w:hint="eastAsia" w:ascii="Calibri" w:hAnsi="Calibri" w:eastAsia="宋体" w:cs="宋体"/>
                <w:color w:val="auto"/>
                <w:highlight w:val="none"/>
              </w:rPr>
              <w:t>。</w:t>
            </w:r>
          </w:p>
        </w:tc>
      </w:tr>
      <w:tr w14:paraId="0C065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top"/>
          </w:tcPr>
          <w:p w14:paraId="5D32BD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1.3.3</w:t>
            </w:r>
          </w:p>
        </w:tc>
        <w:tc>
          <w:tcPr>
            <w:tcW w:w="3674" w:type="dxa"/>
            <w:gridSpan w:val="2"/>
            <w:noWrap w:val="0"/>
            <w:vAlign w:val="top"/>
          </w:tcPr>
          <w:p w14:paraId="530123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质量要求</w:t>
            </w:r>
          </w:p>
        </w:tc>
        <w:tc>
          <w:tcPr>
            <w:tcW w:w="4409" w:type="dxa"/>
            <w:noWrap w:val="0"/>
            <w:vAlign w:val="top"/>
          </w:tcPr>
          <w:p w14:paraId="789386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u w:val="single"/>
              </w:rPr>
            </w:pPr>
            <w:r>
              <w:rPr>
                <w:rFonts w:hint="eastAsia" w:ascii="Calibri" w:hAnsi="Calibri" w:eastAsia="宋体" w:cs="宋体"/>
                <w:color w:val="auto"/>
                <w:highlight w:val="none"/>
              </w:rPr>
              <w:t>质量标准：</w:t>
            </w:r>
            <w:bookmarkStart w:id="77" w:name="EBe0b80303b0bc4df8b8619ed33c6c3723"/>
            <w:r>
              <w:rPr>
                <w:rFonts w:hint="eastAsia" w:ascii="Calibri" w:hAnsi="Calibri" w:cs="宋体"/>
                <w:color w:val="auto"/>
                <w:highlight w:val="none"/>
                <w:u w:val="single"/>
                <w:lang w:val="en-US" w:eastAsia="zh-CN"/>
              </w:rPr>
              <w:t>符合国家及行业的验收规范与标准，工程质量合格及以上</w:t>
            </w:r>
            <w:bookmarkEnd w:id="77"/>
            <w:r>
              <w:rPr>
                <w:rFonts w:hint="eastAsia" w:ascii="Calibri" w:hAnsi="Calibri" w:cs="宋体"/>
                <w:color w:val="auto"/>
                <w:highlight w:val="none"/>
                <w:u w:val="single"/>
                <w:lang w:val="en-US" w:eastAsia="zh-CN"/>
              </w:rPr>
              <w:t xml:space="preserve">                       </w:t>
            </w:r>
          </w:p>
        </w:tc>
      </w:tr>
      <w:tr w14:paraId="4A4C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6C6961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1.4.1</w:t>
            </w:r>
          </w:p>
        </w:tc>
        <w:tc>
          <w:tcPr>
            <w:tcW w:w="3674" w:type="dxa"/>
            <w:gridSpan w:val="2"/>
            <w:noWrap w:val="0"/>
            <w:vAlign w:val="center"/>
          </w:tcPr>
          <w:p w14:paraId="6BA22B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投标人资质条件、能力、诚信要求</w:t>
            </w:r>
          </w:p>
        </w:tc>
        <w:tc>
          <w:tcPr>
            <w:tcW w:w="4409" w:type="dxa"/>
            <w:noWrap w:val="0"/>
            <w:vAlign w:val="top"/>
          </w:tcPr>
          <w:p w14:paraId="0DC769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1</w:t>
            </w:r>
            <w:r>
              <w:rPr>
                <w:rFonts w:hint="eastAsia" w:ascii="Calibri" w:hAnsi="Calibri" w:eastAsia="宋体" w:cs="宋体"/>
                <w:color w:val="auto"/>
                <w:highlight w:val="none"/>
              </w:rPr>
              <w:t>）资质条件：</w:t>
            </w:r>
            <w:r>
              <w:rPr>
                <w:rFonts w:hint="eastAsia" w:ascii="Calibri" w:hAnsi="Calibri" w:eastAsia="宋体" w:cs="宋体"/>
                <w:color w:val="auto"/>
                <w:highlight w:val="none"/>
                <w:u w:val="single"/>
              </w:rPr>
              <w:t xml:space="preserve"> </w:t>
            </w:r>
            <w:bookmarkStart w:id="78" w:name="EB3fe6ea3d82034edcabf3bf40fe8b1a62"/>
            <w:r>
              <w:rPr>
                <w:rFonts w:hint="eastAsia" w:ascii="Calibri" w:hAnsi="Calibri" w:eastAsia="宋体" w:cs="宋体"/>
                <w:color w:val="auto"/>
                <w:highlight w:val="none"/>
                <w:u w:val="single"/>
              </w:rPr>
              <w:t>具备建筑工程施工总承包</w:t>
            </w:r>
            <w:r>
              <w:rPr>
                <w:rFonts w:hint="eastAsia" w:ascii="Calibri" w:hAnsi="Calibri" w:eastAsia="宋体" w:cs="宋体"/>
                <w:color w:val="auto"/>
                <w:highlight w:val="none"/>
                <w:u w:val="single"/>
                <w:lang w:val="en-US" w:eastAsia="zh-CN"/>
              </w:rPr>
              <w:t>三</w:t>
            </w:r>
            <w:r>
              <w:rPr>
                <w:rFonts w:hint="eastAsia" w:ascii="Calibri" w:hAnsi="Calibri" w:eastAsia="宋体" w:cs="宋体"/>
                <w:color w:val="auto"/>
                <w:highlight w:val="none"/>
                <w:u w:val="single"/>
              </w:rPr>
              <w:t>级（含</w:t>
            </w:r>
            <w:r>
              <w:rPr>
                <w:rFonts w:hint="eastAsia" w:ascii="Calibri" w:hAnsi="Calibri" w:eastAsia="宋体" w:cs="宋体"/>
                <w:color w:val="auto"/>
                <w:highlight w:val="none"/>
                <w:u w:val="single"/>
                <w:lang w:val="en-US" w:eastAsia="zh-CN"/>
              </w:rPr>
              <w:t>三</w:t>
            </w:r>
            <w:r>
              <w:rPr>
                <w:rFonts w:hint="eastAsia" w:ascii="Calibri" w:hAnsi="Calibri" w:eastAsia="宋体" w:cs="宋体"/>
                <w:color w:val="auto"/>
                <w:highlight w:val="none"/>
                <w:u w:val="single"/>
              </w:rPr>
              <w:t>级）以上资质</w:t>
            </w:r>
            <w:bookmarkEnd w:id="78"/>
            <w:r>
              <w:rPr>
                <w:rFonts w:hint="eastAsia" w:ascii="Calibri" w:hAnsi="Calibri" w:eastAsia="宋体" w:cs="宋体"/>
                <w:color w:val="auto"/>
                <w:highlight w:val="none"/>
                <w:u w:val="single"/>
              </w:rPr>
              <w:t xml:space="preserve">，并在人员、设备、资金等方面具备相应的施工能力。       </w:t>
            </w:r>
            <w:r>
              <w:rPr>
                <w:rFonts w:hint="eastAsia" w:ascii="Calibri" w:hAnsi="Calibri" w:eastAsia="宋体" w:cs="宋体"/>
                <w:color w:val="auto"/>
                <w:highlight w:val="none"/>
                <w:lang w:val="en-US" w:eastAsia="zh-CN"/>
              </w:rPr>
              <w:t xml:space="preserve">           </w:t>
            </w:r>
            <w:r>
              <w:rPr>
                <w:rFonts w:hint="default" w:ascii="Calibri" w:hAnsi="Calibri" w:eastAsia="宋体" w:cs="宋体"/>
                <w:color w:val="auto"/>
                <w:highlight w:val="none"/>
              </w:rPr>
              <w:t xml:space="preserve">          </w:t>
            </w:r>
            <w:r>
              <w:rPr>
                <w:rFonts w:hint="eastAsia" w:ascii="Calibri" w:hAnsi="Calibri" w:eastAsia="宋体" w:cs="宋体"/>
                <w:color w:val="auto"/>
                <w:highlight w:val="none"/>
              </w:rPr>
              <w:t xml:space="preserve"> </w:t>
            </w:r>
            <w:r>
              <w:rPr>
                <w:rFonts w:hint="default" w:ascii="Calibri" w:hAnsi="Calibri" w:eastAsia="宋体" w:cs="宋体"/>
                <w:color w:val="auto"/>
                <w:highlight w:val="none"/>
              </w:rPr>
              <w:t xml:space="preserve">          </w:t>
            </w:r>
            <w:r>
              <w:rPr>
                <w:rFonts w:hint="eastAsia" w:ascii="Calibri" w:hAnsi="Calibri" w:eastAsia="宋体" w:cs="宋体"/>
                <w:color w:val="auto"/>
                <w:highlight w:val="none"/>
              </w:rPr>
              <w:t xml:space="preserve"> </w:t>
            </w:r>
          </w:p>
          <w:p w14:paraId="1DAB0B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rPr>
              <w:t>2</w:t>
            </w:r>
            <w:r>
              <w:rPr>
                <w:rFonts w:hint="eastAsia" w:ascii="Calibri" w:hAnsi="Calibri" w:eastAsia="宋体" w:cs="宋体"/>
                <w:color w:val="auto"/>
                <w:highlight w:val="none"/>
              </w:rPr>
              <w:t>）财务要求：</w:t>
            </w:r>
            <w:r>
              <w:rPr>
                <w:rFonts w:hint="eastAsia" w:ascii="Calibri" w:hAnsi="Calibri" w:eastAsia="宋体" w:cs="宋体"/>
                <w:color w:val="auto"/>
                <w:highlight w:val="none"/>
                <w:u w:val="single"/>
              </w:rPr>
              <w:t xml:space="preserve"> </w:t>
            </w:r>
            <w:r>
              <w:rPr>
                <w:rFonts w:hint="default" w:ascii="Calibri" w:hAnsi="Calibri" w:eastAsia="宋体" w:cs="宋体"/>
                <w:color w:val="auto"/>
                <w:highlight w:val="none"/>
                <w:u w:val="single"/>
              </w:rPr>
              <w:t xml:space="preserve"> </w:t>
            </w:r>
            <w:r>
              <w:rPr>
                <w:rFonts w:hint="eastAsia" w:ascii="Calibri" w:hAnsi="Calibri" w:cs="宋体"/>
                <w:color w:val="auto"/>
                <w:highlight w:val="none"/>
                <w:u w:val="single"/>
                <w:lang w:val="en-US" w:eastAsia="zh-CN"/>
              </w:rPr>
              <w:t>2022</w:t>
            </w:r>
            <w:r>
              <w:rPr>
                <w:rFonts w:hint="default" w:ascii="Calibri" w:hAnsi="Calibri" w:eastAsia="宋体" w:cs="宋体"/>
                <w:color w:val="auto"/>
                <w:highlight w:val="none"/>
                <w:u w:val="single"/>
              </w:rPr>
              <w:t xml:space="preserve"> </w:t>
            </w:r>
            <w:r>
              <w:rPr>
                <w:rFonts w:hint="default" w:ascii="仿宋_GB2312" w:hAnsi="宋体" w:eastAsia="宋体" w:cs="Times New Roman"/>
                <w:color w:val="auto"/>
                <w:highlight w:val="none"/>
              </w:rPr>
              <w:t>年至</w:t>
            </w:r>
            <w:r>
              <w:rPr>
                <w:rFonts w:hint="eastAsia" w:ascii="Calibri" w:hAnsi="Calibri" w:eastAsia="宋体" w:cs="宋体"/>
                <w:color w:val="auto"/>
                <w:highlight w:val="none"/>
                <w:u w:val="single"/>
              </w:rPr>
              <w:t xml:space="preserve"> </w:t>
            </w:r>
            <w:r>
              <w:rPr>
                <w:rFonts w:hint="default" w:ascii="Calibri" w:hAnsi="Calibri" w:eastAsia="宋体" w:cs="宋体"/>
                <w:color w:val="auto"/>
                <w:highlight w:val="none"/>
                <w:u w:val="single"/>
              </w:rPr>
              <w:t xml:space="preserve"> </w:t>
            </w:r>
            <w:r>
              <w:rPr>
                <w:rFonts w:hint="eastAsia" w:ascii="Calibri" w:hAnsi="Calibri" w:cs="宋体"/>
                <w:color w:val="auto"/>
                <w:highlight w:val="none"/>
                <w:u w:val="single"/>
                <w:lang w:val="en-US" w:eastAsia="zh-CN"/>
              </w:rPr>
              <w:t>2024</w:t>
            </w:r>
            <w:r>
              <w:rPr>
                <w:rFonts w:hint="default" w:ascii="Calibri" w:hAnsi="Calibri" w:eastAsia="宋体" w:cs="宋体"/>
                <w:color w:val="auto"/>
                <w:highlight w:val="none"/>
                <w:u w:val="single"/>
              </w:rPr>
              <w:t xml:space="preserve"> </w:t>
            </w:r>
            <w:r>
              <w:rPr>
                <w:rFonts w:hint="default" w:ascii="仿宋_GB2312" w:hAnsi="宋体" w:eastAsia="宋体" w:cs="Times New Roman"/>
                <w:color w:val="auto"/>
                <w:highlight w:val="none"/>
              </w:rPr>
              <w:t>年</w:t>
            </w:r>
            <w:r>
              <w:rPr>
                <w:rFonts w:hint="eastAsia" w:ascii="Calibri" w:hAnsi="Calibri" w:eastAsia="宋体" w:cs="宋体"/>
                <w:color w:val="auto"/>
                <w:highlight w:val="none"/>
              </w:rPr>
              <w:t>经审计的财务报表（以</w:t>
            </w:r>
            <w:r>
              <w:rPr>
                <w:rFonts w:hint="eastAsia" w:ascii="Calibri" w:hAnsi="Calibri" w:eastAsia="宋体" w:cs="宋体"/>
                <w:color w:val="auto"/>
                <w:highlight w:val="none"/>
                <w:lang w:eastAsia="zh-CN"/>
              </w:rPr>
              <w:t>录入</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桂建云</w:t>
            </w:r>
            <w:r>
              <w:rPr>
                <w:rFonts w:hint="eastAsia" w:ascii="Calibri" w:hAnsi="Calibri" w:cs="Times New Roman"/>
                <w:color w:val="auto"/>
                <w:highlight w:val="none"/>
                <w:lang w:eastAsia="zh-CN"/>
              </w:rPr>
              <w:t>”</w:t>
            </w:r>
            <w:r>
              <w:rPr>
                <w:rFonts w:hint="eastAsia" w:ascii="Calibri" w:hAnsi="Calibri" w:eastAsia="宋体" w:cs="宋体"/>
                <w:color w:val="auto"/>
                <w:highlight w:val="none"/>
              </w:rPr>
              <w:t>为准）</w:t>
            </w:r>
            <w:r>
              <w:rPr>
                <w:rFonts w:hint="eastAsia" w:ascii="方正楷体_GB2312" w:hAnsi="方正楷体_GB2312" w:eastAsia="方正楷体_GB2312" w:cs="方正楷体_GB2312"/>
                <w:color w:val="auto"/>
                <w:highlight w:val="none"/>
              </w:rPr>
              <w:t>【备注：对于从取得营业执照时间起到投标截止时间止不足要求年数的企业，只需提交企业取得营业执照年份至所要求最近年份经审计的财务报表</w:t>
            </w:r>
            <w:r>
              <w:rPr>
                <w:rFonts w:hint="eastAsia" w:ascii="方正楷体_GB2312" w:hAnsi="方正楷体_GB2312" w:eastAsia="方正楷体_GB2312" w:cs="方正楷体_GB2312"/>
                <w:color w:val="auto"/>
                <w:highlight w:val="none"/>
                <w:lang w:eastAsia="zh-CN"/>
              </w:rPr>
              <w:t>，若是投标当年成立的企业，其财务报表不要求经审计。联合体投标的联合体各方均须提供</w:t>
            </w:r>
            <w:r>
              <w:rPr>
                <w:rFonts w:hint="eastAsia" w:ascii="方正楷体_GB2312" w:hAnsi="方正楷体_GB2312" w:eastAsia="方正楷体_GB2312" w:cs="方正楷体_GB2312"/>
                <w:color w:val="auto"/>
                <w:highlight w:val="none"/>
              </w:rPr>
              <w:t>】</w:t>
            </w:r>
            <w:r>
              <w:rPr>
                <w:rFonts w:hint="eastAsia" w:ascii="Calibri" w:hAnsi="Calibri" w:eastAsia="宋体" w:cs="宋体"/>
                <w:color w:val="auto"/>
                <w:highlight w:val="none"/>
              </w:rPr>
              <w:t>。</w:t>
            </w:r>
          </w:p>
          <w:p w14:paraId="463F4B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rPr>
              <w:t>3</w:t>
            </w:r>
            <w:r>
              <w:rPr>
                <w:rFonts w:hint="eastAsia" w:ascii="Calibri" w:hAnsi="Calibri" w:eastAsia="宋体" w:cs="宋体"/>
                <w:color w:val="auto"/>
                <w:highlight w:val="none"/>
              </w:rPr>
              <w:t>）业绩要求：</w:t>
            </w:r>
          </w:p>
          <w:p w14:paraId="19E946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cs="宋体"/>
                <w:color w:val="auto"/>
                <w:highlight w:val="none"/>
                <w:lang w:eastAsia="zh-CN"/>
              </w:rPr>
              <w:t>☑</w:t>
            </w:r>
            <w:r>
              <w:rPr>
                <w:rFonts w:hint="eastAsia" w:ascii="Calibri" w:hAnsi="Calibri" w:eastAsia="宋体" w:cs="宋体"/>
                <w:color w:val="auto"/>
                <w:highlight w:val="none"/>
              </w:rPr>
              <w:t>无要求；</w:t>
            </w:r>
          </w:p>
          <w:p w14:paraId="52275B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textAlignment w:val="auto"/>
              <w:rPr>
                <w:rFonts w:hint="eastAsia" w:ascii="Calibri" w:hAnsi="Calibri" w:eastAsia="宋体" w:cs="宋体"/>
                <w:color w:val="auto"/>
                <w:highlight w:val="none"/>
              </w:rPr>
            </w:pPr>
            <w:r>
              <w:rPr>
                <w:rFonts w:hint="eastAsia" w:ascii="Calibri" w:hAnsi="Calibri" w:cs="宋体"/>
                <w:color w:val="auto"/>
                <w:highlight w:val="none"/>
                <w:lang w:eastAsia="zh-CN"/>
              </w:rPr>
              <w:t>□</w:t>
            </w:r>
            <w:r>
              <w:rPr>
                <w:rFonts w:hint="eastAsia" w:ascii="Calibri" w:hAnsi="Calibri" w:eastAsia="宋体" w:cs="宋体"/>
                <w:color w:val="auto"/>
                <w:highlight w:val="none"/>
              </w:rPr>
              <w:t>有要求</w:t>
            </w:r>
            <w:r>
              <w:rPr>
                <w:rFonts w:hint="default" w:ascii="仿宋_GB2312" w:hAnsi="宋体" w:eastAsia="宋体" w:cs="Times New Roman"/>
                <w:color w:val="auto"/>
                <w:highlight w:val="none"/>
                <w:u w:val="single"/>
              </w:rPr>
              <w:t xml:space="preserve">    </w:t>
            </w:r>
            <w:r>
              <w:rPr>
                <w:rFonts w:hint="default" w:ascii="仿宋_GB2312" w:hAnsi="宋体" w:eastAsia="宋体" w:cs="Times New Roman"/>
                <w:color w:val="auto"/>
                <w:highlight w:val="none"/>
              </w:rPr>
              <w:t>年</w:t>
            </w:r>
            <w:r>
              <w:rPr>
                <w:rFonts w:hint="eastAsia" w:ascii="仿宋_GB2312" w:hAnsi="宋体" w:eastAsia="宋体" w:cs="Times New Roman"/>
                <w:color w:val="auto"/>
                <w:highlight w:val="none"/>
                <w:u w:val="single"/>
                <w:lang w:val="en-US" w:eastAsia="zh-CN"/>
              </w:rPr>
              <w:t xml:space="preserve">     </w:t>
            </w:r>
            <w:r>
              <w:rPr>
                <w:rFonts w:hint="default" w:ascii="仿宋_GB2312" w:hAnsi="宋体" w:eastAsia="宋体" w:cs="Times New Roman"/>
                <w:color w:val="auto"/>
                <w:highlight w:val="none"/>
              </w:rPr>
              <w:t>月</w:t>
            </w:r>
            <w:r>
              <w:rPr>
                <w:rFonts w:hint="eastAsia" w:ascii="仿宋_GB2312" w:hAnsi="宋体"/>
                <w:color w:val="auto"/>
                <w:highlight w:val="none"/>
              </w:rPr>
              <w:t>（应填写年</w:t>
            </w:r>
            <w:r>
              <w:rPr>
                <w:rFonts w:hint="eastAsia" w:ascii="仿宋_GB2312" w:hAnsi="宋体"/>
                <w:color w:val="auto"/>
                <w:highlight w:val="none"/>
                <w:lang w:eastAsia="zh-CN"/>
              </w:rPr>
              <w:t>、</w:t>
            </w:r>
            <w:r>
              <w:rPr>
                <w:rFonts w:hint="eastAsia" w:ascii="仿宋_GB2312" w:hAnsi="宋体"/>
                <w:color w:val="auto"/>
                <w:highlight w:val="none"/>
                <w:lang w:val="en-US" w:eastAsia="zh-CN"/>
              </w:rPr>
              <w:t>月</w:t>
            </w:r>
            <w:r>
              <w:rPr>
                <w:rFonts w:hint="eastAsia" w:ascii="仿宋_GB2312" w:hAnsi="宋体"/>
                <w:color w:val="auto"/>
                <w:highlight w:val="none"/>
              </w:rPr>
              <w:t>份）</w:t>
            </w:r>
            <w:r>
              <w:rPr>
                <w:rFonts w:hint="eastAsia" w:ascii="仿宋_GB2312" w:hAnsi="宋体" w:cs="Times New Roman"/>
                <w:color w:val="auto"/>
                <w:highlight w:val="none"/>
                <w:lang w:val="en-US" w:eastAsia="zh-CN"/>
              </w:rPr>
              <w:t>以来</w:t>
            </w:r>
            <w:r>
              <w:rPr>
                <w:rFonts w:hint="eastAsia" w:ascii="Calibri" w:hAnsi="Calibri" w:eastAsia="宋体" w:cs="宋体"/>
                <w:color w:val="auto"/>
                <w:highlight w:val="none"/>
              </w:rPr>
              <w:t>：</w:t>
            </w:r>
          </w:p>
          <w:p w14:paraId="793D67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textAlignment w:val="auto"/>
              <w:rPr>
                <w:rFonts w:hint="default" w:ascii="Calibri" w:hAnsi="Calibri" w:eastAsia="宋体" w:cs="宋体"/>
                <w:color w:val="auto"/>
                <w:highlight w:val="none"/>
              </w:rPr>
            </w:pPr>
            <w:r>
              <w:rPr>
                <w:rFonts w:hint="eastAsia" w:ascii="Calibri" w:hAnsi="Calibri" w:eastAsia="宋体" w:cs="宋体"/>
                <w:color w:val="auto"/>
                <w:highlight w:val="none"/>
              </w:rPr>
              <w:t>□完成过质量合格的类似工程项目</w:t>
            </w:r>
          </w:p>
          <w:p w14:paraId="40A1CA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lang w:eastAsia="zh-CN"/>
              </w:rPr>
              <w:t>□</w:t>
            </w:r>
            <w:r>
              <w:rPr>
                <w:rFonts w:hint="eastAsia" w:ascii="Calibri" w:hAnsi="Calibri" w:eastAsia="宋体" w:cs="宋体"/>
                <w:color w:val="auto"/>
                <w:highlight w:val="none"/>
              </w:rPr>
              <w:t>承接过类似工程项目。</w:t>
            </w:r>
          </w:p>
          <w:p w14:paraId="4854D9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default" w:ascii="Calibri" w:hAnsi="Calibri" w:eastAsia="宋体" w:cs="Times New Roman"/>
                <w:color w:val="auto"/>
                <w:highlight w:val="none"/>
              </w:rPr>
            </w:pPr>
            <w:r>
              <w:rPr>
                <w:rFonts w:hint="eastAsia" w:cs="宋体"/>
                <w:color w:val="auto"/>
                <w:highlight w:val="none"/>
              </w:rPr>
              <w:t>类似工程指：</w:t>
            </w:r>
            <w:r>
              <w:rPr>
                <w:rFonts w:hint="default"/>
                <w:color w:val="auto"/>
                <w:highlight w:val="none"/>
                <w:u w:val="single"/>
              </w:rPr>
              <w:t xml:space="preserve">                    </w:t>
            </w:r>
            <w:r>
              <w:rPr>
                <w:rFonts w:hint="eastAsia" w:cs="宋体"/>
                <w:color w:val="auto"/>
                <w:highlight w:val="none"/>
              </w:rPr>
              <w:t>。</w:t>
            </w:r>
            <w:r>
              <w:rPr>
                <w:rFonts w:hint="eastAsia" w:ascii="Calibri" w:hAnsi="Calibri" w:eastAsia="宋体" w:cs="宋体"/>
                <w:color w:val="auto"/>
                <w:highlight w:val="none"/>
              </w:rPr>
              <w:t>（</w:t>
            </w:r>
            <w:r>
              <w:rPr>
                <w:rFonts w:hint="eastAsia" w:ascii="Calibri" w:hAnsi="Calibri" w:cs="宋体"/>
                <w:color w:val="auto"/>
                <w:highlight w:val="none"/>
                <w:lang w:val="en-US" w:eastAsia="zh-CN"/>
              </w:rPr>
              <w:t>类似</w:t>
            </w:r>
            <w:r>
              <w:rPr>
                <w:rFonts w:hint="eastAsia" w:ascii="Calibri" w:hAnsi="Calibri" w:eastAsia="宋体" w:cs="宋体"/>
                <w:color w:val="auto"/>
                <w:highlight w:val="none"/>
              </w:rPr>
              <w:t>工程业绩以</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桂建云</w:t>
            </w:r>
            <w:r>
              <w:rPr>
                <w:rFonts w:hint="eastAsia" w:ascii="Calibri" w:hAnsi="Calibri" w:cs="Times New Roman"/>
                <w:color w:val="auto"/>
                <w:highlight w:val="none"/>
                <w:lang w:eastAsia="zh-CN"/>
              </w:rPr>
              <w:t>”</w:t>
            </w:r>
            <w:r>
              <w:rPr>
                <w:rFonts w:hint="eastAsia" w:ascii="Calibri" w:hAnsi="Calibri" w:eastAsia="宋体" w:cs="宋体"/>
                <w:color w:val="auto"/>
                <w:highlight w:val="none"/>
              </w:rPr>
              <w:t>为准）</w:t>
            </w:r>
            <w:r>
              <w:rPr>
                <w:rFonts w:hint="eastAsia" w:ascii="Calibri" w:hAnsi="Calibri" w:cs="宋体"/>
                <w:color w:val="auto"/>
                <w:highlight w:val="none"/>
                <w:lang w:eastAsia="zh-CN"/>
              </w:rPr>
              <w:t>。</w:t>
            </w:r>
          </w:p>
          <w:p w14:paraId="057294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rPr>
              <w:t>4</w:t>
            </w:r>
            <w:r>
              <w:rPr>
                <w:rFonts w:hint="eastAsia" w:ascii="Calibri" w:hAnsi="Calibri" w:eastAsia="宋体" w:cs="宋体"/>
                <w:color w:val="auto"/>
                <w:highlight w:val="none"/>
              </w:rPr>
              <w:t>）诚信要求：</w:t>
            </w:r>
          </w:p>
          <w:p w14:paraId="197B16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Times New Roman"/>
                <w:color w:val="auto"/>
                <w:highlight w:val="none"/>
              </w:rPr>
            </w:pPr>
            <w:r>
              <w:rPr>
                <w:rFonts w:hint="eastAsia" w:ascii="微软雅黑" w:hAnsi="微软雅黑" w:eastAsia="微软雅黑" w:cs="微软雅黑"/>
                <w:color w:val="auto"/>
                <w:highlight w:val="none"/>
              </w:rPr>
              <w:t>①</w:t>
            </w:r>
            <w:r>
              <w:rPr>
                <w:rFonts w:hint="eastAsia" w:cs="宋体"/>
                <w:color w:val="auto"/>
                <w:highlight w:val="none"/>
              </w:rPr>
              <w:t>根据最高人民法院等9部门《关于在招标投标活动中对失信被执行人实施联合惩戒的通知》（法〔2016〕285号）规定，投标人（如为联合体时，联合体中任一个成员</w:t>
            </w:r>
            <w:r>
              <w:rPr>
                <w:rFonts w:hint="eastAsia" w:cs="宋体"/>
                <w:color w:val="auto"/>
                <w:highlight w:val="none"/>
                <w:lang w:eastAsia="zh-CN"/>
              </w:rPr>
              <w:t>）</w:t>
            </w:r>
            <w:r>
              <w:rPr>
                <w:rFonts w:hint="eastAsia" w:cs="宋体"/>
                <w:color w:val="auto"/>
                <w:highlight w:val="none"/>
                <w:lang w:val="en-US" w:eastAsia="zh-CN"/>
              </w:rPr>
              <w:t>或</w:t>
            </w:r>
            <w:r>
              <w:rPr>
                <w:rFonts w:hint="eastAsia" w:cs="宋体"/>
                <w:color w:val="auto"/>
                <w:highlight w:val="none"/>
              </w:rPr>
              <w:t>拟派项目经理</w:t>
            </w:r>
            <w:r>
              <w:rPr>
                <w:rFonts w:hint="default" w:ascii="Times New Roman" w:hAnsi="Times New Roman" w:eastAsia="宋体" w:cs="Times New Roman"/>
                <w:color w:val="auto"/>
                <w:highlight w:val="none"/>
              </w:rPr>
              <w:t>被列</w:t>
            </w:r>
            <w:r>
              <w:rPr>
                <w:rFonts w:hint="eastAsia" w:cs="宋体"/>
                <w:color w:val="auto"/>
                <w:highlight w:val="none"/>
              </w:rPr>
              <w:t>为失信被执行人</w:t>
            </w:r>
            <w:r>
              <w:rPr>
                <w:rFonts w:hint="eastAsia" w:cs="宋体"/>
                <w:color w:val="auto"/>
                <w:highlight w:val="none"/>
                <w:lang w:val="en-US" w:eastAsia="zh-CN"/>
              </w:rPr>
              <w:t>的</w:t>
            </w:r>
            <w:r>
              <w:rPr>
                <w:rFonts w:hint="eastAsia" w:cs="宋体"/>
                <w:color w:val="auto"/>
                <w:highlight w:val="none"/>
              </w:rPr>
              <w:t>（以评标阶段通过</w:t>
            </w:r>
            <w:r>
              <w:rPr>
                <w:rFonts w:hint="eastAsia" w:cs="宋体"/>
                <w:color w:val="auto"/>
                <w:highlight w:val="none"/>
                <w:lang w:eastAsia="zh-CN"/>
              </w:rPr>
              <w:t>“</w:t>
            </w:r>
            <w:r>
              <w:rPr>
                <w:rFonts w:hint="eastAsia" w:cs="宋体"/>
                <w:color w:val="auto"/>
                <w:highlight w:val="none"/>
              </w:rPr>
              <w:t>中国执行信息公开网</w:t>
            </w:r>
            <w:r>
              <w:rPr>
                <w:rFonts w:hint="eastAsia" w:cs="宋体"/>
                <w:color w:val="auto"/>
                <w:highlight w:val="none"/>
                <w:lang w:eastAsia="zh-CN"/>
              </w:rPr>
              <w:t>”</w:t>
            </w:r>
            <w:r>
              <w:rPr>
                <w:rFonts w:hint="eastAsia" w:cs="宋体"/>
                <w:color w:val="auto"/>
                <w:highlight w:val="none"/>
              </w:rPr>
              <w:t>（https://zxgk.court.gov.cn/shixin/）查询的结果为准）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p>
          <w:p w14:paraId="5999A2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cs="宋体"/>
                <w:color w:val="auto"/>
                <w:highlight w:val="none"/>
                <w:lang w:eastAsia="zh-CN"/>
              </w:rPr>
            </w:pPr>
            <w:r>
              <w:rPr>
                <w:rFonts w:hint="eastAsia" w:ascii="微软雅黑" w:hAnsi="微软雅黑" w:eastAsia="微软雅黑" w:cs="微软雅黑"/>
                <w:color w:val="auto"/>
                <w:highlight w:val="none"/>
              </w:rPr>
              <w:t>②</w:t>
            </w:r>
            <w:r>
              <w:rPr>
                <w:rFonts w:hint="eastAsia" w:cs="宋体"/>
                <w:color w:val="auto"/>
                <w:highlight w:val="none"/>
              </w:rPr>
              <w:t>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，不得参与投标。</w:t>
            </w:r>
          </w:p>
          <w:p w14:paraId="79E4BD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Times New Roman"/>
                <w:color w:val="auto"/>
                <w:highlight w:val="none"/>
              </w:rPr>
            </w:pPr>
            <w:r>
              <w:rPr>
                <w:rFonts w:hint="eastAsia" w:ascii="微软雅黑" w:hAnsi="微软雅黑" w:eastAsia="微软雅黑" w:cs="微软雅黑"/>
                <w:color w:val="auto"/>
                <w:highlight w:val="none"/>
              </w:rPr>
              <w:t>③</w:t>
            </w:r>
            <w:r>
              <w:rPr>
                <w:rFonts w:hint="eastAsia" w:cs="宋体"/>
                <w:color w:val="auto"/>
                <w:highlight w:val="none"/>
              </w:rPr>
              <w:t>投标人（如为联合体时，联合体中任一个成员）、拟派项目经理被列为企业或个人诚信不良</w:t>
            </w:r>
            <w:r>
              <w:rPr>
                <w:rFonts w:hint="default" w:cs="宋体"/>
                <w:color w:val="auto"/>
                <w:highlight w:val="none"/>
                <w:lang w:val="en-US"/>
              </w:rPr>
              <w:t>、黑名单</w:t>
            </w:r>
            <w:r>
              <w:rPr>
                <w:rFonts w:hint="eastAsia" w:cs="宋体"/>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hint="default" w:cs="宋体"/>
                <w:color w:val="auto"/>
                <w:highlight w:val="none"/>
              </w:rPr>
              <w:fldChar w:fldCharType="begin"/>
            </w:r>
            <w:r>
              <w:rPr>
                <w:rFonts w:hint="default" w:cs="宋体"/>
                <w:color w:val="auto"/>
                <w:highlight w:val="none"/>
              </w:rPr>
              <w:instrText xml:space="preserve"> HYPERLINK "http://jzsc.mohurd.gov.cn/home" </w:instrText>
            </w:r>
            <w:r>
              <w:rPr>
                <w:rFonts w:hint="default" w:cs="宋体"/>
                <w:color w:val="auto"/>
                <w:highlight w:val="none"/>
              </w:rPr>
              <w:fldChar w:fldCharType="separate"/>
            </w:r>
            <w:r>
              <w:rPr>
                <w:rFonts w:hint="default" w:cs="宋体"/>
                <w:color w:val="auto"/>
                <w:highlight w:val="none"/>
              </w:rPr>
              <w:t>http://jzsc.mohurd.gov.cn/home</w:t>
            </w:r>
            <w:r>
              <w:rPr>
                <w:rFonts w:hint="default" w:cs="宋体"/>
                <w:color w:val="auto"/>
                <w:highlight w:val="none"/>
              </w:rPr>
              <w:fldChar w:fldCharType="end"/>
            </w:r>
            <w:r>
              <w:rPr>
                <w:rFonts w:hint="eastAsia" w:cs="宋体"/>
                <w:color w:val="auto"/>
                <w:highlight w:val="none"/>
              </w:rPr>
              <w:t>）查询的结果为准），不得参与投标。</w:t>
            </w:r>
          </w:p>
          <w:p w14:paraId="3D2F62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default" w:ascii="Calibri" w:hAnsi="Calibri" w:eastAsia="宋体" w:cs="Times New Roman"/>
                <w:color w:val="auto"/>
                <w:highlight w:val="none"/>
              </w:rPr>
            </w:pPr>
            <w:r>
              <w:rPr>
                <w:rFonts w:hint="eastAsia" w:ascii="微软雅黑" w:hAnsi="微软雅黑" w:eastAsia="微软雅黑" w:cs="微软雅黑"/>
                <w:color w:val="auto"/>
                <w:highlight w:val="none"/>
              </w:rPr>
              <w:t>④</w:t>
            </w:r>
            <w:r>
              <w:rPr>
                <w:rFonts w:hint="eastAsia" w:cs="宋体"/>
                <w:color w:val="auto"/>
                <w:highlight w:val="none"/>
              </w:rPr>
              <w:t>近三年内投标人或其法定代表人有行贿犯罪行为</w:t>
            </w:r>
            <w:r>
              <w:rPr>
                <w:rFonts w:hint="eastAsia" w:cs="宋体"/>
                <w:color w:val="auto"/>
                <w:highlight w:val="none"/>
                <w:lang w:val="en-US" w:eastAsia="zh-CN"/>
              </w:rPr>
              <w:t>的</w:t>
            </w:r>
            <w:r>
              <w:rPr>
                <w:rFonts w:hint="eastAsia" w:cs="宋体"/>
                <w:color w:val="auto"/>
                <w:highlight w:val="none"/>
              </w:rPr>
              <w:t>（以评标阶段通过</w:t>
            </w:r>
            <w:r>
              <w:rPr>
                <w:rFonts w:hint="eastAsia" w:cs="宋体"/>
                <w:color w:val="auto"/>
                <w:highlight w:val="none"/>
                <w:lang w:eastAsia="zh-CN"/>
              </w:rPr>
              <w:t>“</w:t>
            </w:r>
            <w:r>
              <w:rPr>
                <w:rFonts w:hint="eastAsia" w:cs="宋体"/>
                <w:color w:val="auto"/>
                <w:highlight w:val="none"/>
              </w:rPr>
              <w:t>中国裁判文书</w:t>
            </w:r>
            <w:r>
              <w:rPr>
                <w:rFonts w:hint="eastAsia" w:cs="宋体"/>
                <w:color w:val="auto"/>
                <w:highlight w:val="none"/>
                <w:lang w:val="en-US" w:eastAsia="zh-CN"/>
              </w:rPr>
              <w:t>网</w:t>
            </w:r>
            <w:r>
              <w:rPr>
                <w:rFonts w:hint="eastAsia" w:cs="宋体"/>
                <w:color w:val="auto"/>
                <w:highlight w:val="none"/>
                <w:lang w:eastAsia="zh-CN"/>
              </w:rPr>
              <w:t>”</w:t>
            </w:r>
            <w:r>
              <w:rPr>
                <w:rFonts w:hint="eastAsia" w:cs="宋体"/>
                <w:color w:val="auto"/>
                <w:highlight w:val="none"/>
              </w:rPr>
              <w:t>网站（</w:t>
            </w:r>
            <w:r>
              <w:rPr>
                <w:rFonts w:hint="default"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073803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cs="宋体"/>
                <w:color w:val="auto"/>
                <w:highlight w:val="none"/>
                <w:lang w:val="en-US" w:eastAsia="zh-CN"/>
              </w:rPr>
            </w:pPr>
            <w:r>
              <w:rPr>
                <w:rFonts w:hint="eastAsia" w:ascii="微软雅黑" w:hAnsi="微软雅黑" w:eastAsia="微软雅黑" w:cs="微软雅黑"/>
                <w:strike w:val="0"/>
                <w:color w:val="auto"/>
                <w:highlight w:val="none"/>
              </w:rPr>
              <w:t>⑤</w:t>
            </w:r>
            <w:r>
              <w:rPr>
                <w:rFonts w:hint="eastAsia" w:cs="宋体"/>
                <w:color w:val="auto"/>
                <w:highlight w:val="none"/>
                <w:lang w:val="en-US" w:eastAsia="zh-CN"/>
              </w:rPr>
              <w:t>投标人因生产安全事故处于暂扣、吊销安全生产许可证状态的</w:t>
            </w:r>
            <w:r>
              <w:rPr>
                <w:rFonts w:hint="eastAsia" w:cs="宋体"/>
                <w:color w:val="auto"/>
                <w:highlight w:val="none"/>
              </w:rPr>
              <w:t>（以评标阶段通过全国工程质量安全监管信息平台公共服务门户（https://zlaq.mohurd.gov.cn</w:t>
            </w:r>
            <w:r>
              <w:rPr>
                <w:rFonts w:hint="eastAsia" w:cs="宋体"/>
                <w:color w:val="auto"/>
                <w:highlight w:val="none"/>
                <w:lang w:eastAsia="zh-CN"/>
              </w:rPr>
              <w:t>）</w:t>
            </w:r>
            <w:r>
              <w:rPr>
                <w:rFonts w:hint="eastAsia" w:cs="宋体"/>
                <w:color w:val="auto"/>
                <w:highlight w:val="none"/>
              </w:rPr>
              <w:t>查询的结果为准），不得参与投标</w:t>
            </w:r>
            <w:r>
              <w:rPr>
                <w:rFonts w:hint="eastAsia" w:cs="宋体"/>
                <w:color w:val="auto"/>
                <w:highlight w:val="none"/>
                <w:lang w:val="en-US" w:eastAsia="zh-CN"/>
              </w:rPr>
              <w:t>。</w:t>
            </w:r>
          </w:p>
          <w:p w14:paraId="4FBB6E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default" w:ascii="Calibri" w:hAnsi="Calibri" w:eastAsia="宋体" w:cs="Times New Roman"/>
                <w:strike w:val="0"/>
                <w:color w:val="auto"/>
                <w:highlight w:val="none"/>
              </w:rPr>
            </w:pPr>
            <w:r>
              <w:rPr>
                <w:rFonts w:hint="eastAsia" w:ascii="微软雅黑" w:hAnsi="微软雅黑" w:eastAsia="微软雅黑" w:cs="微软雅黑"/>
                <w:strike w:val="0"/>
                <w:color w:val="auto"/>
                <w:highlight w:val="none"/>
              </w:rPr>
              <w:t>⑥</w:t>
            </w:r>
            <w:r>
              <w:rPr>
                <w:rFonts w:hint="eastAsia" w:ascii="Calibri" w:hAnsi="Calibri" w:eastAsia="宋体" w:cs="Times New Roman"/>
                <w:strike w:val="0"/>
                <w:color w:val="auto"/>
                <w:highlight w:val="none"/>
              </w:rPr>
              <w:t>投标人在制作投标文件，生成投标文件时，须在弹出的输入框中填写</w:t>
            </w:r>
            <w:r>
              <w:rPr>
                <w:rFonts w:hint="eastAsia" w:ascii="Calibri" w:hAnsi="Calibri" w:eastAsia="宋体" w:cs="Times New Roman"/>
                <w:strike w:val="0"/>
                <w:color w:val="auto"/>
                <w:highlight w:val="none"/>
                <w:lang w:eastAsia="zh-CN"/>
              </w:rPr>
              <w:t>专职投标员、</w:t>
            </w:r>
            <w:r>
              <w:rPr>
                <w:rFonts w:hint="eastAsia" w:ascii="Calibri" w:hAnsi="Calibri" w:eastAsia="宋体" w:cs="Times New Roman"/>
                <w:strike w:val="0"/>
                <w:color w:val="auto"/>
                <w:highlight w:val="none"/>
              </w:rPr>
              <w:t>拟投入的项目经理</w:t>
            </w:r>
            <w:r>
              <w:rPr>
                <w:rFonts w:hint="eastAsia" w:ascii="Calibri" w:hAnsi="Calibri" w:eastAsia="宋体" w:cs="Times New Roman"/>
                <w:strike w:val="0"/>
                <w:color w:val="auto"/>
                <w:highlight w:val="none"/>
                <w:lang w:eastAsia="zh-CN"/>
              </w:rPr>
              <w:t>及</w:t>
            </w:r>
            <w:r>
              <w:rPr>
                <w:rFonts w:hint="eastAsia" w:ascii="Calibri" w:hAnsi="Calibri" w:eastAsia="宋体" w:cs="Times New Roman"/>
                <w:strike w:val="0"/>
                <w:color w:val="auto"/>
                <w:highlight w:val="none"/>
              </w:rPr>
              <w:t>所有专职安全生产管理人员身份证信息并仔细确认。在投标文件解密环节，</w:t>
            </w:r>
            <w:r>
              <w:rPr>
                <w:rFonts w:hint="eastAsia" w:ascii="宋体" w:hAnsi="宋体" w:eastAsia="宋体" w:cs="宋体"/>
                <w:strike w:val="0"/>
                <w:color w:val="auto"/>
                <w:kern w:val="0"/>
                <w:highlight w:val="none"/>
              </w:rPr>
              <w:t>广西壮族自治区网上开标子系统（http://202.103.240.162:8072/BidOpening</w:t>
            </w:r>
            <w:r>
              <w:rPr>
                <w:rFonts w:hint="eastAsia" w:ascii="宋体" w:hAnsi="宋体" w:cs="宋体"/>
                <w:strike w:val="0"/>
                <w:color w:val="auto"/>
                <w:kern w:val="0"/>
                <w:highlight w:val="none"/>
                <w:lang w:eastAsia="zh-CN"/>
              </w:rPr>
              <w:t>）</w:t>
            </w:r>
            <w:r>
              <w:rPr>
                <w:rFonts w:hint="eastAsia" w:ascii="Calibri" w:hAnsi="Calibri" w:eastAsia="宋体" w:cs="Times New Roman"/>
                <w:strike w:val="0"/>
                <w:color w:val="auto"/>
                <w:highlight w:val="none"/>
              </w:rPr>
              <w:t>将自动验证</w:t>
            </w:r>
            <w:r>
              <w:rPr>
                <w:rFonts w:hint="eastAsia" w:ascii="Calibri" w:hAnsi="Calibri" w:eastAsia="宋体" w:cs="Times New Roman"/>
                <w:strike w:val="0"/>
                <w:color w:val="auto"/>
                <w:highlight w:val="none"/>
                <w:lang w:eastAsia="zh-CN"/>
              </w:rPr>
              <w:t>专职投标员、</w:t>
            </w:r>
            <w:r>
              <w:rPr>
                <w:rFonts w:hint="eastAsia" w:ascii="Calibri" w:hAnsi="Calibri" w:eastAsia="宋体" w:cs="Times New Roman"/>
                <w:strike w:val="0"/>
                <w:color w:val="auto"/>
                <w:highlight w:val="none"/>
              </w:rPr>
              <w:t>项目经理</w:t>
            </w:r>
            <w:r>
              <w:rPr>
                <w:rFonts w:hint="eastAsia" w:ascii="Calibri" w:hAnsi="Calibri" w:eastAsia="宋体" w:cs="Times New Roman"/>
                <w:strike w:val="0"/>
                <w:color w:val="auto"/>
                <w:highlight w:val="none"/>
                <w:lang w:eastAsia="zh-CN"/>
              </w:rPr>
              <w:t>及</w:t>
            </w:r>
            <w:r>
              <w:rPr>
                <w:rFonts w:hint="eastAsia" w:ascii="Calibri" w:hAnsi="Calibri" w:eastAsia="宋体" w:cs="宋体"/>
                <w:strike w:val="0"/>
                <w:color w:val="auto"/>
                <w:highlight w:val="none"/>
              </w:rPr>
              <w:t>所有专职安全生产管理人员</w:t>
            </w:r>
            <w:r>
              <w:rPr>
                <w:rFonts w:hint="eastAsia" w:ascii="Calibri" w:hAnsi="Calibri" w:eastAsia="宋体" w:cs="Times New Roman"/>
                <w:strike w:val="0"/>
                <w:color w:val="auto"/>
                <w:highlight w:val="none"/>
              </w:rPr>
              <w:t>的身份信息及诚信信息。</w:t>
            </w:r>
            <w:r>
              <w:rPr>
                <w:rFonts w:hint="default" w:ascii="Calibri" w:hAnsi="Calibri" w:eastAsia="宋体" w:cs="Times New Roman"/>
                <w:strike w:val="0"/>
                <w:color w:val="auto"/>
                <w:highlight w:val="none"/>
              </w:rPr>
              <w:t>企业</w:t>
            </w:r>
            <w:r>
              <w:rPr>
                <w:rFonts w:hint="eastAsia" w:ascii="Calibri" w:hAnsi="Calibri" w:eastAsia="宋体" w:cs="Times New Roman"/>
                <w:strike w:val="0"/>
                <w:color w:val="auto"/>
                <w:highlight w:val="none"/>
                <w:lang w:eastAsia="zh-CN"/>
              </w:rPr>
              <w:t>、</w:t>
            </w:r>
            <w:r>
              <w:rPr>
                <w:rFonts w:hint="eastAsia" w:ascii="Calibri" w:hAnsi="Calibri" w:eastAsia="宋体" w:cs="Times New Roman"/>
                <w:strike w:val="0"/>
                <w:color w:val="auto"/>
                <w:highlight w:val="none"/>
              </w:rPr>
              <w:t>项目经理</w:t>
            </w:r>
            <w:r>
              <w:rPr>
                <w:rFonts w:hint="eastAsia" w:ascii="Calibri" w:hAnsi="Calibri" w:eastAsia="宋体" w:cs="Times New Roman"/>
                <w:strike w:val="0"/>
                <w:color w:val="auto"/>
                <w:highlight w:val="none"/>
                <w:lang w:eastAsia="zh-CN"/>
              </w:rPr>
              <w:t>和</w:t>
            </w:r>
            <w:r>
              <w:rPr>
                <w:rFonts w:hint="eastAsia" w:ascii="Calibri" w:hAnsi="Calibri" w:eastAsia="宋体" w:cs="Times New Roman"/>
                <w:strike w:val="0"/>
                <w:color w:val="auto"/>
                <w:highlight w:val="none"/>
              </w:rPr>
              <w:t>所有专职安全生产管理人员在</w:t>
            </w:r>
            <w:r>
              <w:rPr>
                <w:rFonts w:hint="eastAsia" w:ascii="Calibri" w:hAnsi="Calibri" w:cs="Times New Roman"/>
                <w:strike w:val="0"/>
                <w:color w:val="auto"/>
                <w:highlight w:val="none"/>
                <w:lang w:eastAsia="zh-CN"/>
              </w:rPr>
              <w:t>“</w:t>
            </w:r>
            <w:r>
              <w:rPr>
                <w:rFonts w:hint="eastAsia" w:ascii="Calibri" w:hAnsi="Calibri" w:eastAsia="宋体" w:cs="Times New Roman"/>
                <w:strike w:val="0"/>
                <w:color w:val="auto"/>
                <w:highlight w:val="none"/>
              </w:rPr>
              <w:t>桂建云</w:t>
            </w:r>
            <w:r>
              <w:rPr>
                <w:rFonts w:hint="eastAsia" w:ascii="Calibri" w:hAnsi="Calibri" w:cs="Times New Roman"/>
                <w:strike w:val="0"/>
                <w:color w:val="auto"/>
                <w:highlight w:val="none"/>
                <w:lang w:eastAsia="zh-CN"/>
              </w:rPr>
              <w:t>”</w:t>
            </w:r>
            <w:r>
              <w:rPr>
                <w:rFonts w:hint="eastAsia" w:ascii="Calibri" w:hAnsi="Calibri" w:eastAsia="宋体" w:cs="Times New Roman"/>
                <w:strike w:val="0"/>
                <w:color w:val="auto"/>
                <w:highlight w:val="none"/>
              </w:rPr>
              <w:t>内</w:t>
            </w:r>
            <w:r>
              <w:rPr>
                <w:rFonts w:hint="eastAsia" w:ascii="Calibri" w:hAnsi="Calibri" w:eastAsia="宋体" w:cs="宋体"/>
                <w:strike w:val="0"/>
                <w:color w:val="auto"/>
                <w:highlight w:val="none"/>
              </w:rPr>
              <w:t>均应</w:t>
            </w:r>
            <w:r>
              <w:rPr>
                <w:rFonts w:hint="default" w:ascii="Calibri" w:hAnsi="Calibri" w:eastAsia="宋体" w:cs="Times New Roman"/>
                <w:strike w:val="0"/>
                <w:color w:val="auto"/>
                <w:highlight w:val="none"/>
              </w:rPr>
              <w:t>未被锁定。</w:t>
            </w:r>
          </w:p>
          <w:p w14:paraId="1C8158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方正楷体_GB2312" w:hAnsi="方正楷体_GB2312" w:eastAsia="方正楷体_GB2312" w:cs="方正楷体_GB2312"/>
                <w:color w:val="auto"/>
                <w:highlight w:val="none"/>
                <w:lang w:val="en-US" w:eastAsia="zh-CN"/>
              </w:rPr>
            </w:pPr>
            <w:r>
              <w:rPr>
                <w:rFonts w:hint="eastAsia" w:ascii="方正楷体_GB2312" w:hAnsi="方正楷体_GB2312" w:eastAsia="方正楷体_GB2312" w:cs="方正楷体_GB2312"/>
                <w:b/>
                <w:bCs/>
                <w:color w:val="auto"/>
                <w:highlight w:val="none"/>
                <w:lang w:val="en-US" w:eastAsia="zh-CN"/>
              </w:rPr>
              <w:t>注：</w:t>
            </w:r>
            <w:r>
              <w:rPr>
                <w:rFonts w:hint="eastAsia" w:ascii="方正楷体_GB2312" w:hAnsi="方正楷体_GB2312" w:eastAsia="方正楷体_GB2312" w:cs="方正楷体_GB2312"/>
                <w:color w:val="auto"/>
                <w:highlight w:val="none"/>
                <w:lang w:val="en-US" w:eastAsia="zh-CN"/>
              </w:rPr>
              <w:t>在评标阶段，以上</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1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①</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2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②</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3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③</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、④、</w:t>
            </w:r>
            <w:r>
              <w:rPr>
                <w:rFonts w:hint="eastAsia" w:ascii="微软雅黑" w:hAnsi="微软雅黑" w:eastAsia="微软雅黑" w:cs="微软雅黑"/>
                <w:strike w:val="0"/>
                <w:color w:val="auto"/>
                <w:highlight w:val="none"/>
              </w:rPr>
              <w:t>⑤</w:t>
            </w:r>
            <w:r>
              <w:rPr>
                <w:rFonts w:hint="eastAsia" w:ascii="方正楷体_GB2312" w:hAnsi="方正楷体_GB2312" w:eastAsia="方正楷体_GB2312" w:cs="方正楷体_GB2312"/>
                <w:color w:val="auto"/>
                <w:highlight w:val="none"/>
                <w:lang w:val="en-US" w:eastAsia="zh-CN"/>
              </w:rPr>
              <w:t>项查询工作由招标人或者招标代理机构进行，评标委员会复核，并做好相关记录。</w:t>
            </w:r>
          </w:p>
          <w:p w14:paraId="0D83E2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rPr>
              <w:t>5</w:t>
            </w:r>
            <w:r>
              <w:rPr>
                <w:rFonts w:hint="eastAsia" w:ascii="Calibri" w:hAnsi="Calibri" w:eastAsia="宋体" w:cs="宋体"/>
                <w:color w:val="auto"/>
                <w:highlight w:val="none"/>
              </w:rPr>
              <w:t>）项目经理资格：</w:t>
            </w:r>
            <w:r>
              <w:rPr>
                <w:rFonts w:hint="default" w:ascii="Calibri" w:hAnsi="Calibri" w:eastAsia="宋体" w:cs="Times New Roman"/>
                <w:color w:val="auto"/>
                <w:highlight w:val="none"/>
                <w:u w:val="single"/>
              </w:rPr>
              <w:t xml:space="preserve"> </w:t>
            </w:r>
            <w:bookmarkStart w:id="79" w:name="EBb7fde497ad044419b17da60e4b2ff61e"/>
            <w:r>
              <w:rPr>
                <w:rFonts w:hint="default" w:ascii="Calibri" w:hAnsi="Calibri" w:eastAsia="宋体" w:cs="Times New Roman"/>
                <w:color w:val="auto"/>
                <w:highlight w:val="none"/>
                <w:u w:val="single"/>
              </w:rPr>
              <w:t>具备建筑工程专业</w:t>
            </w:r>
            <w:r>
              <w:rPr>
                <w:rFonts w:hint="default" w:ascii="Calibri" w:hAnsi="Calibri" w:eastAsia="宋体" w:cs="Times New Roman"/>
                <w:color w:val="auto"/>
                <w:highlight w:val="none"/>
                <w:u w:val="single"/>
                <w:lang w:eastAsia="zh-CN"/>
              </w:rPr>
              <w:t>二</w:t>
            </w:r>
            <w:r>
              <w:rPr>
                <w:rFonts w:hint="default" w:ascii="Calibri" w:hAnsi="Calibri" w:eastAsia="宋体" w:cs="Times New Roman"/>
                <w:color w:val="auto"/>
                <w:highlight w:val="none"/>
                <w:u w:val="single"/>
              </w:rPr>
              <w:t>级以上（含本级）</w:t>
            </w:r>
            <w:bookmarkEnd w:id="79"/>
            <w:r>
              <w:rPr>
                <w:rFonts w:hint="eastAsia" w:ascii="仿宋_GB2312" w:hAnsi="宋体" w:eastAsia="宋体" w:cs="Times New Roman"/>
                <w:color w:val="auto"/>
                <w:highlight w:val="none"/>
                <w:u w:val="single"/>
                <w:lang w:val="en-US" w:eastAsia="zh-CN"/>
              </w:rPr>
              <w:t xml:space="preserve">  </w:t>
            </w:r>
            <w:r>
              <w:rPr>
                <w:rFonts w:hint="eastAsia" w:ascii="Calibri" w:hAnsi="Calibri" w:eastAsia="宋体" w:cs="宋体"/>
                <w:color w:val="auto"/>
                <w:highlight w:val="none"/>
              </w:rPr>
              <w:t>注册建造师执业资格，已录入</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桂建云</w:t>
            </w:r>
            <w:r>
              <w:rPr>
                <w:rFonts w:hint="eastAsia" w:ascii="Calibri" w:hAnsi="Calibri" w:cs="Times New Roman"/>
                <w:color w:val="auto"/>
                <w:highlight w:val="none"/>
                <w:lang w:eastAsia="zh-CN"/>
              </w:rPr>
              <w:t>”</w:t>
            </w:r>
            <w:r>
              <w:rPr>
                <w:rFonts w:hint="eastAsia" w:ascii="Calibri" w:hAnsi="Calibri" w:eastAsia="宋体" w:cs="宋体"/>
                <w:color w:val="auto"/>
                <w:highlight w:val="none"/>
              </w:rPr>
              <w:t>并处于有效状态，具备有效的安全生产考核合格证书（</w:t>
            </w:r>
            <w:r>
              <w:rPr>
                <w:rFonts w:hint="default" w:ascii="Calibri" w:hAnsi="Calibri" w:eastAsia="宋体" w:cs="Times New Roman"/>
                <w:color w:val="auto"/>
                <w:highlight w:val="none"/>
              </w:rPr>
              <w:t>B</w:t>
            </w:r>
            <w:r>
              <w:rPr>
                <w:rFonts w:hint="eastAsia" w:ascii="Calibri" w:hAnsi="Calibri" w:eastAsia="宋体" w:cs="宋体"/>
                <w:color w:val="auto"/>
                <w:highlight w:val="none"/>
              </w:rPr>
              <w:t>类）。本项目不接受有在建、已中标未开工或已列为其他项目中标候选人第一名的建造师作为项目经理</w:t>
            </w:r>
            <w:r>
              <w:rPr>
                <w:rFonts w:hint="eastAsia" w:ascii="Calibri" w:hAnsi="Calibri" w:eastAsia="宋体" w:cs="宋体"/>
                <w:color w:val="auto"/>
                <w:kern w:val="0"/>
                <w:highlight w:val="none"/>
              </w:rPr>
              <w:t>（</w:t>
            </w:r>
            <w:r>
              <w:rPr>
                <w:rFonts w:hint="eastAsia" w:ascii="Calibri" w:hAnsi="Calibri" w:eastAsia="宋体" w:cs="宋体"/>
                <w:color w:val="auto"/>
                <w:highlight w:val="none"/>
              </w:rPr>
              <w:t>符合《广西壮族自治区建筑市场诚信卡管理暂行办法》第十六条第一款及桂建管﹝2016﹞70号文</w:t>
            </w:r>
            <w:r>
              <w:rPr>
                <w:rFonts w:hint="eastAsia" w:ascii="Times New Roman" w:hAnsi="Times New Roman" w:eastAsia="宋体" w:cs="宋体"/>
                <w:color w:val="auto"/>
                <w:kern w:val="2"/>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eastAsia" w:ascii="Calibri" w:hAnsi="Calibri" w:eastAsia="宋体" w:cs="宋体"/>
                <w:color w:val="auto"/>
                <w:highlight w:val="none"/>
              </w:rPr>
              <w:t>除外）。</w:t>
            </w:r>
          </w:p>
          <w:p w14:paraId="50C4B9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方正楷体_GB2312" w:hAnsi="方正楷体_GB2312" w:eastAsia="方正楷体_GB2312" w:cs="方正楷体_GB2312"/>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rPr>
              <w:t>6</w:t>
            </w:r>
            <w:r>
              <w:rPr>
                <w:rFonts w:hint="eastAsia" w:ascii="Calibri" w:hAnsi="Calibri" w:eastAsia="宋体" w:cs="宋体"/>
                <w:color w:val="auto"/>
                <w:highlight w:val="none"/>
              </w:rPr>
              <w:t>）专职安全生产管理人员要求：专职安全生产管理人员须已录入</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桂建云</w:t>
            </w:r>
            <w:r>
              <w:rPr>
                <w:rFonts w:hint="eastAsia" w:ascii="Calibri" w:hAnsi="Calibri" w:cs="Times New Roman"/>
                <w:color w:val="auto"/>
                <w:highlight w:val="none"/>
                <w:lang w:eastAsia="zh-CN"/>
              </w:rPr>
              <w:t>”</w:t>
            </w:r>
            <w:r>
              <w:rPr>
                <w:rFonts w:hint="eastAsia" w:ascii="Calibri" w:hAnsi="Calibri" w:eastAsia="宋体" w:cs="宋体"/>
                <w:color w:val="auto"/>
                <w:highlight w:val="none"/>
              </w:rPr>
              <w:t>并处于有效状态，具备有效的安全生产考核合格证书（</w:t>
            </w:r>
            <w:r>
              <w:rPr>
                <w:rFonts w:hint="default" w:ascii="Calibri" w:hAnsi="Calibri" w:eastAsia="宋体" w:cs="Times New Roman"/>
                <w:color w:val="auto"/>
                <w:highlight w:val="none"/>
              </w:rPr>
              <w:t>C</w:t>
            </w:r>
            <w:r>
              <w:rPr>
                <w:rFonts w:hint="eastAsia" w:ascii="Calibri" w:hAnsi="Calibri" w:eastAsia="宋体" w:cs="宋体"/>
                <w:color w:val="auto"/>
                <w:highlight w:val="none"/>
              </w:rPr>
              <w:t>类），人数符合住房和城乡建设部《</w:t>
            </w:r>
            <w:r>
              <w:rPr>
                <w:rFonts w:hint="eastAsia" w:ascii="Calibri" w:hAnsi="Calibri" w:cs="宋体"/>
                <w:color w:val="auto"/>
                <w:highlight w:val="none"/>
                <w:lang w:eastAsia="zh-CN"/>
              </w:rPr>
              <w:t>建筑施工企业、工程项目安全生产管理机构设置及安全生产管理人员配备办法</w:t>
            </w:r>
            <w:r>
              <w:rPr>
                <w:rFonts w:hint="eastAsia" w:ascii="Calibri" w:hAnsi="Calibri" w:eastAsia="宋体" w:cs="宋体"/>
                <w:color w:val="auto"/>
                <w:highlight w:val="none"/>
              </w:rPr>
              <w:t>》（建质</w:t>
            </w:r>
            <w:r>
              <w:rPr>
                <w:rFonts w:hint="eastAsia" w:ascii="Calibri" w:hAnsi="Calibri" w:cs="宋体"/>
                <w:color w:val="auto"/>
                <w:highlight w:val="none"/>
                <w:lang w:val="en-US" w:eastAsia="zh-CN"/>
              </w:rPr>
              <w:t>规</w:t>
            </w:r>
            <w:r>
              <w:rPr>
                <w:rFonts w:hint="eastAsia" w:ascii="Calibri" w:hAnsi="Calibri" w:eastAsia="宋体" w:cs="宋体"/>
                <w:color w:val="auto"/>
                <w:highlight w:val="none"/>
              </w:rPr>
              <w:t>〔</w:t>
            </w:r>
            <w:r>
              <w:rPr>
                <w:rFonts w:hint="default" w:ascii="Calibri" w:hAnsi="Calibri" w:eastAsia="宋体" w:cs="Times New Roman"/>
                <w:color w:val="auto"/>
                <w:highlight w:val="none"/>
              </w:rPr>
              <w:t>20</w:t>
            </w:r>
            <w:r>
              <w:rPr>
                <w:rFonts w:hint="eastAsia" w:ascii="Calibri" w:hAnsi="Calibri" w:cs="Times New Roman"/>
                <w:color w:val="auto"/>
                <w:highlight w:val="none"/>
                <w:lang w:val="en-US" w:eastAsia="zh-CN"/>
              </w:rPr>
              <w:t>25</w:t>
            </w:r>
            <w:r>
              <w:rPr>
                <w:rFonts w:hint="eastAsia" w:ascii="Calibri" w:hAnsi="Calibri" w:eastAsia="宋体" w:cs="宋体"/>
                <w:color w:val="auto"/>
                <w:highlight w:val="none"/>
              </w:rPr>
              <w:t>〕</w:t>
            </w:r>
            <w:r>
              <w:rPr>
                <w:rFonts w:hint="eastAsia" w:ascii="Calibri" w:hAnsi="Calibri" w:cs="Times New Roman"/>
                <w:color w:val="auto"/>
                <w:highlight w:val="none"/>
                <w:lang w:val="en-US" w:eastAsia="zh-CN"/>
              </w:rPr>
              <w:t>3</w:t>
            </w:r>
            <w:r>
              <w:rPr>
                <w:rFonts w:hint="eastAsia" w:ascii="Calibri" w:hAnsi="Calibri" w:eastAsia="宋体" w:cs="宋体"/>
                <w:color w:val="auto"/>
                <w:highlight w:val="none"/>
              </w:rPr>
              <w:t>号）的规定不少于</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1</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人（</w:t>
            </w:r>
            <w:r>
              <w:rPr>
                <w:rFonts w:hint="eastAsia" w:ascii="Calibri" w:hAnsi="Calibri" w:cs="宋体"/>
                <w:color w:val="auto"/>
                <w:highlight w:val="none"/>
                <w:u w:val="single"/>
                <w:lang w:eastAsia="zh-CN"/>
              </w:rPr>
              <w:t>□</w:t>
            </w:r>
            <w:r>
              <w:rPr>
                <w:rFonts w:hint="eastAsia" w:ascii="方正楷体_GB2312" w:hAnsi="方正楷体_GB2312" w:eastAsia="方正楷体_GB2312" w:cs="方正楷体_GB2312"/>
                <w:color w:val="auto"/>
                <w:highlight w:val="none"/>
                <w:u w:val="single"/>
                <w:lang w:val="en-US" w:eastAsia="zh-CN"/>
              </w:rPr>
              <w:t>本项目</w:t>
            </w:r>
            <w:r>
              <w:rPr>
                <w:rFonts w:hint="eastAsia" w:ascii="方正楷体_GB2312" w:hAnsi="方正楷体_GB2312" w:eastAsia="方正楷体_GB2312" w:cs="方正楷体_GB2312"/>
                <w:color w:val="auto"/>
                <w:highlight w:val="none"/>
                <w:u w:val="single"/>
              </w:rPr>
              <w:t>施工活动涉及建筑起重机械，</w:t>
            </w:r>
            <w:r>
              <w:rPr>
                <w:rFonts w:hint="eastAsia" w:ascii="方正楷体_GB2312" w:hAnsi="方正楷体_GB2312" w:eastAsia="方正楷体_GB2312" w:cs="方正楷体_GB2312"/>
                <w:color w:val="auto"/>
                <w:highlight w:val="none"/>
                <w:u w:val="single"/>
                <w:lang w:val="en-US" w:eastAsia="zh-CN"/>
              </w:rPr>
              <w:t>安全员人数包含了</w:t>
            </w:r>
            <w:r>
              <w:rPr>
                <w:rFonts w:hint="eastAsia" w:ascii="方正楷体_GB2312" w:hAnsi="方正楷体_GB2312" w:eastAsia="方正楷体_GB2312" w:cs="方正楷体_GB2312"/>
                <w:color w:val="auto"/>
                <w:highlight w:val="none"/>
                <w:u w:val="single"/>
              </w:rPr>
              <w:t>应当</w:t>
            </w:r>
            <w:r>
              <w:rPr>
                <w:rFonts w:hint="eastAsia" w:ascii="方正楷体_GB2312" w:hAnsi="方正楷体_GB2312" w:eastAsia="方正楷体_GB2312" w:cs="方正楷体_GB2312"/>
                <w:color w:val="auto"/>
                <w:highlight w:val="none"/>
                <w:u w:val="single"/>
                <w:lang w:val="en-US" w:eastAsia="zh-CN"/>
              </w:rPr>
              <w:t>增加的至少</w:t>
            </w:r>
            <w:r>
              <w:rPr>
                <w:rFonts w:hint="eastAsia" w:ascii="方正楷体_GB2312" w:hAnsi="方正楷体_GB2312" w:eastAsia="方正楷体_GB2312" w:cs="方正楷体_GB2312"/>
                <w:color w:val="auto"/>
                <w:highlight w:val="none"/>
                <w:u w:val="single"/>
              </w:rPr>
              <w:t>1名持Ｃ1证书的</w:t>
            </w:r>
            <w:r>
              <w:rPr>
                <w:rFonts w:hint="eastAsia" w:ascii="方正楷体_GB2312" w:hAnsi="方正楷体_GB2312" w:eastAsia="方正楷体_GB2312" w:cs="方正楷体_GB2312"/>
                <w:color w:val="auto"/>
                <w:highlight w:val="none"/>
                <w:u w:val="single"/>
                <w:lang w:val="en-US" w:eastAsia="zh-CN"/>
              </w:rPr>
              <w:t>机械类</w:t>
            </w:r>
            <w:r>
              <w:rPr>
                <w:rFonts w:hint="eastAsia" w:ascii="方正楷体_GB2312" w:hAnsi="方正楷体_GB2312" w:eastAsia="方正楷体_GB2312" w:cs="方正楷体_GB2312"/>
                <w:color w:val="auto"/>
                <w:highlight w:val="none"/>
                <w:u w:val="single"/>
              </w:rPr>
              <w:t>专职安全生产管理人员</w:t>
            </w:r>
            <w:r>
              <w:rPr>
                <w:rFonts w:hint="eastAsia" w:ascii="Calibri" w:hAnsi="Calibri" w:cs="宋体"/>
                <w:color w:val="auto"/>
                <w:highlight w:val="none"/>
                <w:u w:val="single"/>
                <w:lang w:eastAsia="zh-CN"/>
              </w:rPr>
              <w:t>；□</w:t>
            </w:r>
            <w:r>
              <w:rPr>
                <w:rFonts w:hint="eastAsia" w:ascii="方正楷体_GB2312" w:hAnsi="方正楷体_GB2312" w:eastAsia="方正楷体_GB2312" w:cs="方正楷体_GB2312"/>
                <w:color w:val="auto"/>
                <w:highlight w:val="none"/>
                <w:u w:val="single"/>
                <w:lang w:val="en-US" w:eastAsia="zh-CN"/>
              </w:rPr>
              <w:t>本项目</w:t>
            </w:r>
            <w:r>
              <w:rPr>
                <w:rFonts w:hint="eastAsia" w:ascii="方正楷体_GB2312" w:hAnsi="方正楷体_GB2312" w:eastAsia="方正楷体_GB2312" w:cs="方正楷体_GB2312"/>
                <w:color w:val="auto"/>
                <w:highlight w:val="none"/>
                <w:u w:val="single"/>
              </w:rPr>
              <w:t>施工活动</w:t>
            </w:r>
            <w:r>
              <w:rPr>
                <w:rFonts w:hint="eastAsia" w:ascii="方正楷体_GB2312" w:hAnsi="方正楷体_GB2312" w:eastAsia="方正楷体_GB2312" w:cs="方正楷体_GB2312"/>
                <w:color w:val="auto"/>
                <w:highlight w:val="none"/>
                <w:u w:val="single"/>
                <w:lang w:val="en-US" w:eastAsia="zh-CN"/>
              </w:rPr>
              <w:t>不</w:t>
            </w:r>
            <w:r>
              <w:rPr>
                <w:rFonts w:hint="eastAsia" w:ascii="方正楷体_GB2312" w:hAnsi="方正楷体_GB2312" w:eastAsia="方正楷体_GB2312" w:cs="方正楷体_GB2312"/>
                <w:color w:val="auto"/>
                <w:highlight w:val="none"/>
                <w:u w:val="single"/>
              </w:rPr>
              <w:t>涉及建筑起重机械</w:t>
            </w:r>
            <w:r>
              <w:rPr>
                <w:rFonts w:hint="eastAsia" w:ascii="方正楷体_GB2312" w:hAnsi="方正楷体_GB2312" w:eastAsia="方正楷体_GB2312" w:cs="方正楷体_GB2312"/>
                <w:color w:val="auto"/>
                <w:highlight w:val="none"/>
                <w:u w:val="single"/>
                <w:lang w:eastAsia="zh-CN"/>
              </w:rPr>
              <w:t>，</w:t>
            </w:r>
            <w:r>
              <w:rPr>
                <w:rFonts w:hint="eastAsia" w:ascii="方正楷体_GB2312" w:hAnsi="方正楷体_GB2312" w:eastAsia="方正楷体_GB2312" w:cs="方正楷体_GB2312"/>
                <w:color w:val="auto"/>
                <w:highlight w:val="none"/>
                <w:u w:val="single"/>
              </w:rPr>
              <w:t>不增设机械类专职安全生产管理人员</w:t>
            </w:r>
            <w:r>
              <w:rPr>
                <w:rFonts w:hint="eastAsia" w:ascii="方正楷体_GB2312" w:hAnsi="方正楷体_GB2312" w:eastAsia="方正楷体_GB2312" w:cs="方正楷体_GB2312"/>
                <w:color w:val="auto"/>
                <w:highlight w:val="none"/>
                <w:u w:val="single"/>
                <w:lang w:eastAsia="zh-CN"/>
              </w:rPr>
              <w:t>）</w:t>
            </w:r>
            <w:r>
              <w:rPr>
                <w:rFonts w:hint="eastAsia" w:ascii="Calibri" w:hAnsi="Calibri" w:eastAsia="宋体" w:cs="宋体"/>
                <w:color w:val="auto"/>
                <w:highlight w:val="none"/>
              </w:rPr>
              <w:t>。本项目不接受有在建、已中标未开工或已列为其他项目中标候选人第一名的专职安全生产管理人员作为专职安全生产管理人员</w:t>
            </w:r>
            <w:r>
              <w:rPr>
                <w:rFonts w:hint="eastAsia" w:ascii="Calibri" w:hAnsi="Calibri" w:cs="宋体"/>
                <w:color w:val="auto"/>
                <w:highlight w:val="none"/>
                <w:lang w:eastAsia="zh-CN"/>
              </w:rPr>
              <w:t>。</w:t>
            </w:r>
            <w:r>
              <w:rPr>
                <w:rFonts w:hint="eastAsia" w:ascii="方正楷体_GB2312" w:hAnsi="方正楷体_GB2312" w:eastAsia="方正楷体_GB2312" w:cs="方正楷体_GB2312"/>
                <w:color w:val="auto"/>
                <w:highlight w:val="none"/>
                <w:lang w:eastAsia="zh-CN"/>
              </w:rPr>
              <w:t>备注：以上条件要求的投标人信息，如无特别出处要求的，一律以“桂建云”的信息为准（</w:t>
            </w:r>
            <w:r>
              <w:rPr>
                <w:rFonts w:hint="eastAsia" w:ascii="方正楷体_GB2312" w:hAnsi="方正楷体_GB2312" w:eastAsia="方正楷体_GB2312" w:cs="方正楷体_GB2312"/>
                <w:color w:val="auto"/>
                <w:highlight w:val="none"/>
                <w:lang w:val="en-US" w:eastAsia="zh-CN"/>
              </w:rPr>
              <w:t>评标时</w:t>
            </w:r>
            <w:r>
              <w:rPr>
                <w:rFonts w:hint="eastAsia" w:ascii="方正楷体_GB2312" w:hAnsi="方正楷体_GB2312" w:eastAsia="方正楷体_GB2312" w:cs="方正楷体_GB2312"/>
                <w:color w:val="auto"/>
                <w:highlight w:val="none"/>
                <w:lang w:eastAsia="zh-CN"/>
              </w:rPr>
              <w:t>无需</w:t>
            </w:r>
            <w:r>
              <w:rPr>
                <w:rFonts w:hint="eastAsia" w:ascii="方正楷体_GB2312" w:hAnsi="方正楷体_GB2312" w:eastAsia="方正楷体_GB2312" w:cs="方正楷体_GB2312"/>
                <w:color w:val="auto"/>
                <w:highlight w:val="none"/>
                <w:lang w:val="en-US" w:eastAsia="zh-CN"/>
              </w:rPr>
              <w:t>核查</w:t>
            </w:r>
            <w:r>
              <w:rPr>
                <w:rFonts w:hint="eastAsia" w:ascii="方正楷体_GB2312" w:hAnsi="方正楷体_GB2312" w:eastAsia="方正楷体_GB2312" w:cs="方正楷体_GB2312"/>
                <w:color w:val="auto"/>
                <w:highlight w:val="none"/>
                <w:lang w:eastAsia="zh-CN"/>
              </w:rPr>
              <w:t>相关扫描件）</w:t>
            </w:r>
            <w:r>
              <w:rPr>
                <w:rFonts w:hint="eastAsia" w:ascii="方正楷体_GB2312" w:hAnsi="方正楷体_GB2312" w:eastAsia="方正楷体_GB2312" w:cs="方正楷体_GB2312"/>
                <w:color w:val="auto"/>
                <w:highlight w:val="none"/>
              </w:rPr>
              <w:t>。</w:t>
            </w:r>
          </w:p>
          <w:p w14:paraId="2F353E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u w:val="single"/>
              </w:rPr>
            </w:pPr>
            <w:r>
              <w:rPr>
                <w:rFonts w:hint="eastAsia" w:ascii="Calibri" w:hAnsi="Calibri" w:eastAsia="宋体" w:cs="宋体"/>
                <w:color w:val="auto"/>
                <w:highlight w:val="none"/>
              </w:rPr>
              <w:t>（</w:t>
            </w:r>
            <w:r>
              <w:rPr>
                <w:rFonts w:hint="eastAsia" w:ascii="Calibri" w:hAnsi="Calibri" w:eastAsia="宋体" w:cs="Times New Roman"/>
                <w:color w:val="auto"/>
                <w:highlight w:val="none"/>
              </w:rPr>
              <w:t>7</w:t>
            </w:r>
            <w:r>
              <w:rPr>
                <w:rFonts w:hint="eastAsia" w:ascii="Calibri" w:hAnsi="Calibri" w:eastAsia="宋体" w:cs="宋体"/>
                <w:color w:val="auto"/>
                <w:highlight w:val="none"/>
              </w:rPr>
              <w:t>）其他要求</w:t>
            </w:r>
            <w:r>
              <w:rPr>
                <w:rFonts w:hint="eastAsia" w:ascii="Calibri" w:hAnsi="Calibri" w:eastAsia="宋体" w:cs="宋体"/>
                <w:color w:val="auto"/>
                <w:highlight w:val="none"/>
                <w:u w:val="single"/>
              </w:rPr>
              <w:t>：</w:t>
            </w:r>
            <w:bookmarkStart w:id="80" w:name="EB8b0fed5d468f4803a03ce89208a0b216"/>
            <w:r>
              <w:rPr>
                <w:rFonts w:hint="eastAsia" w:ascii="Calibri" w:hAnsi="Calibri" w:eastAsia="宋体" w:cs="宋体"/>
                <w:color w:val="auto"/>
                <w:highlight w:val="none"/>
                <w:u w:val="single"/>
                <w:lang w:val="en-US" w:eastAsia="zh-CN"/>
              </w:rPr>
              <w:t>本项目属于政府采购工程项目：预留份额专门面向中小企业采购的项目，落实政府采购政策需满足的资格要求：投标人必须为中小微企业、监狱企业或者残疾人福利性单位，大型企业不得参加</w:t>
            </w:r>
            <w:bookmarkEnd w:id="80"/>
            <w:r>
              <w:rPr>
                <w:rFonts w:hint="eastAsia" w:ascii="Calibri" w:hAnsi="Calibri" w:eastAsia="宋体" w:cs="宋体"/>
                <w:color w:val="auto"/>
                <w:highlight w:val="none"/>
                <w:u w:val="single"/>
                <w:lang w:eastAsia="zh-CN"/>
              </w:rPr>
              <w:t>。</w:t>
            </w:r>
          </w:p>
          <w:p w14:paraId="333338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方正楷体_GB2312" w:hAnsi="方正楷体_GB2312" w:eastAsia="方正楷体_GB2312" w:cs="方正楷体_GB2312"/>
                <w:color w:val="auto"/>
                <w:highlight w:val="none"/>
              </w:rPr>
              <w:t xml:space="preserve">【注：含落实政府采购政策需满足的资格要求】  </w:t>
            </w:r>
            <w:r>
              <w:rPr>
                <w:rFonts w:hint="default" w:ascii="Calibri" w:hAnsi="Calibri" w:eastAsia="宋体" w:cs="Times New Roman"/>
                <w:color w:val="auto"/>
                <w:highlight w:val="none"/>
              </w:rPr>
              <w:t xml:space="preserve">                </w:t>
            </w:r>
          </w:p>
        </w:tc>
      </w:tr>
      <w:tr w14:paraId="560E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10" w:hRule="atLeast"/>
          <w:jc w:val="center"/>
        </w:trPr>
        <w:tc>
          <w:tcPr>
            <w:tcW w:w="1247" w:type="dxa"/>
            <w:noWrap w:val="0"/>
            <w:vAlign w:val="center"/>
          </w:tcPr>
          <w:p w14:paraId="3B8AF0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1.4.2</w:t>
            </w:r>
          </w:p>
        </w:tc>
        <w:tc>
          <w:tcPr>
            <w:tcW w:w="3674" w:type="dxa"/>
            <w:gridSpan w:val="2"/>
            <w:noWrap w:val="0"/>
            <w:vAlign w:val="center"/>
          </w:tcPr>
          <w:p w14:paraId="5D0596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是否接受联合体投标</w:t>
            </w:r>
          </w:p>
        </w:tc>
        <w:tc>
          <w:tcPr>
            <w:tcW w:w="4409" w:type="dxa"/>
            <w:noWrap w:val="0"/>
            <w:vAlign w:val="center"/>
          </w:tcPr>
          <w:p w14:paraId="319D2D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ascii="Calibri" w:hAnsi="Calibri" w:eastAsia="宋体" w:cs="宋体"/>
                <w:color w:val="auto"/>
                <w:highlight w:val="none"/>
              </w:rPr>
            </w:pPr>
            <w:r>
              <w:rPr>
                <w:rFonts w:hint="eastAsia" w:ascii="Calibri" w:hAnsi="Calibri" w:eastAsia="宋体" w:cs="宋体"/>
                <w:color w:val="auto"/>
                <w:highlight w:val="none"/>
              </w:rPr>
              <w:t>□不接受</w:t>
            </w:r>
            <w:r>
              <w:rPr>
                <w:rFonts w:hint="default" w:ascii="Calibri" w:hAnsi="Calibri" w:eastAsia="宋体" w:cs="Times New Roman"/>
                <w:color w:val="auto"/>
                <w:highlight w:val="none"/>
              </w:rPr>
              <w:t xml:space="preserve">    </w:t>
            </w:r>
            <w:r>
              <w:rPr>
                <w:rFonts w:hint="eastAsia" w:ascii="Calibri" w:hAnsi="Calibri" w:cs="宋体"/>
                <w:color w:val="auto"/>
                <w:highlight w:val="none"/>
                <w:lang w:eastAsia="zh-CN"/>
              </w:rPr>
              <w:t>☑</w:t>
            </w:r>
            <w:r>
              <w:rPr>
                <w:rFonts w:hint="eastAsia" w:ascii="Calibri" w:hAnsi="Calibri" w:eastAsia="宋体" w:cs="宋体"/>
                <w:color w:val="auto"/>
                <w:highlight w:val="none"/>
              </w:rPr>
              <w:t>接受</w:t>
            </w:r>
          </w:p>
          <w:p w14:paraId="3C3F73C4">
            <w:pPr>
              <w:keepNext w:val="0"/>
              <w:keepLines w:val="0"/>
              <w:suppressLineNumbers w:val="0"/>
              <w:spacing w:before="0" w:beforeAutospacing="0" w:after="0" w:afterAutospacing="0" w:line="360" w:lineRule="auto"/>
              <w:ind w:left="0" w:right="0"/>
              <w:rPr>
                <w:rFonts w:hint="eastAsia"/>
                <w:color w:val="auto"/>
                <w:highlight w:val="none"/>
                <w:lang w:val="en-US" w:eastAsia="zh-CN"/>
              </w:rPr>
            </w:pPr>
            <w:r>
              <w:rPr>
                <w:rFonts w:hint="eastAsia" w:ascii="Calibri" w:hAnsi="Calibri" w:eastAsia="宋体" w:cs="宋体"/>
                <w:color w:val="auto"/>
                <w:highlight w:val="none"/>
              </w:rPr>
              <w:t>联合体投标的，应满足下列要求：</w:t>
            </w:r>
            <w:r>
              <w:rPr>
                <w:rFonts w:hint="default" w:ascii="Calibri" w:hAnsi="Calibri" w:eastAsia="宋体" w:cs="Times New Roman"/>
                <w:color w:val="auto"/>
                <w:highlight w:val="none"/>
                <w:u w:val="single"/>
              </w:rPr>
              <w:t xml:space="preserve"> </w:t>
            </w:r>
            <w:bookmarkStart w:id="81" w:name="EB9a2d93928c864db0b52acd503f991e8b"/>
            <w:r>
              <w:rPr>
                <w:rFonts w:hint="eastAsia"/>
                <w:color w:val="auto"/>
                <w:highlight w:val="none"/>
                <w:lang w:val="en-US" w:eastAsia="zh-CN"/>
              </w:rPr>
              <w:t>联合体宜按项目情况采取以下两种模式之一：</w:t>
            </w:r>
          </w:p>
          <w:p w14:paraId="59BD43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color w:val="auto"/>
                <w:highlight w:val="none"/>
              </w:rPr>
            </w:pPr>
            <w:r>
              <w:rPr>
                <w:rFonts w:hint="eastAsia"/>
                <w:color w:val="auto"/>
                <w:highlight w:val="none"/>
                <w:lang w:val="en-US" w:eastAsia="zh-CN"/>
              </w:rPr>
              <w:t>（1）1+1+N模式：第一个1为联合体主办单位，第二个1为联合体主办单位控股且在南宁市注册具备法人资格的下属公司，N为联合体主办单位控股的具备法人资格的下属施工企业或注册地在南宁市的施工企业。（2）1+N模式：①1为联合体主办单位，N为联合体主办单位控股且在南宁市注册具备法人资格的下属施工企业或者注册地在南宁市的施工企业；②1为注册地在南宁市的联合体主办单位，N为施工企业。（备注：1、联合体参与投标的，联合体各方应当签订联合体协议书，其中联合体牵头人代表联合体各方成员负责投标和合同实施阶段的主办、协调工作，但联合体其他成员在投标、签约与履行合同过程中，负有连带的和各自的法律责任；2、注册地在广西的建筑业企业与区外建筑业企业采用联合体形式参与轨道交通、隧道、综合管廊、大型桥梁项目投标的，联合体诚信综合评价分按最高的企业计取，其余情况，联合体的诚信综合评价分按联合体牵头人的企业认定。3、/）</w:t>
            </w:r>
            <w:bookmarkEnd w:id="81"/>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tc>
      </w:tr>
      <w:tr w14:paraId="4FC6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10" w:hRule="atLeast"/>
          <w:jc w:val="center"/>
        </w:trPr>
        <w:tc>
          <w:tcPr>
            <w:tcW w:w="1247" w:type="dxa"/>
            <w:noWrap w:val="0"/>
            <w:vAlign w:val="center"/>
          </w:tcPr>
          <w:p w14:paraId="7E52BA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1.9.1</w:t>
            </w:r>
          </w:p>
        </w:tc>
        <w:tc>
          <w:tcPr>
            <w:tcW w:w="3674" w:type="dxa"/>
            <w:gridSpan w:val="2"/>
            <w:noWrap w:val="0"/>
            <w:vAlign w:val="center"/>
          </w:tcPr>
          <w:p w14:paraId="733D52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踏勘现场</w:t>
            </w:r>
          </w:p>
        </w:tc>
        <w:tc>
          <w:tcPr>
            <w:tcW w:w="4409" w:type="dxa"/>
            <w:noWrap w:val="0"/>
            <w:vAlign w:val="center"/>
          </w:tcPr>
          <w:p w14:paraId="4F01BB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不组织</w:t>
            </w:r>
          </w:p>
        </w:tc>
      </w:tr>
      <w:tr w14:paraId="0ADA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10" w:hRule="atLeast"/>
          <w:jc w:val="center"/>
        </w:trPr>
        <w:tc>
          <w:tcPr>
            <w:tcW w:w="1247" w:type="dxa"/>
            <w:noWrap w:val="0"/>
            <w:vAlign w:val="center"/>
          </w:tcPr>
          <w:p w14:paraId="00A033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1.10</w:t>
            </w:r>
          </w:p>
        </w:tc>
        <w:tc>
          <w:tcPr>
            <w:tcW w:w="3674" w:type="dxa"/>
            <w:gridSpan w:val="2"/>
            <w:noWrap w:val="0"/>
            <w:vAlign w:val="center"/>
          </w:tcPr>
          <w:p w14:paraId="719CBD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投标预备会</w:t>
            </w:r>
          </w:p>
        </w:tc>
        <w:tc>
          <w:tcPr>
            <w:tcW w:w="4409" w:type="dxa"/>
            <w:noWrap w:val="0"/>
            <w:vAlign w:val="center"/>
          </w:tcPr>
          <w:p w14:paraId="1DC179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不召开</w:t>
            </w:r>
          </w:p>
        </w:tc>
      </w:tr>
      <w:tr w14:paraId="1BC6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2D33FC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1.11</w:t>
            </w:r>
          </w:p>
        </w:tc>
        <w:tc>
          <w:tcPr>
            <w:tcW w:w="3674" w:type="dxa"/>
            <w:gridSpan w:val="2"/>
            <w:noWrap w:val="0"/>
            <w:vAlign w:val="center"/>
          </w:tcPr>
          <w:p w14:paraId="7DF256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分</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包</w:t>
            </w:r>
          </w:p>
        </w:tc>
        <w:tc>
          <w:tcPr>
            <w:tcW w:w="4409" w:type="dxa"/>
            <w:noWrap w:val="0"/>
            <w:vAlign w:val="center"/>
          </w:tcPr>
          <w:p w14:paraId="294688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cs="宋体"/>
                <w:color w:val="auto"/>
                <w:highlight w:val="none"/>
                <w:lang w:eastAsia="zh-CN"/>
              </w:rPr>
              <w:t>☑</w:t>
            </w:r>
            <w:r>
              <w:rPr>
                <w:rFonts w:hint="eastAsia" w:ascii="Calibri" w:hAnsi="Calibri" w:eastAsia="宋体" w:cs="宋体"/>
                <w:color w:val="auto"/>
                <w:highlight w:val="none"/>
              </w:rPr>
              <w:t>不允许</w:t>
            </w:r>
          </w:p>
          <w:p w14:paraId="0579C8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□允许，分包内容要求：</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p w14:paraId="765573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分包金额要求：</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p w14:paraId="35A05B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840" w:firstLineChars="4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接受分包的第三人资质要求：</w:t>
            </w:r>
            <w:r>
              <w:rPr>
                <w:rFonts w:hint="eastAsia" w:ascii="Calibri" w:hAnsi="Calibri" w:eastAsia="宋体" w:cs="宋体"/>
                <w:color w:val="auto"/>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 xml:space="preserve">。       </w:t>
            </w:r>
          </w:p>
          <w:p w14:paraId="7600E8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840" w:firstLineChars="400"/>
              <w:textAlignment w:val="auto"/>
              <w:rPr>
                <w:rFonts w:hint="default" w:ascii="Calibri" w:hAnsi="Calibri" w:eastAsia="宋体" w:cs="宋体"/>
                <w:color w:val="auto"/>
                <w:highlight w:val="none"/>
                <w:u w:val="single"/>
              </w:rPr>
            </w:pPr>
            <w:r>
              <w:rPr>
                <w:rFonts w:hint="eastAsia" w:ascii="Calibri" w:hAnsi="Calibri" w:eastAsia="宋体" w:cs="宋体"/>
                <w:color w:val="auto"/>
                <w:highlight w:val="none"/>
              </w:rPr>
              <w:t>分包其他要求：依据招标文件规定享受中小企业扶持政策获得政府采购工程合同的，小微企业不得将合同分包给大中型企业，中型企业不得将合同分包给大型企业，否则招标人有权要求其改正；拒不改正的，招标人可终止合同，并报请有关行政监督部门查处。</w:t>
            </w:r>
          </w:p>
        </w:tc>
      </w:tr>
      <w:tr w14:paraId="6C39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90" w:hRule="atLeast"/>
          <w:jc w:val="center"/>
        </w:trPr>
        <w:tc>
          <w:tcPr>
            <w:tcW w:w="1247" w:type="dxa"/>
            <w:noWrap w:val="0"/>
            <w:vAlign w:val="center"/>
          </w:tcPr>
          <w:p w14:paraId="44EDAC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1.12</w:t>
            </w:r>
          </w:p>
        </w:tc>
        <w:tc>
          <w:tcPr>
            <w:tcW w:w="3674" w:type="dxa"/>
            <w:gridSpan w:val="2"/>
            <w:noWrap w:val="0"/>
            <w:vAlign w:val="center"/>
          </w:tcPr>
          <w:p w14:paraId="2F60C3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偏</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离</w:t>
            </w:r>
          </w:p>
        </w:tc>
        <w:tc>
          <w:tcPr>
            <w:tcW w:w="4409" w:type="dxa"/>
            <w:noWrap w:val="0"/>
            <w:vAlign w:val="center"/>
          </w:tcPr>
          <w:p w14:paraId="39B47F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不允许</w:t>
            </w:r>
          </w:p>
        </w:tc>
      </w:tr>
      <w:tr w14:paraId="2316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90" w:hRule="atLeast"/>
          <w:jc w:val="center"/>
        </w:trPr>
        <w:tc>
          <w:tcPr>
            <w:tcW w:w="1247" w:type="dxa"/>
            <w:noWrap w:val="0"/>
            <w:vAlign w:val="center"/>
          </w:tcPr>
          <w:p w14:paraId="3E741D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2.1.1</w:t>
            </w:r>
            <w:r>
              <w:rPr>
                <w:rFonts w:hint="eastAsia" w:ascii="Calibri" w:hAnsi="Calibri" w:cs="Times New Roman"/>
                <w:color w:val="auto"/>
                <w:highlight w:val="none"/>
                <w:lang w:eastAsia="zh-CN"/>
              </w:rPr>
              <w:t>(</w:t>
            </w:r>
            <w:r>
              <w:rPr>
                <w:rFonts w:hint="default" w:ascii="Calibri" w:hAnsi="Calibri" w:eastAsia="宋体" w:cs="Times New Roman"/>
                <w:color w:val="auto"/>
                <w:highlight w:val="none"/>
              </w:rPr>
              <w:t>10</w:t>
            </w:r>
            <w:r>
              <w:rPr>
                <w:rFonts w:hint="eastAsia" w:ascii="Calibri" w:hAnsi="Calibri" w:cs="Times New Roman"/>
                <w:color w:val="auto"/>
                <w:highlight w:val="none"/>
                <w:lang w:eastAsia="zh-CN"/>
              </w:rPr>
              <w:t>)</w:t>
            </w:r>
          </w:p>
        </w:tc>
        <w:tc>
          <w:tcPr>
            <w:tcW w:w="3674" w:type="dxa"/>
            <w:gridSpan w:val="2"/>
            <w:noWrap w:val="0"/>
            <w:vAlign w:val="center"/>
          </w:tcPr>
          <w:p w14:paraId="25E035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构成招标文件的其他材料</w:t>
            </w:r>
          </w:p>
        </w:tc>
        <w:tc>
          <w:tcPr>
            <w:tcW w:w="4409" w:type="dxa"/>
            <w:noWrap w:val="0"/>
            <w:vAlign w:val="center"/>
          </w:tcPr>
          <w:p w14:paraId="37D57E1C">
            <w:pPr>
              <w:keepNext w:val="0"/>
              <w:keepLines w:val="0"/>
              <w:pageBreakBefore w:val="0"/>
              <w:suppressLineNumbers w:val="0"/>
              <w:tabs>
                <w:tab w:val="left" w:pos="826"/>
              </w:tabs>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招标文件的澄清、修改、补充通知等内容</w:t>
            </w:r>
          </w:p>
        </w:tc>
      </w:tr>
      <w:tr w14:paraId="1A26F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54" w:hRule="atLeast"/>
          <w:jc w:val="center"/>
        </w:trPr>
        <w:tc>
          <w:tcPr>
            <w:tcW w:w="1247" w:type="dxa"/>
            <w:noWrap w:val="0"/>
            <w:vAlign w:val="center"/>
          </w:tcPr>
          <w:p w14:paraId="11F300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2.2.1</w:t>
            </w:r>
          </w:p>
        </w:tc>
        <w:tc>
          <w:tcPr>
            <w:tcW w:w="3674" w:type="dxa"/>
            <w:gridSpan w:val="2"/>
            <w:noWrap w:val="0"/>
            <w:vAlign w:val="center"/>
          </w:tcPr>
          <w:p w14:paraId="260093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投标人对招标文件提出异议的截止时间</w:t>
            </w:r>
          </w:p>
        </w:tc>
        <w:tc>
          <w:tcPr>
            <w:tcW w:w="4409" w:type="dxa"/>
            <w:noWrap w:val="0"/>
            <w:vAlign w:val="center"/>
          </w:tcPr>
          <w:p w14:paraId="2DBFA3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投标截止时间</w:t>
            </w:r>
            <w:r>
              <w:rPr>
                <w:rFonts w:hint="default" w:ascii="Calibri" w:hAnsi="Calibri" w:eastAsia="宋体" w:cs="Times New Roman"/>
                <w:color w:val="auto"/>
                <w:highlight w:val="none"/>
              </w:rPr>
              <w:t>10</w:t>
            </w:r>
            <w:r>
              <w:rPr>
                <w:rFonts w:hint="eastAsia" w:ascii="Calibri" w:hAnsi="Calibri" w:eastAsia="宋体" w:cs="宋体"/>
                <w:color w:val="auto"/>
                <w:highlight w:val="none"/>
              </w:rPr>
              <w:t>日前。投标人不在规定期限内通过全国公共资源交易平台（广西壮族自治区）或者</w:t>
            </w:r>
            <w:r>
              <w:rPr>
                <w:rFonts w:hint="default" w:ascii="Calibri" w:hAnsi="Calibri" w:eastAsia="宋体" w:cs="宋体"/>
                <w:color w:val="auto"/>
                <w:highlight w:val="none"/>
              </w:rPr>
              <w:t>线下</w:t>
            </w:r>
            <w:r>
              <w:rPr>
                <w:rFonts w:hint="eastAsia" w:ascii="Calibri" w:hAnsi="Calibri" w:eastAsia="宋体" w:cs="宋体"/>
                <w:color w:val="auto"/>
                <w:highlight w:val="none"/>
              </w:rPr>
              <w:t>提出，招标人有权不予答复，或答复后投标截止时间由招标人确定是否顺延。</w:t>
            </w:r>
          </w:p>
          <w:p w14:paraId="46826E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澄清和答复须通过全国公共资源交易平台（广西壮族自治区）进行。</w:t>
            </w:r>
          </w:p>
        </w:tc>
      </w:tr>
      <w:tr w14:paraId="29EA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54" w:hRule="atLeast"/>
          <w:jc w:val="center"/>
        </w:trPr>
        <w:tc>
          <w:tcPr>
            <w:tcW w:w="1247" w:type="dxa"/>
            <w:vMerge w:val="restart"/>
            <w:noWrap w:val="0"/>
            <w:vAlign w:val="center"/>
          </w:tcPr>
          <w:p w14:paraId="7C3B01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2.2.2</w:t>
            </w:r>
          </w:p>
        </w:tc>
        <w:tc>
          <w:tcPr>
            <w:tcW w:w="3674" w:type="dxa"/>
            <w:gridSpan w:val="2"/>
            <w:noWrap w:val="0"/>
            <w:vAlign w:val="center"/>
          </w:tcPr>
          <w:p w14:paraId="5D7A38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投标截止时间</w:t>
            </w:r>
          </w:p>
        </w:tc>
        <w:tc>
          <w:tcPr>
            <w:tcW w:w="4409" w:type="dxa"/>
            <w:noWrap w:val="0"/>
            <w:vAlign w:val="center"/>
          </w:tcPr>
          <w:p w14:paraId="1710A1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lang w:val="en-US" w:eastAsia="zh-CN"/>
              </w:rPr>
            </w:pPr>
            <w:r>
              <w:rPr>
                <w:rFonts w:hint="eastAsia" w:ascii="Times New Roman" w:hAnsi="Times New Roman" w:eastAsia="宋体" w:cs="Times New Roman"/>
                <w:color w:val="auto"/>
                <w:szCs w:val="21"/>
                <w:highlight w:val="none"/>
                <w:lang w:val="en-US" w:eastAsia="zh-CN"/>
              </w:rPr>
              <w:t>详见招标公告</w:t>
            </w:r>
          </w:p>
        </w:tc>
      </w:tr>
      <w:tr w14:paraId="0423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89" w:hRule="atLeast"/>
          <w:jc w:val="center"/>
        </w:trPr>
        <w:tc>
          <w:tcPr>
            <w:tcW w:w="1247" w:type="dxa"/>
            <w:vMerge w:val="continue"/>
            <w:noWrap w:val="0"/>
            <w:vAlign w:val="center"/>
          </w:tcPr>
          <w:p w14:paraId="72319E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p>
        </w:tc>
        <w:tc>
          <w:tcPr>
            <w:tcW w:w="3674" w:type="dxa"/>
            <w:gridSpan w:val="2"/>
            <w:noWrap w:val="0"/>
            <w:vAlign w:val="center"/>
          </w:tcPr>
          <w:p w14:paraId="500BF3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招标文件澄清发布方式</w:t>
            </w:r>
          </w:p>
        </w:tc>
        <w:tc>
          <w:tcPr>
            <w:tcW w:w="4409" w:type="dxa"/>
            <w:noWrap w:val="0"/>
            <w:vAlign w:val="top"/>
          </w:tcPr>
          <w:p w14:paraId="55D52A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u w:val="single"/>
              </w:rPr>
            </w:pPr>
            <w:r>
              <w:rPr>
                <w:rFonts w:hint="eastAsia" w:ascii="仿宋_GB2312" w:hAnsi="宋体" w:eastAsia="宋体" w:cs="宋体"/>
                <w:color w:val="auto"/>
                <w:highlight w:val="none"/>
              </w:rPr>
              <w:t>在发布招</w:t>
            </w:r>
            <w:r>
              <w:rPr>
                <w:rFonts w:hint="default" w:ascii="仿宋_GB2312" w:hAnsi="宋体" w:eastAsia="宋体" w:cs="宋体"/>
                <w:color w:val="auto"/>
                <w:highlight w:val="none"/>
              </w:rPr>
              <w:t>标</w:t>
            </w:r>
            <w:r>
              <w:rPr>
                <w:rFonts w:hint="eastAsia" w:ascii="仿宋_GB2312" w:hAnsi="宋体" w:eastAsia="宋体" w:cs="宋体"/>
                <w:color w:val="auto"/>
                <w:highlight w:val="none"/>
              </w:rPr>
              <w:t>公告媒介上发布</w:t>
            </w:r>
          </w:p>
        </w:tc>
      </w:tr>
      <w:tr w14:paraId="7FEF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54" w:hRule="atLeast"/>
          <w:jc w:val="center"/>
        </w:trPr>
        <w:tc>
          <w:tcPr>
            <w:tcW w:w="1247" w:type="dxa"/>
            <w:noWrap w:val="0"/>
            <w:vAlign w:val="center"/>
          </w:tcPr>
          <w:p w14:paraId="5F4BAE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2.2.3</w:t>
            </w:r>
          </w:p>
        </w:tc>
        <w:tc>
          <w:tcPr>
            <w:tcW w:w="3674" w:type="dxa"/>
            <w:gridSpan w:val="2"/>
            <w:noWrap w:val="0"/>
            <w:vAlign w:val="center"/>
          </w:tcPr>
          <w:p w14:paraId="35D052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投标人确认收到澄清的方式</w:t>
            </w:r>
          </w:p>
        </w:tc>
        <w:tc>
          <w:tcPr>
            <w:tcW w:w="4409" w:type="dxa"/>
            <w:noWrap w:val="0"/>
            <w:vAlign w:val="center"/>
          </w:tcPr>
          <w:p w14:paraId="42ADBC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澄清文件在本章第</w:t>
            </w:r>
            <w:r>
              <w:rPr>
                <w:rFonts w:hint="default" w:ascii="Calibri" w:hAnsi="Calibri" w:eastAsia="宋体" w:cs="Times New Roman"/>
                <w:color w:val="auto"/>
                <w:highlight w:val="none"/>
              </w:rPr>
              <w:t>2.2.2</w:t>
            </w:r>
            <w:r>
              <w:rPr>
                <w:rFonts w:hint="eastAsia" w:ascii="Calibri" w:hAnsi="Calibri" w:eastAsia="宋体" w:cs="宋体"/>
                <w:color w:val="auto"/>
                <w:highlight w:val="none"/>
              </w:rPr>
              <w:t>款规定的网站上发布之日起，视为投标人已收到该澄清。投标人未及时关注招标人在网站上发布的澄清文件造成的损失，由投标人自行负责。</w:t>
            </w:r>
          </w:p>
        </w:tc>
      </w:tr>
      <w:tr w14:paraId="0BE7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910" w:hRule="atLeast"/>
          <w:jc w:val="center"/>
        </w:trPr>
        <w:tc>
          <w:tcPr>
            <w:tcW w:w="1247" w:type="dxa"/>
            <w:noWrap w:val="0"/>
            <w:vAlign w:val="center"/>
          </w:tcPr>
          <w:p w14:paraId="15C245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3.1.1</w:t>
            </w:r>
          </w:p>
        </w:tc>
        <w:tc>
          <w:tcPr>
            <w:tcW w:w="3674" w:type="dxa"/>
            <w:gridSpan w:val="2"/>
            <w:noWrap w:val="0"/>
            <w:vAlign w:val="center"/>
          </w:tcPr>
          <w:p w14:paraId="7644EE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构成投标文件的材料</w:t>
            </w:r>
          </w:p>
          <w:p w14:paraId="06941F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楷体_GB2312" w:hAnsi="Calibri" w:eastAsia="楷体_GB2312" w:cs="Times New Roman"/>
                <w:color w:val="auto"/>
                <w:highlight w:val="none"/>
              </w:rPr>
            </w:pPr>
            <w:r>
              <w:rPr>
                <w:rFonts w:hint="eastAsia" w:ascii="Calibri" w:hAnsi="Calibri" w:eastAsia="楷体_GB2312" w:cs="楷体_GB2312"/>
                <w:color w:val="auto"/>
                <w:highlight w:val="none"/>
              </w:rPr>
              <w:t>【备注：</w:t>
            </w:r>
            <w:r>
              <w:rPr>
                <w:rFonts w:hint="eastAsia" w:ascii="楷体_GB2312" w:hAnsi="Calibri" w:eastAsia="楷体_GB2312" w:cs="楷体_GB2312"/>
                <w:color w:val="auto"/>
                <w:highlight w:val="none"/>
              </w:rPr>
              <w:t>右栏招标人可根据需要进行增减</w:t>
            </w:r>
            <w:r>
              <w:rPr>
                <w:rFonts w:hint="eastAsia" w:ascii="Calibri" w:hAnsi="Calibri" w:eastAsia="楷体_GB2312" w:cs="楷体_GB2312"/>
                <w:color w:val="auto"/>
                <w:highlight w:val="none"/>
              </w:rPr>
              <w:t>】</w:t>
            </w:r>
          </w:p>
        </w:tc>
        <w:tc>
          <w:tcPr>
            <w:tcW w:w="4409" w:type="dxa"/>
            <w:noWrap w:val="0"/>
            <w:vAlign w:val="center"/>
          </w:tcPr>
          <w:p w14:paraId="6F5435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sz w:val="24"/>
                <w:szCs w:val="24"/>
                <w:highlight w:val="none"/>
              </w:rPr>
            </w:pPr>
            <w:r>
              <w:rPr>
                <w:rFonts w:hint="eastAsia" w:ascii="Calibri" w:hAnsi="Calibri" w:eastAsia="宋体" w:cs="宋体"/>
                <w:color w:val="auto"/>
                <w:highlight w:val="none"/>
              </w:rPr>
              <w:t>投标文件的组成部分：资格审查部分、商务标部分、技术标部分组成</w:t>
            </w:r>
          </w:p>
          <w:p w14:paraId="4F18E4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eastAsia="宋体" w:cs="宋体"/>
                <w:b/>
                <w:bCs/>
                <w:color w:val="auto"/>
                <w:highlight w:val="none"/>
              </w:rPr>
              <w:t>资格审查部分</w:t>
            </w:r>
            <w:r>
              <w:rPr>
                <w:rFonts w:hint="eastAsia" w:ascii="Calibri" w:hAnsi="Calibri" w:eastAsia="宋体" w:cs="宋体"/>
                <w:color w:val="auto"/>
                <w:highlight w:val="none"/>
              </w:rPr>
              <w:t>：</w:t>
            </w:r>
          </w:p>
          <w:p w14:paraId="20C608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rPr>
              <w:t>（1）专职投标员身份证</w:t>
            </w:r>
            <w:r>
              <w:rPr>
                <w:rFonts w:hint="eastAsia"/>
                <w:color w:val="auto"/>
                <w:highlight w:val="none"/>
                <w:lang w:val="en-US" w:eastAsia="zh-CN"/>
              </w:rPr>
              <w:t>及</w:t>
            </w:r>
            <w:r>
              <w:rPr>
                <w:rFonts w:hint="eastAsia" w:ascii="Calibri" w:hAnsi="Calibri" w:eastAsia="宋体" w:cs="宋体"/>
                <w:color w:val="auto"/>
                <w:highlight w:val="none"/>
              </w:rPr>
              <w:t>投标截止时间前3个月内任意1个月（投标截止时间所在月份不计）</w:t>
            </w:r>
            <w:r>
              <w:rPr>
                <w:rFonts w:hint="eastAsia" w:ascii="Calibri" w:hAnsi="Calibri" w:cs="宋体"/>
                <w:color w:val="auto"/>
                <w:highlight w:val="none"/>
                <w:lang w:eastAsia="zh-CN"/>
              </w:rPr>
              <w:t>在现任职单位</w:t>
            </w:r>
            <w:r>
              <w:rPr>
                <w:rFonts w:hint="eastAsia" w:ascii="Calibri" w:hAnsi="Calibri" w:eastAsia="宋体" w:cs="宋体"/>
                <w:color w:val="auto"/>
                <w:highlight w:val="none"/>
              </w:rPr>
              <w:t>依法缴纳社会保险证明材料的</w:t>
            </w:r>
            <w:r>
              <w:rPr>
                <w:rFonts w:hint="eastAsia" w:ascii="Times New Roman" w:hAnsi="Times New Roman" w:eastAsia="宋体" w:cs="宋体"/>
                <w:color w:val="auto"/>
                <w:highlight w:val="none"/>
              </w:rPr>
              <w:t>扫描件</w:t>
            </w:r>
            <w:r>
              <w:rPr>
                <w:rFonts w:hint="eastAsia" w:cs="宋体"/>
                <w:color w:val="auto"/>
                <w:highlight w:val="none"/>
                <w:lang w:eastAsia="zh-CN"/>
              </w:rPr>
              <w:t>。</w:t>
            </w:r>
          </w:p>
          <w:p w14:paraId="58D6D7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2</w:t>
            </w:r>
            <w:r>
              <w:rPr>
                <w:rFonts w:hint="eastAsia" w:ascii="Calibri" w:hAnsi="Calibri" w:eastAsia="宋体" w:cs="宋体"/>
                <w:color w:val="auto"/>
                <w:highlight w:val="none"/>
              </w:rPr>
              <w:t>）投标人基本情况表（包含联合体各方企业基本情况、营业执照、安全生产许可证、资质证书与录入</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桂建云</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有效的信息相符）；</w:t>
            </w:r>
          </w:p>
          <w:p w14:paraId="605306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3</w:t>
            </w:r>
            <w:r>
              <w:rPr>
                <w:rFonts w:hint="eastAsia" w:ascii="Calibri" w:hAnsi="Calibri" w:eastAsia="宋体" w:cs="宋体"/>
                <w:color w:val="auto"/>
                <w:highlight w:val="none"/>
              </w:rPr>
              <w:t>）联合体投标协议书（如有）；</w:t>
            </w:r>
          </w:p>
          <w:p w14:paraId="50FCFC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4</w:t>
            </w:r>
            <w:r>
              <w:rPr>
                <w:rFonts w:hint="eastAsia" w:ascii="Calibri" w:hAnsi="Calibri" w:eastAsia="宋体" w:cs="宋体"/>
                <w:color w:val="auto"/>
                <w:highlight w:val="none"/>
              </w:rPr>
              <w:t>）投标保证金的</w:t>
            </w:r>
            <w:r>
              <w:rPr>
                <w:rFonts w:hint="eastAsia" w:ascii="Calibri" w:hAnsi="Calibri" w:eastAsia="宋体" w:cs="宋体"/>
                <w:color w:val="auto"/>
                <w:highlight w:val="none"/>
                <w:lang w:eastAsia="zh-CN"/>
              </w:rPr>
              <w:t>转账</w:t>
            </w:r>
            <w:r>
              <w:rPr>
                <w:rFonts w:hint="eastAsia" w:ascii="Calibri" w:hAnsi="Calibri" w:eastAsia="宋体" w:cs="宋体"/>
                <w:color w:val="auto"/>
                <w:highlight w:val="none"/>
              </w:rPr>
              <w:t>（或电汇、网上支付）底单原件的扫描件、电子转账截图或保函（</w:t>
            </w:r>
            <w:r>
              <w:rPr>
                <w:rFonts w:hint="eastAsia" w:ascii="Times New Roman" w:hAnsi="宋体" w:eastAsia="宋体" w:cs="Times New Roman"/>
                <w:b w:val="0"/>
                <w:i w:val="0"/>
                <w:caps w:val="0"/>
                <w:color w:val="auto"/>
                <w:spacing w:val="0"/>
                <w:sz w:val="21"/>
                <w:szCs w:val="21"/>
                <w:highlight w:val="none"/>
                <w:shd w:val="clear" w:color="auto" w:fill="auto"/>
                <w:lang w:bidi="ar-SA"/>
              </w:rPr>
              <w:t>投标人使用</w:t>
            </w:r>
            <w:r>
              <w:rPr>
                <w:rFonts w:hint="eastAsia" w:hAnsi="宋体" w:cs="Times New Roman"/>
                <w:b w:val="0"/>
                <w:i w:val="0"/>
                <w:caps w:val="0"/>
                <w:color w:val="auto"/>
                <w:spacing w:val="0"/>
                <w:sz w:val="21"/>
                <w:szCs w:val="21"/>
                <w:highlight w:val="none"/>
                <w:shd w:val="clear" w:color="auto" w:fill="auto"/>
                <w:lang w:eastAsia="zh-CN" w:bidi="ar-SA"/>
              </w:rPr>
              <w:t>银行保函、电子保函、保证保险保函、工程担保保函</w:t>
            </w:r>
            <w:r>
              <w:rPr>
                <w:rFonts w:hint="eastAsia" w:ascii="Times New Roman" w:hAnsi="宋体" w:eastAsia="宋体" w:cs="Times New Roman"/>
                <w:b w:val="0"/>
                <w:i w:val="0"/>
                <w:caps w:val="0"/>
                <w:color w:val="auto"/>
                <w:spacing w:val="0"/>
                <w:sz w:val="21"/>
                <w:szCs w:val="21"/>
                <w:highlight w:val="none"/>
                <w:shd w:val="clear" w:color="auto" w:fill="auto"/>
                <w:lang w:bidi="ar-SA"/>
              </w:rPr>
              <w:t>时，投标人开具纸质保函的，需将保函原件扫描件作为投标文件的组成部分同步上传至全国公共资源交易平台(广西壮族自治区)，</w:t>
            </w:r>
            <w:r>
              <w:rPr>
                <w:rFonts w:hint="eastAsia" w:hAnsi="宋体" w:cs="Times New Roman"/>
                <w:b w:val="0"/>
                <w:i w:val="0"/>
                <w:caps w:val="0"/>
                <w:color w:val="auto"/>
                <w:spacing w:val="0"/>
                <w:sz w:val="21"/>
                <w:szCs w:val="21"/>
                <w:highlight w:val="none"/>
                <w:shd w:val="clear" w:color="auto" w:fill="auto"/>
                <w:lang w:eastAsia="zh-CN" w:bidi="ar-SA"/>
              </w:rPr>
              <w:t>采用工程担保保函的</w:t>
            </w:r>
            <w:r>
              <w:rPr>
                <w:rFonts w:hint="eastAsia" w:ascii="Times New Roman" w:hAnsi="宋体" w:eastAsia="宋体" w:cs="Times New Roman"/>
                <w:b w:val="0"/>
                <w:i w:val="0"/>
                <w:caps w:val="0"/>
                <w:color w:val="auto"/>
                <w:spacing w:val="0"/>
                <w:sz w:val="21"/>
                <w:szCs w:val="21"/>
                <w:highlight w:val="none"/>
                <w:shd w:val="clear" w:color="auto" w:fill="auto"/>
                <w:lang w:bidi="ar-SA"/>
              </w:rPr>
              <w:t>，工程担保保证人应将出具的纸质保函相关信息录入</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广西建筑市场监管云</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平台，以实现开标时保函的自动查询及验真通过，否则投标无效</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投标人开具电子保函的，需通过全国公共资源交易平台(广西壮族自治区)电子交易系统在开标时自动认证通过，否则投标无效</w:t>
            </w:r>
            <w:r>
              <w:rPr>
                <w:rFonts w:hint="eastAsia" w:ascii="Times New Roman" w:hAnsi="宋体" w:eastAsia="宋体" w:cs="Times New Roman"/>
                <w:b w:val="0"/>
                <w:i w:val="0"/>
                <w:caps w:val="0"/>
                <w:color w:val="auto"/>
                <w:spacing w:val="0"/>
                <w:sz w:val="21"/>
                <w:szCs w:val="21"/>
                <w:highlight w:val="none"/>
                <w:shd w:val="clear" w:color="auto" w:fill="auto"/>
                <w:lang w:eastAsia="zh-CN" w:bidi="ar-SA"/>
              </w:rPr>
              <w:t>）</w:t>
            </w:r>
            <w:r>
              <w:rPr>
                <w:rFonts w:hint="eastAsia" w:ascii="Calibri" w:hAnsi="Calibri" w:eastAsia="宋体" w:cs="宋体"/>
                <w:color w:val="auto"/>
                <w:highlight w:val="none"/>
              </w:rPr>
              <w:t>；</w:t>
            </w:r>
          </w:p>
          <w:p w14:paraId="493B20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5</w:t>
            </w:r>
            <w:r>
              <w:rPr>
                <w:rFonts w:hint="eastAsia" w:ascii="Calibri" w:hAnsi="Calibri" w:eastAsia="宋体" w:cs="宋体"/>
                <w:color w:val="auto"/>
                <w:highlight w:val="none"/>
              </w:rPr>
              <w:t>）建设工程项目管理承诺书；</w:t>
            </w:r>
          </w:p>
          <w:p w14:paraId="4AB44A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6</w:t>
            </w:r>
            <w:r>
              <w:rPr>
                <w:rFonts w:hint="eastAsia" w:ascii="Calibri" w:hAnsi="Calibri" w:eastAsia="宋体" w:cs="宋体"/>
                <w:color w:val="auto"/>
                <w:highlight w:val="none"/>
              </w:rPr>
              <w:t>）项目经理简历表（与录入</w:t>
            </w:r>
            <w:r>
              <w:rPr>
                <w:rFonts w:hint="eastAsia" w:ascii="Calibri" w:hAnsi="Calibri" w:cs="宋体"/>
                <w:color w:val="auto"/>
                <w:highlight w:val="none"/>
                <w:lang w:eastAsia="zh-CN"/>
              </w:rPr>
              <w:t>“</w:t>
            </w:r>
            <w:r>
              <w:rPr>
                <w:rFonts w:hint="eastAsia" w:ascii="Calibri" w:hAnsi="Calibri" w:eastAsia="宋体" w:cs="宋体"/>
                <w:color w:val="auto"/>
                <w:highlight w:val="none"/>
              </w:rPr>
              <w:t>桂建云</w:t>
            </w:r>
            <w:r>
              <w:rPr>
                <w:rFonts w:hint="eastAsia" w:ascii="Calibri" w:hAnsi="Calibri" w:cs="宋体"/>
                <w:color w:val="auto"/>
                <w:highlight w:val="none"/>
                <w:lang w:eastAsia="zh-CN"/>
              </w:rPr>
              <w:t>”</w:t>
            </w:r>
            <w:r>
              <w:rPr>
                <w:rFonts w:hint="eastAsia" w:ascii="Calibri" w:hAnsi="Calibri" w:eastAsia="宋体" w:cs="宋体"/>
                <w:color w:val="auto"/>
                <w:highlight w:val="none"/>
              </w:rPr>
              <w:t>的项目经理注册建造师执业资格证书和安全生产考核合格证书（</w:t>
            </w:r>
            <w:r>
              <w:rPr>
                <w:rFonts w:hint="default" w:ascii="Calibri" w:hAnsi="Calibri" w:eastAsia="宋体" w:cs="Times New Roman"/>
                <w:color w:val="auto"/>
                <w:highlight w:val="none"/>
              </w:rPr>
              <w:t>B</w:t>
            </w:r>
            <w:r>
              <w:rPr>
                <w:rFonts w:hint="eastAsia" w:ascii="Calibri" w:hAnsi="Calibri" w:eastAsia="宋体" w:cs="宋体"/>
                <w:color w:val="auto"/>
                <w:highlight w:val="none"/>
              </w:rPr>
              <w:t>类）的信息相</w:t>
            </w:r>
            <w:r>
              <w:rPr>
                <w:rFonts w:hint="default" w:ascii="Calibri" w:hAnsi="Calibri" w:eastAsia="宋体" w:cs="宋体"/>
                <w:color w:val="auto"/>
                <w:highlight w:val="none"/>
              </w:rPr>
              <w:t>符</w:t>
            </w:r>
            <w:r>
              <w:rPr>
                <w:rFonts w:hint="eastAsia" w:ascii="Calibri" w:hAnsi="Calibri" w:eastAsia="宋体" w:cs="宋体"/>
                <w:color w:val="auto"/>
                <w:highlight w:val="none"/>
              </w:rPr>
              <w:t>）；</w:t>
            </w:r>
          </w:p>
          <w:p w14:paraId="6B4ECB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7</w:t>
            </w:r>
            <w:r>
              <w:rPr>
                <w:rFonts w:hint="eastAsia" w:ascii="Calibri" w:hAnsi="Calibri" w:eastAsia="宋体" w:cs="宋体"/>
                <w:color w:val="auto"/>
                <w:highlight w:val="none"/>
              </w:rPr>
              <w:t>）项目技术负责人简历表（与录入</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桂建云</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的</w:t>
            </w:r>
            <w:r>
              <w:rPr>
                <w:rFonts w:hint="default" w:ascii="Calibri" w:hAnsi="Calibri" w:eastAsia="宋体" w:cs="宋体"/>
                <w:color w:val="auto"/>
                <w:highlight w:val="none"/>
              </w:rPr>
              <w:t>职称证书的</w:t>
            </w:r>
            <w:r>
              <w:rPr>
                <w:rFonts w:hint="eastAsia" w:ascii="Calibri" w:hAnsi="Calibri" w:eastAsia="宋体" w:cs="宋体"/>
                <w:color w:val="auto"/>
                <w:highlight w:val="none"/>
              </w:rPr>
              <w:t>信息</w:t>
            </w:r>
            <w:r>
              <w:rPr>
                <w:rFonts w:hint="default" w:ascii="Calibri" w:hAnsi="Calibri" w:eastAsia="宋体" w:cs="宋体"/>
                <w:color w:val="auto"/>
                <w:highlight w:val="none"/>
              </w:rPr>
              <w:t>相符</w:t>
            </w:r>
            <w:r>
              <w:rPr>
                <w:rFonts w:hint="eastAsia" w:ascii="Calibri" w:hAnsi="Calibri" w:eastAsia="宋体" w:cs="宋体"/>
                <w:color w:val="auto"/>
                <w:highlight w:val="none"/>
              </w:rPr>
              <w:t>）；</w:t>
            </w:r>
          </w:p>
          <w:p w14:paraId="1C9A4B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8</w:t>
            </w:r>
            <w:r>
              <w:rPr>
                <w:rFonts w:hint="eastAsia" w:ascii="Calibri" w:hAnsi="Calibri" w:eastAsia="宋体" w:cs="宋体"/>
                <w:color w:val="auto"/>
                <w:highlight w:val="none"/>
              </w:rPr>
              <w:t>）专职安全生产管理人员的安全生产考核合格证书（</w:t>
            </w:r>
            <w:r>
              <w:rPr>
                <w:rFonts w:hint="default" w:ascii="Calibri" w:hAnsi="Calibri" w:eastAsia="宋体" w:cs="Times New Roman"/>
                <w:color w:val="auto"/>
                <w:highlight w:val="none"/>
              </w:rPr>
              <w:t>C</w:t>
            </w:r>
            <w:r>
              <w:rPr>
                <w:rFonts w:hint="eastAsia" w:ascii="Calibri" w:hAnsi="Calibri" w:eastAsia="宋体" w:cs="宋体"/>
                <w:color w:val="auto"/>
                <w:highlight w:val="none"/>
              </w:rPr>
              <w:t>类）与录入</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桂建云</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的信息相符</w:t>
            </w:r>
          </w:p>
          <w:p w14:paraId="6CD3D1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9</w:t>
            </w:r>
            <w:r>
              <w:rPr>
                <w:rFonts w:hint="eastAsia" w:ascii="Calibri" w:hAnsi="Calibri" w:eastAsia="宋体" w:cs="宋体"/>
                <w:color w:val="auto"/>
                <w:highlight w:val="none"/>
              </w:rPr>
              <w:t>）项目管理机构配备情况表（</w:t>
            </w:r>
            <w:r>
              <w:rPr>
                <w:rFonts w:hint="default" w:ascii="Calibri" w:hAnsi="Calibri" w:eastAsia="宋体" w:cs="宋体"/>
                <w:color w:val="auto"/>
                <w:highlight w:val="none"/>
              </w:rPr>
              <w:t>含</w:t>
            </w:r>
            <w:r>
              <w:rPr>
                <w:rFonts w:hint="eastAsia" w:ascii="Calibri" w:hAnsi="Calibri" w:eastAsia="宋体" w:cs="宋体"/>
                <w:color w:val="auto"/>
                <w:highlight w:val="none"/>
              </w:rPr>
              <w:t>项目经理、技术负责人和主要管理人员情况）</w:t>
            </w:r>
            <w:r>
              <w:rPr>
                <w:rFonts w:hint="default" w:ascii="Calibri" w:hAnsi="Calibri" w:eastAsia="宋体" w:cs="宋体"/>
                <w:color w:val="auto"/>
                <w:highlight w:val="none"/>
              </w:rPr>
              <w:t>，</w:t>
            </w:r>
            <w:r>
              <w:rPr>
                <w:rFonts w:hint="eastAsia" w:ascii="Calibri" w:hAnsi="Calibri" w:eastAsia="宋体" w:cs="宋体"/>
                <w:color w:val="auto"/>
                <w:highlight w:val="none"/>
              </w:rPr>
              <w:t>提供投标截止时间前3个月内任意1个月（投标截止时间所在月份不计）</w:t>
            </w:r>
            <w:r>
              <w:rPr>
                <w:rFonts w:hint="eastAsia" w:ascii="Calibri" w:hAnsi="Calibri" w:cs="宋体"/>
                <w:color w:val="auto"/>
                <w:highlight w:val="none"/>
                <w:lang w:eastAsia="zh-CN"/>
              </w:rPr>
              <w:t>在现任职单位</w:t>
            </w:r>
            <w:r>
              <w:rPr>
                <w:rFonts w:hint="eastAsia" w:ascii="Calibri" w:hAnsi="Calibri" w:eastAsia="宋体" w:cs="宋体"/>
                <w:color w:val="auto"/>
                <w:highlight w:val="none"/>
              </w:rPr>
              <w:t>依法缴纳社会保险证明材料的扫描件</w:t>
            </w:r>
            <w:r>
              <w:rPr>
                <w:rFonts w:hint="eastAsia" w:ascii="宋体" w:hAnsi="宋体" w:eastAsia="宋体" w:cs="宋体"/>
                <w:color w:val="auto"/>
                <w:szCs w:val="21"/>
                <w:highlight w:val="none"/>
              </w:rPr>
              <w:t>（已退休未满65岁的项目经理不用提供社保，但应附退休证明文件的扫描件，且建造师等注册证书注册单位与投标单位一致）</w:t>
            </w:r>
            <w:r>
              <w:rPr>
                <w:rFonts w:hint="eastAsia" w:ascii="Calibri" w:hAnsi="Calibri" w:eastAsia="宋体" w:cs="宋体"/>
                <w:color w:val="auto"/>
                <w:highlight w:val="none"/>
              </w:rPr>
              <w:t>与录入</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桂建云</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的信息</w:t>
            </w:r>
            <w:r>
              <w:rPr>
                <w:rFonts w:hint="default" w:ascii="Calibri" w:hAnsi="Calibri" w:eastAsia="宋体" w:cs="宋体"/>
                <w:color w:val="auto"/>
                <w:highlight w:val="none"/>
              </w:rPr>
              <w:t>相符</w:t>
            </w:r>
            <w:r>
              <w:rPr>
                <w:rFonts w:hint="eastAsia" w:ascii="Calibri" w:hAnsi="Calibri" w:eastAsia="宋体" w:cs="宋体"/>
                <w:color w:val="auto"/>
                <w:highlight w:val="none"/>
              </w:rPr>
              <w:t>；</w:t>
            </w:r>
          </w:p>
          <w:p w14:paraId="0E9B97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w:t>
            </w:r>
            <w:r>
              <w:rPr>
                <w:rFonts w:hint="eastAsia" w:ascii="Calibri" w:hAnsi="Calibri" w:eastAsia="宋体" w:cs="Times New Roman"/>
                <w:color w:val="auto"/>
                <w:highlight w:val="none"/>
                <w:lang w:val="en-US" w:eastAsia="zh-CN"/>
              </w:rPr>
              <w:t>10</w:t>
            </w:r>
            <w:r>
              <w:rPr>
                <w:rFonts w:hint="eastAsia" w:ascii="Calibri" w:hAnsi="Calibri" w:eastAsia="宋体" w:cs="宋体"/>
                <w:color w:val="auto"/>
                <w:highlight w:val="none"/>
              </w:rPr>
              <w:t>）资格审查需要的其他材料：拟投入施工机械设备情况、企业</w:t>
            </w:r>
            <w:r>
              <w:rPr>
                <w:rFonts w:hint="default" w:ascii="仿宋_GB2312" w:hAnsi="宋体" w:eastAsia="宋体" w:cs="Times New Roman"/>
                <w:color w:val="auto"/>
                <w:highlight w:val="none"/>
                <w:u w:val="single"/>
              </w:rPr>
              <w:t xml:space="preserve">    </w:t>
            </w:r>
            <w:r>
              <w:rPr>
                <w:rFonts w:hint="default" w:ascii="仿宋_GB2312" w:hAnsi="宋体" w:eastAsia="宋体" w:cs="Times New Roman"/>
                <w:color w:val="auto"/>
                <w:highlight w:val="none"/>
              </w:rPr>
              <w:t>年</w:t>
            </w:r>
            <w:r>
              <w:rPr>
                <w:rFonts w:hint="default" w:ascii="仿宋_GB2312" w:hAnsi="宋体" w:eastAsia="宋体" w:cs="Times New Roman"/>
                <w:color w:val="auto"/>
                <w:highlight w:val="none"/>
                <w:u w:val="single"/>
              </w:rPr>
              <w:t xml:space="preserve">   </w:t>
            </w:r>
            <w:r>
              <w:rPr>
                <w:rFonts w:hint="default" w:ascii="仿宋_GB2312" w:hAnsi="宋体" w:eastAsia="宋体" w:cs="Times New Roman"/>
                <w:color w:val="auto"/>
                <w:highlight w:val="none"/>
              </w:rPr>
              <w:t>月至</w:t>
            </w:r>
            <w:r>
              <w:rPr>
                <w:rFonts w:hint="eastAsia" w:ascii="仿宋_GB2312" w:hAnsi="宋体" w:eastAsia="宋体" w:cs="Times New Roman"/>
                <w:color w:val="auto"/>
                <w:highlight w:val="none"/>
              </w:rPr>
              <w:t>投标截止日期止</w:t>
            </w:r>
            <w:r>
              <w:rPr>
                <w:rFonts w:hint="eastAsia" w:ascii="Calibri" w:hAnsi="Calibri" w:eastAsia="宋体" w:cs="宋体"/>
                <w:color w:val="auto"/>
                <w:highlight w:val="none"/>
              </w:rPr>
              <w:t>已完成类似项目（如有）、采用建筑模型（BIM）技术项目业绩（如有）、采用装配式建筑项目业绩（如有）、企业</w:t>
            </w:r>
            <w:r>
              <w:rPr>
                <w:rFonts w:hint="default" w:ascii="仿宋_GB2312" w:hAnsi="宋体" w:eastAsia="宋体" w:cs="Times New Roman"/>
                <w:color w:val="auto"/>
                <w:highlight w:val="none"/>
                <w:u w:val="single"/>
              </w:rPr>
              <w:t xml:space="preserve">   </w:t>
            </w:r>
            <w:r>
              <w:rPr>
                <w:rFonts w:hint="default" w:ascii="仿宋_GB2312" w:hAnsi="宋体" w:eastAsia="宋体" w:cs="Times New Roman"/>
                <w:color w:val="auto"/>
                <w:highlight w:val="none"/>
              </w:rPr>
              <w:t>年至</w:t>
            </w:r>
            <w:r>
              <w:rPr>
                <w:rFonts w:hint="default" w:ascii="仿宋_GB2312" w:hAnsi="宋体" w:eastAsia="宋体" w:cs="Times New Roman"/>
                <w:color w:val="auto"/>
                <w:highlight w:val="none"/>
                <w:u w:val="single"/>
              </w:rPr>
              <w:t xml:space="preserve">   </w:t>
            </w:r>
            <w:r>
              <w:rPr>
                <w:rFonts w:hint="default" w:ascii="仿宋_GB2312" w:hAnsi="宋体" w:eastAsia="宋体" w:cs="Times New Roman"/>
                <w:color w:val="auto"/>
                <w:highlight w:val="none"/>
              </w:rPr>
              <w:t>年</w:t>
            </w:r>
            <w:r>
              <w:rPr>
                <w:rFonts w:hint="eastAsia" w:ascii="Calibri" w:hAnsi="Calibri" w:eastAsia="宋体" w:cs="宋体"/>
                <w:color w:val="auto"/>
                <w:highlight w:val="none"/>
              </w:rPr>
              <w:t>财务状况（</w:t>
            </w:r>
            <w:r>
              <w:rPr>
                <w:rFonts w:hint="eastAsia" w:ascii="Calibri" w:hAnsi="Calibri" w:cs="宋体"/>
                <w:color w:val="auto"/>
                <w:highlight w:val="none"/>
                <w:lang w:eastAsia="zh-CN"/>
              </w:rPr>
              <w:t>联合体投标的联合体各方均须提供</w:t>
            </w:r>
            <w:r>
              <w:rPr>
                <w:rFonts w:hint="eastAsia" w:ascii="Calibri" w:hAnsi="Calibri" w:eastAsia="宋体" w:cs="宋体"/>
                <w:color w:val="auto"/>
                <w:highlight w:val="none"/>
              </w:rPr>
              <w:t>）、《中小企业声明函》或者《残疾人福利性单位声明函》或者省级以上监狱管理局、戒毒管理局（含新疆生产建设兵团）出具的属于</w:t>
            </w:r>
            <w:r>
              <w:rPr>
                <w:rFonts w:hint="eastAsia" w:ascii="Calibri" w:hAnsi="Calibri" w:eastAsia="宋体" w:cs="宋体"/>
                <w:color w:val="auto"/>
                <w:highlight w:val="none"/>
                <w:lang w:eastAsia="zh-CN"/>
              </w:rPr>
              <w:t>监狱企业的证明文件扫描件（预留份额专门面向中小企业采购的项目须提供</w:t>
            </w:r>
            <w:r>
              <w:rPr>
                <w:rFonts w:hint="eastAsia" w:ascii="Calibri" w:hAnsi="Calibri" w:eastAsia="宋体" w:cs="宋体"/>
                <w:color w:val="auto"/>
                <w:highlight w:val="none"/>
              </w:rPr>
              <w:t>）等</w:t>
            </w:r>
            <w:r>
              <w:rPr>
                <w:rFonts w:hint="eastAsia" w:ascii="Calibri" w:hAnsi="Calibri" w:eastAsia="宋体" w:cs="宋体"/>
                <w:color w:val="auto"/>
                <w:highlight w:val="none"/>
                <w:lang w:val="en-US" w:eastAsia="zh-CN"/>
              </w:rPr>
              <w:t xml:space="preserve"> </w:t>
            </w:r>
            <w:r>
              <w:rPr>
                <w:rFonts w:hint="eastAsia" w:ascii="Calibri" w:hAnsi="Calibri" w:eastAsia="宋体" w:cs="宋体"/>
                <w:color w:val="auto"/>
                <w:highlight w:val="none"/>
              </w:rPr>
              <w:t>。</w:t>
            </w:r>
          </w:p>
          <w:p w14:paraId="2EFF91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p w14:paraId="6290D5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b/>
                <w:color w:val="auto"/>
                <w:highlight w:val="none"/>
              </w:rPr>
              <w:t>商务标部分</w:t>
            </w:r>
            <w:r>
              <w:rPr>
                <w:rFonts w:hint="eastAsia" w:ascii="Calibri" w:hAnsi="Calibri" w:eastAsia="宋体" w:cs="宋体"/>
                <w:color w:val="auto"/>
                <w:highlight w:val="none"/>
              </w:rPr>
              <w:t>：</w:t>
            </w:r>
          </w:p>
          <w:p w14:paraId="3481D4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1</w:t>
            </w:r>
            <w:r>
              <w:rPr>
                <w:rFonts w:hint="eastAsia" w:ascii="Calibri" w:hAnsi="Calibri" w:eastAsia="宋体" w:cs="宋体"/>
                <w:color w:val="auto"/>
                <w:highlight w:val="none"/>
              </w:rPr>
              <w:t>）投标函；</w:t>
            </w:r>
          </w:p>
          <w:p w14:paraId="6A5396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2</w:t>
            </w:r>
            <w:r>
              <w:rPr>
                <w:rFonts w:hint="eastAsia" w:ascii="Calibri" w:hAnsi="Calibri" w:eastAsia="宋体" w:cs="宋体"/>
                <w:color w:val="auto"/>
                <w:highlight w:val="none"/>
              </w:rPr>
              <w:t>）投标函附录；</w:t>
            </w:r>
          </w:p>
          <w:p w14:paraId="0DA141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3</w:t>
            </w:r>
            <w:r>
              <w:rPr>
                <w:rFonts w:hint="eastAsia" w:ascii="Calibri" w:hAnsi="Calibri" w:eastAsia="宋体" w:cs="宋体"/>
                <w:color w:val="auto"/>
                <w:highlight w:val="none"/>
              </w:rPr>
              <w:t>）已标价工程量清单。</w:t>
            </w:r>
          </w:p>
          <w:p w14:paraId="3090C5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w:t>
            </w:r>
            <w:r>
              <w:rPr>
                <w:rFonts w:hint="eastAsia" w:ascii="Calibri" w:hAnsi="Calibri" w:cs="宋体"/>
                <w:color w:val="auto"/>
                <w:highlight w:val="none"/>
                <w:lang w:val="en-US" w:eastAsia="zh-CN"/>
              </w:rPr>
              <w:t>4</w:t>
            </w:r>
            <w:r>
              <w:rPr>
                <w:rFonts w:hint="eastAsia" w:ascii="Calibri" w:hAnsi="Calibri" w:eastAsia="宋体" w:cs="宋体"/>
                <w:color w:val="auto"/>
                <w:highlight w:val="none"/>
              </w:rPr>
              <w:t>）建筑材料和设备节能环保要求承诺书（政府采购工程项目须提供）</w:t>
            </w:r>
          </w:p>
          <w:p w14:paraId="06FA1A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cs="宋体"/>
                <w:color w:val="auto"/>
                <w:highlight w:val="none"/>
                <w:lang w:eastAsia="zh-CN"/>
              </w:rPr>
              <w:t>（</w:t>
            </w:r>
            <w:r>
              <w:rPr>
                <w:rFonts w:hint="eastAsia" w:ascii="Calibri" w:hAnsi="Calibri" w:cs="宋体"/>
                <w:color w:val="auto"/>
                <w:highlight w:val="none"/>
                <w:lang w:val="en-US" w:eastAsia="zh-CN"/>
              </w:rPr>
              <w:t>5）</w:t>
            </w:r>
            <w:r>
              <w:rPr>
                <w:rFonts w:hint="eastAsia" w:ascii="Calibri" w:hAnsi="Calibri" w:eastAsia="宋体" w:cs="宋体"/>
                <w:color w:val="auto"/>
                <w:highlight w:val="none"/>
              </w:rPr>
              <w:t>《中小企业声明函》或者《残疾人福利性单位声明函》或者省级以上监狱管理局、戒毒管理局（含新疆生产建设兵团）出具的属于监狱企业的证明文件扫描件（如有）。</w:t>
            </w:r>
          </w:p>
          <w:p w14:paraId="50937F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p w14:paraId="6A99AF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b/>
                <w:bCs/>
                <w:color w:val="auto"/>
                <w:highlight w:val="none"/>
              </w:rPr>
            </w:pPr>
            <w:r>
              <w:rPr>
                <w:rFonts w:hint="eastAsia" w:ascii="Calibri" w:hAnsi="Calibri" w:eastAsia="宋体" w:cs="宋体"/>
                <w:b/>
                <w:bCs/>
                <w:color w:val="auto"/>
                <w:highlight w:val="none"/>
              </w:rPr>
              <w:t>技术标部分：</w:t>
            </w:r>
          </w:p>
          <w:p w14:paraId="4DDD85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1</w:t>
            </w:r>
            <w:r>
              <w:rPr>
                <w:rFonts w:hint="eastAsia" w:ascii="Calibri" w:hAnsi="Calibri" w:eastAsia="宋体" w:cs="宋体"/>
                <w:color w:val="auto"/>
                <w:highlight w:val="none"/>
              </w:rPr>
              <w:t>）施工组织设计；</w:t>
            </w:r>
          </w:p>
          <w:p w14:paraId="4187FD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2</w:t>
            </w:r>
            <w:r>
              <w:rPr>
                <w:rFonts w:hint="eastAsia" w:ascii="Calibri" w:hAnsi="Calibri" w:eastAsia="宋体" w:cs="宋体"/>
                <w:color w:val="auto"/>
                <w:highlight w:val="none"/>
              </w:rPr>
              <w:t>）拟分包计划表；</w:t>
            </w:r>
          </w:p>
          <w:p w14:paraId="202698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3</w:t>
            </w:r>
            <w:r>
              <w:rPr>
                <w:rFonts w:hint="eastAsia" w:ascii="Calibri" w:hAnsi="Calibri" w:eastAsia="宋体" w:cs="宋体"/>
                <w:color w:val="auto"/>
                <w:highlight w:val="none"/>
              </w:rPr>
              <w:t>）项目管理机构。</w:t>
            </w:r>
          </w:p>
        </w:tc>
      </w:tr>
      <w:tr w14:paraId="1C52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74" w:hRule="atLeast"/>
          <w:jc w:val="center"/>
        </w:trPr>
        <w:tc>
          <w:tcPr>
            <w:tcW w:w="1247" w:type="dxa"/>
            <w:vMerge w:val="restart"/>
            <w:noWrap w:val="0"/>
            <w:vAlign w:val="center"/>
          </w:tcPr>
          <w:p w14:paraId="094FF3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宋体"/>
                <w:color w:val="auto"/>
                <w:highlight w:val="none"/>
              </w:rPr>
              <w:t>3.</w:t>
            </w:r>
            <w:r>
              <w:rPr>
                <w:rFonts w:hint="eastAsia" w:ascii="Calibri" w:hAnsi="Calibri" w:eastAsia="宋体" w:cs="宋体"/>
                <w:color w:val="auto"/>
                <w:highlight w:val="none"/>
              </w:rPr>
              <w:t>1</w:t>
            </w:r>
            <w:r>
              <w:rPr>
                <w:rFonts w:hint="default" w:ascii="Calibri" w:hAnsi="Calibri" w:eastAsia="宋体" w:cs="宋体"/>
                <w:color w:val="auto"/>
                <w:highlight w:val="none"/>
              </w:rPr>
              <w:t>.</w:t>
            </w:r>
            <w:r>
              <w:rPr>
                <w:rFonts w:hint="eastAsia" w:ascii="Calibri" w:hAnsi="Calibri" w:eastAsia="宋体" w:cs="宋体"/>
                <w:color w:val="auto"/>
                <w:highlight w:val="none"/>
              </w:rPr>
              <w:t>4</w:t>
            </w:r>
          </w:p>
        </w:tc>
        <w:tc>
          <w:tcPr>
            <w:tcW w:w="3674" w:type="dxa"/>
            <w:gridSpan w:val="2"/>
            <w:noWrap w:val="0"/>
            <w:vAlign w:val="center"/>
          </w:tcPr>
          <w:p w14:paraId="70977D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近年财务状况的年份要求</w:t>
            </w:r>
          </w:p>
        </w:tc>
        <w:tc>
          <w:tcPr>
            <w:tcW w:w="4409" w:type="dxa"/>
            <w:noWrap w:val="0"/>
            <w:vAlign w:val="center"/>
          </w:tcPr>
          <w:p w14:paraId="42FA4B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cs="Times New Roman"/>
                <w:color w:val="auto"/>
                <w:highlight w:val="none"/>
                <w:u w:val="none"/>
                <w:lang w:val="en-US" w:eastAsia="zh-CN"/>
              </w:rPr>
              <w:t>详见</w:t>
            </w:r>
            <w:r>
              <w:rPr>
                <w:rFonts w:hint="eastAsia" w:ascii="Calibri" w:hAnsi="Calibri" w:eastAsia="宋体" w:cs="Times New Roman"/>
                <w:color w:val="auto"/>
                <w:highlight w:val="none"/>
                <w:u w:val="none"/>
                <w:lang w:val="en-US" w:eastAsia="zh-CN"/>
              </w:rPr>
              <w:t>投标人须知前附表1.4.1</w:t>
            </w:r>
          </w:p>
        </w:tc>
      </w:tr>
      <w:tr w14:paraId="1D443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90" w:hRule="atLeast"/>
          <w:jc w:val="center"/>
        </w:trPr>
        <w:tc>
          <w:tcPr>
            <w:tcW w:w="1247" w:type="dxa"/>
            <w:vMerge w:val="continue"/>
            <w:noWrap w:val="0"/>
            <w:vAlign w:val="top"/>
          </w:tcPr>
          <w:p w14:paraId="520624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p>
        </w:tc>
        <w:tc>
          <w:tcPr>
            <w:tcW w:w="3674" w:type="dxa"/>
            <w:gridSpan w:val="2"/>
            <w:noWrap w:val="0"/>
            <w:vAlign w:val="center"/>
          </w:tcPr>
          <w:p w14:paraId="57ABA6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近年完成的类似项目的年份要求</w:t>
            </w:r>
          </w:p>
        </w:tc>
        <w:tc>
          <w:tcPr>
            <w:tcW w:w="4409" w:type="dxa"/>
            <w:noWrap w:val="0"/>
            <w:vAlign w:val="center"/>
          </w:tcPr>
          <w:p w14:paraId="08B2BA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cs="Times New Roman"/>
                <w:color w:val="auto"/>
                <w:highlight w:val="none"/>
                <w:lang w:val="en-US" w:eastAsia="zh-CN"/>
              </w:rPr>
            </w:pPr>
            <w:r>
              <w:rPr>
                <w:rFonts w:hint="eastAsia" w:ascii="Calibri" w:hAnsi="Calibri" w:cs="Times New Roman"/>
                <w:color w:val="auto"/>
                <w:highlight w:val="none"/>
                <w:lang w:val="en-US" w:eastAsia="zh-CN"/>
              </w:rPr>
              <w:t>☑不需要业绩</w:t>
            </w:r>
          </w:p>
          <w:p w14:paraId="121B47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lang w:val="en-US" w:eastAsia="zh-CN"/>
              </w:rPr>
            </w:pPr>
            <w:r>
              <w:rPr>
                <w:rFonts w:hint="eastAsia" w:ascii="Calibri" w:hAnsi="Calibri" w:cs="Times New Roman"/>
                <w:color w:val="auto"/>
                <w:highlight w:val="none"/>
                <w:lang w:val="en-US" w:eastAsia="zh-CN"/>
              </w:rPr>
              <w:t>□需要业绩。考核期为：</w:t>
            </w:r>
            <w:r>
              <w:rPr>
                <w:rFonts w:hint="eastAsia" w:ascii="方正楷体_GB2312" w:hAnsi="方正楷体_GB2312" w:eastAsia="方正楷体_GB2312" w:cs="方正楷体_GB2312"/>
                <w:color w:val="auto"/>
                <w:highlight w:val="none"/>
                <w:u w:val="single"/>
                <w:lang w:val="en-US" w:eastAsia="zh-CN"/>
              </w:rPr>
              <w:t xml:space="preserve">    （应与评分办法一致</w:t>
            </w:r>
            <w:r>
              <w:rPr>
                <w:rFonts w:hint="eastAsia" w:ascii="Calibri" w:hAnsi="Calibri" w:cs="Times New Roman"/>
                <w:color w:val="auto"/>
                <w:highlight w:val="none"/>
                <w:u w:val="single"/>
                <w:lang w:val="en-US" w:eastAsia="zh-CN"/>
              </w:rPr>
              <w:t>）</w:t>
            </w:r>
            <w:r>
              <w:rPr>
                <w:rFonts w:hint="eastAsia" w:ascii="Calibri" w:hAnsi="Calibri" w:cs="Times New Roman"/>
                <w:color w:val="auto"/>
                <w:highlight w:val="none"/>
                <w:lang w:val="en-US" w:eastAsia="zh-CN"/>
              </w:rPr>
              <w:t>。</w:t>
            </w:r>
          </w:p>
        </w:tc>
      </w:tr>
      <w:tr w14:paraId="22DB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06" w:hRule="atLeast"/>
          <w:jc w:val="center"/>
        </w:trPr>
        <w:tc>
          <w:tcPr>
            <w:tcW w:w="1247" w:type="dxa"/>
            <w:noWrap w:val="0"/>
            <w:vAlign w:val="center"/>
          </w:tcPr>
          <w:p w14:paraId="410186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3.3.1</w:t>
            </w:r>
          </w:p>
        </w:tc>
        <w:tc>
          <w:tcPr>
            <w:tcW w:w="3674" w:type="dxa"/>
            <w:gridSpan w:val="2"/>
            <w:noWrap w:val="0"/>
            <w:vAlign w:val="center"/>
          </w:tcPr>
          <w:p w14:paraId="319649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投标有效期</w:t>
            </w:r>
          </w:p>
        </w:tc>
        <w:tc>
          <w:tcPr>
            <w:tcW w:w="4409" w:type="dxa"/>
            <w:noWrap w:val="0"/>
            <w:vAlign w:val="center"/>
          </w:tcPr>
          <w:p w14:paraId="56EB95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w:t>
            </w:r>
            <w:r>
              <w:rPr>
                <w:rFonts w:hint="default" w:ascii="Calibri" w:hAnsi="Calibri" w:eastAsia="宋体" w:cs="Times New Roman"/>
                <w:color w:val="auto"/>
                <w:highlight w:val="none"/>
              </w:rPr>
              <w:t>45</w:t>
            </w:r>
            <w:r>
              <w:rPr>
                <w:rFonts w:hint="eastAsia" w:ascii="Calibri" w:hAnsi="Calibri" w:eastAsia="宋体" w:cs="宋体"/>
                <w:color w:val="auto"/>
                <w:highlight w:val="none"/>
              </w:rPr>
              <w:t>天</w:t>
            </w:r>
            <w:r>
              <w:rPr>
                <w:rFonts w:hint="default" w:ascii="Calibri" w:hAnsi="Calibri" w:eastAsia="宋体" w:cs="Times New Roman"/>
                <w:color w:val="auto"/>
                <w:highlight w:val="none"/>
              </w:rPr>
              <w:t xml:space="preserve">    </w:t>
            </w:r>
            <w:r>
              <w:rPr>
                <w:rFonts w:hint="eastAsia" w:ascii="Calibri" w:hAnsi="Calibri" w:cs="宋体"/>
                <w:color w:val="auto"/>
                <w:highlight w:val="none"/>
                <w:lang w:eastAsia="zh-CN"/>
              </w:rPr>
              <w:t>☑</w:t>
            </w:r>
            <w:r>
              <w:rPr>
                <w:rFonts w:hint="default" w:ascii="Calibri" w:hAnsi="Calibri" w:eastAsia="宋体" w:cs="Times New Roman"/>
                <w:color w:val="auto"/>
                <w:highlight w:val="none"/>
              </w:rPr>
              <w:t>60</w:t>
            </w:r>
            <w:r>
              <w:rPr>
                <w:rFonts w:hint="eastAsia" w:ascii="Calibri" w:hAnsi="Calibri" w:eastAsia="宋体" w:cs="宋体"/>
                <w:color w:val="auto"/>
                <w:highlight w:val="none"/>
              </w:rPr>
              <w:t>天</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w:t>
            </w:r>
            <w:r>
              <w:rPr>
                <w:rFonts w:hint="default" w:ascii="Calibri" w:hAnsi="Calibri" w:eastAsia="宋体" w:cs="Times New Roman"/>
                <w:color w:val="auto"/>
                <w:highlight w:val="none"/>
              </w:rPr>
              <w:t>90</w:t>
            </w:r>
            <w:r>
              <w:rPr>
                <w:rFonts w:hint="eastAsia" w:ascii="Calibri" w:hAnsi="Calibri" w:eastAsia="宋体" w:cs="宋体"/>
                <w:color w:val="auto"/>
                <w:highlight w:val="none"/>
              </w:rPr>
              <w:t>天</w:t>
            </w:r>
          </w:p>
        </w:tc>
      </w:tr>
      <w:tr w14:paraId="761A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294" w:hRule="atLeast"/>
          <w:jc w:val="center"/>
        </w:trPr>
        <w:tc>
          <w:tcPr>
            <w:tcW w:w="1247" w:type="dxa"/>
            <w:noWrap w:val="0"/>
            <w:vAlign w:val="center"/>
          </w:tcPr>
          <w:p w14:paraId="24F556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3.4.1</w:t>
            </w:r>
          </w:p>
        </w:tc>
        <w:tc>
          <w:tcPr>
            <w:tcW w:w="3674" w:type="dxa"/>
            <w:gridSpan w:val="2"/>
            <w:noWrap w:val="0"/>
            <w:vAlign w:val="center"/>
          </w:tcPr>
          <w:p w14:paraId="1A6659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投标保证金</w:t>
            </w:r>
          </w:p>
        </w:tc>
        <w:tc>
          <w:tcPr>
            <w:tcW w:w="4409" w:type="dxa"/>
            <w:noWrap w:val="0"/>
            <w:vAlign w:val="center"/>
          </w:tcPr>
          <w:p w14:paraId="7EEBB2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不</w:t>
            </w:r>
            <w:r>
              <w:rPr>
                <w:rFonts w:hint="default" w:ascii="Calibri" w:hAnsi="Calibri" w:eastAsia="宋体" w:cs="Times New Roman"/>
                <w:color w:val="auto"/>
                <w:highlight w:val="none"/>
              </w:rPr>
              <w:t>需要</w:t>
            </w:r>
            <w:r>
              <w:rPr>
                <w:rFonts w:hint="eastAsia" w:ascii="Calibri" w:hAnsi="Calibri" w:eastAsia="宋体" w:cs="Times New Roman"/>
                <w:color w:val="auto"/>
                <w:highlight w:val="none"/>
              </w:rPr>
              <w:t>提交。</w:t>
            </w:r>
          </w:p>
          <w:p w14:paraId="43B52A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方正楷体_GB2312" w:hAnsi="方正楷体_GB2312" w:eastAsia="方正楷体_GB2312" w:cs="方正楷体_GB2312"/>
                <w:color w:val="auto"/>
                <w:highlight w:val="none"/>
              </w:rPr>
            </w:pPr>
            <w:r>
              <w:rPr>
                <w:rFonts w:hint="eastAsia" w:ascii="Calibri" w:hAnsi="宋体" w:eastAsia="宋体" w:cs="Times New Roman"/>
                <w:color w:val="auto"/>
                <w:highlight w:val="none"/>
              </w:rPr>
              <w:t>□需要提交，</w:t>
            </w:r>
            <w:r>
              <w:rPr>
                <w:rFonts w:hint="default" w:ascii="Calibri" w:hAnsi="Calibri" w:eastAsia="宋体" w:cs="Times New Roman"/>
                <w:color w:val="auto"/>
                <w:highlight w:val="none"/>
              </w:rPr>
              <w:t>投标保证金的</w:t>
            </w:r>
            <w:r>
              <w:rPr>
                <w:rFonts w:hint="eastAsia" w:ascii="Calibri" w:hAnsi="Calibri" w:eastAsia="宋体" w:cs="Times New Roman"/>
                <w:color w:val="auto"/>
                <w:highlight w:val="none"/>
              </w:rPr>
              <w:t>提交方式：</w:t>
            </w:r>
            <w:r>
              <w:rPr>
                <w:rFonts w:hint="eastAsia" w:ascii="Calibri" w:hAnsi="宋体" w:eastAsia="宋体" w:cs="宋体"/>
                <w:color w:val="auto"/>
                <w:highlight w:val="none"/>
              </w:rPr>
              <w:t>银行转账、电汇或网上支付、保函（银行保函、电子</w:t>
            </w:r>
            <w:r>
              <w:rPr>
                <w:rFonts w:hint="default" w:ascii="Calibri" w:hAnsi="宋体" w:eastAsia="宋体" w:cs="宋体"/>
                <w:color w:val="auto"/>
                <w:highlight w:val="none"/>
              </w:rPr>
              <w:t>保函</w:t>
            </w:r>
            <w:r>
              <w:rPr>
                <w:rFonts w:hint="eastAsia" w:ascii="Calibri" w:hAnsi="宋体" w:eastAsia="宋体" w:cs="宋体"/>
                <w:color w:val="auto"/>
                <w:highlight w:val="none"/>
              </w:rPr>
              <w:t>、保证保险保函、工程担保保函）</w:t>
            </w:r>
            <w:r>
              <w:rPr>
                <w:rFonts w:hint="eastAsia" w:ascii="Calibri" w:hAnsi="宋体" w:eastAsia="宋体" w:cs="Times New Roman"/>
                <w:color w:val="auto"/>
                <w:highlight w:val="none"/>
              </w:rPr>
              <w:t>等方式提交</w:t>
            </w:r>
            <w:r>
              <w:rPr>
                <w:rFonts w:hint="default" w:ascii="Calibri" w:hAnsi="Calibri" w:eastAsia="宋体" w:cs="Times New Roman"/>
                <w:color w:val="auto"/>
                <w:highlight w:val="none"/>
              </w:rPr>
              <w:t>。</w:t>
            </w:r>
            <w:r>
              <w:rPr>
                <w:rFonts w:hint="eastAsia" w:ascii="方正楷体_GB2312" w:hAnsi="方正楷体_GB2312" w:eastAsia="方正楷体_GB2312" w:cs="方正楷体_GB2312"/>
                <w:color w:val="auto"/>
                <w:highlight w:val="none"/>
              </w:rPr>
              <w:t>【备注：严禁要求投标人以现金方式提交保证金的行为；采用银行保函、工程担保或工程保证保险方式的，保函有效期不得</w:t>
            </w:r>
            <w:r>
              <w:rPr>
                <w:rFonts w:hint="eastAsia" w:ascii="方正楷体_GB2312" w:hAnsi="方正楷体_GB2312" w:eastAsia="方正楷体_GB2312" w:cs="方正楷体_GB2312"/>
                <w:color w:val="auto"/>
                <w:highlight w:val="none"/>
                <w:lang w:val="en-US" w:eastAsia="zh-CN"/>
              </w:rPr>
              <w:t>小</w:t>
            </w:r>
            <w:r>
              <w:rPr>
                <w:rFonts w:hint="eastAsia" w:ascii="方正楷体_GB2312" w:hAnsi="方正楷体_GB2312" w:eastAsia="方正楷体_GB2312" w:cs="方正楷体_GB2312"/>
                <w:color w:val="auto"/>
                <w:highlight w:val="none"/>
              </w:rPr>
              <w:t>于投标有效期；鼓励采用电子保函等形式；满足免缴资格的投标人不需要提交</w:t>
            </w:r>
            <w:r>
              <w:rPr>
                <w:rFonts w:hint="eastAsia" w:ascii="方正楷体_GB2312" w:hAnsi="方正楷体_GB2312" w:eastAsia="方正楷体_GB2312" w:cs="方正楷体_GB2312"/>
                <w:color w:val="auto"/>
                <w:highlight w:val="none"/>
                <w:lang w:eastAsia="zh-CN"/>
              </w:rPr>
              <w:t>】</w:t>
            </w:r>
          </w:p>
          <w:p w14:paraId="34EFEB7B">
            <w:pPr>
              <w:pStyle w:val="36"/>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eastAsia"/>
                <w:color w:val="auto"/>
                <w:sz w:val="21"/>
                <w:szCs w:val="21"/>
                <w:highlight w:val="none"/>
              </w:rPr>
            </w:pPr>
            <w:r>
              <w:rPr>
                <w:color w:val="auto"/>
                <w:sz w:val="21"/>
                <w:szCs w:val="21"/>
                <w:highlight w:val="none"/>
              </w:rPr>
              <w:t>投标保证金的金额：</w:t>
            </w:r>
            <w:r>
              <w:rPr>
                <w:color w:val="auto"/>
                <w:sz w:val="21"/>
                <w:szCs w:val="21"/>
                <w:highlight w:val="none"/>
                <w:u w:val="single"/>
              </w:rPr>
              <w:t xml:space="preserve">     </w:t>
            </w:r>
            <w:r>
              <w:rPr>
                <w:rFonts w:hint="eastAsia"/>
                <w:color w:val="auto"/>
                <w:sz w:val="21"/>
                <w:szCs w:val="21"/>
                <w:highlight w:val="none"/>
                <w:u w:val="single"/>
                <w:lang w:val="en-US" w:eastAsia="zh-CN"/>
              </w:rPr>
              <w:t xml:space="preserve">           </w:t>
            </w:r>
            <w:r>
              <w:rPr>
                <w:color w:val="auto"/>
                <w:sz w:val="21"/>
                <w:szCs w:val="21"/>
                <w:highlight w:val="none"/>
                <w:u w:val="single"/>
              </w:rPr>
              <w:t xml:space="preserve">  </w:t>
            </w:r>
            <w:r>
              <w:rPr>
                <w:rFonts w:hint="eastAsia"/>
                <w:color w:val="auto"/>
                <w:sz w:val="21"/>
                <w:szCs w:val="21"/>
                <w:highlight w:val="none"/>
              </w:rPr>
              <w:t>。</w:t>
            </w:r>
          </w:p>
          <w:p w14:paraId="55605A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楷体_GB2312" w:cs="Times New Roman"/>
                <w:color w:val="auto"/>
                <w:highlight w:val="none"/>
              </w:rPr>
              <w:t>【备注：</w:t>
            </w:r>
            <w:r>
              <w:rPr>
                <w:rFonts w:hint="eastAsia" w:eastAsia="楷体_GB2312"/>
                <w:color w:val="auto"/>
                <w:highlight w:val="none"/>
                <w:lang w:val="en-US" w:eastAsia="zh-CN"/>
              </w:rPr>
              <w:t>每个标段</w:t>
            </w:r>
            <w:r>
              <w:rPr>
                <w:rFonts w:hint="eastAsia" w:ascii="Calibri" w:hAnsi="Calibri" w:eastAsia="楷体_GB2312" w:cs="Times New Roman"/>
                <w:color w:val="auto"/>
                <w:highlight w:val="none"/>
              </w:rPr>
              <w:t>不得超过</w:t>
            </w:r>
            <w:r>
              <w:rPr>
                <w:rFonts w:hint="eastAsia" w:ascii="Times New Roman" w:hAnsi="Times New Roman" w:eastAsia="楷体_GB2312" w:cs="Times New Roman"/>
                <w:b w:val="0"/>
                <w:i w:val="0"/>
                <w:caps w:val="0"/>
                <w:color w:val="auto"/>
                <w:spacing w:val="0"/>
                <w:sz w:val="21"/>
                <w:szCs w:val="21"/>
                <w:highlight w:val="none"/>
                <w:shd w:val="clear" w:color="auto" w:fill="auto"/>
              </w:rPr>
              <w:t>项目估算价</w:t>
            </w:r>
            <w:r>
              <w:rPr>
                <w:rFonts w:hint="default" w:ascii="Calibri" w:hAnsi="Calibri" w:eastAsia="楷体_GB2312" w:cs="Times New Roman"/>
                <w:color w:val="auto"/>
                <w:kern w:val="0"/>
                <w:highlight w:val="none"/>
              </w:rPr>
              <w:t>的</w:t>
            </w:r>
            <w:r>
              <w:rPr>
                <w:rFonts w:hint="eastAsia" w:ascii="Calibri" w:hAnsi="Calibri" w:eastAsia="楷体_GB2312" w:cs="Times New Roman"/>
                <w:color w:val="auto"/>
                <w:kern w:val="0"/>
                <w:highlight w:val="none"/>
                <w:lang w:val="en-US" w:eastAsia="zh-CN"/>
              </w:rPr>
              <w:t>1</w:t>
            </w:r>
            <w:r>
              <w:rPr>
                <w:rFonts w:hint="default" w:ascii="Calibri" w:hAnsi="Calibri" w:eastAsia="楷体_GB2312" w:cs="Times New Roman"/>
                <w:color w:val="auto"/>
                <w:kern w:val="0"/>
                <w:highlight w:val="none"/>
              </w:rPr>
              <w:t>%，且最多不</w:t>
            </w:r>
            <w:r>
              <w:rPr>
                <w:rFonts w:hint="eastAsia" w:ascii="Calibri" w:hAnsi="Calibri" w:eastAsia="楷体_GB2312" w:cs="Times New Roman"/>
                <w:color w:val="auto"/>
                <w:kern w:val="0"/>
                <w:highlight w:val="none"/>
              </w:rPr>
              <w:t>得</w:t>
            </w:r>
            <w:r>
              <w:rPr>
                <w:rFonts w:hint="default" w:ascii="Calibri" w:hAnsi="Calibri" w:eastAsia="楷体_GB2312" w:cs="Times New Roman"/>
                <w:color w:val="auto"/>
                <w:kern w:val="0"/>
                <w:highlight w:val="none"/>
              </w:rPr>
              <w:t>超过</w:t>
            </w:r>
            <w:r>
              <w:rPr>
                <w:rFonts w:hint="eastAsia" w:ascii="Calibri" w:hAnsi="Calibri" w:eastAsia="楷体_GB2312" w:cs="Times New Roman"/>
                <w:color w:val="auto"/>
                <w:kern w:val="0"/>
                <w:highlight w:val="none"/>
                <w:lang w:val="en-US" w:eastAsia="zh-CN"/>
              </w:rPr>
              <w:t>3</w:t>
            </w:r>
            <w:r>
              <w:rPr>
                <w:rFonts w:hint="default" w:ascii="Calibri" w:hAnsi="Calibri" w:eastAsia="楷体_GB2312" w:cs="Times New Roman"/>
                <w:color w:val="auto"/>
                <w:kern w:val="0"/>
                <w:highlight w:val="none"/>
              </w:rPr>
              <w:t>0万元</w:t>
            </w:r>
            <w:r>
              <w:rPr>
                <w:rFonts w:hint="eastAsia" w:ascii="Calibri" w:hAnsi="Calibri" w:eastAsia="楷体_GB2312" w:cs="Times New Roman"/>
                <w:color w:val="auto"/>
                <w:kern w:val="0"/>
                <w:highlight w:val="none"/>
              </w:rPr>
              <w:t>，鼓励招标人减少或免除投标保证金</w:t>
            </w:r>
            <w:r>
              <w:rPr>
                <w:rFonts w:hint="default" w:ascii="Calibri" w:hAnsi="Calibri" w:eastAsia="楷体_GB2312" w:cs="Times New Roman"/>
                <w:color w:val="auto"/>
                <w:highlight w:val="none"/>
              </w:rPr>
              <w:t>】</w:t>
            </w:r>
          </w:p>
          <w:p w14:paraId="7511AA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宋体" w:eastAsia="宋体" w:cs="Times New Roman"/>
                <w:color w:val="auto"/>
                <w:highlight w:val="none"/>
              </w:rPr>
            </w:pPr>
            <w:r>
              <w:rPr>
                <w:rFonts w:hint="eastAsia" w:ascii="Calibri" w:hAnsi="Calibri" w:eastAsia="宋体" w:cs="宋体"/>
                <w:color w:val="auto"/>
                <w:highlight w:val="none"/>
              </w:rPr>
              <w:t>提交方式：</w:t>
            </w:r>
          </w:p>
          <w:p w14:paraId="589A5B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宋体" w:eastAsia="宋体" w:cs="Times New Roman"/>
                <w:color w:val="auto"/>
                <w:highlight w:val="none"/>
              </w:rPr>
            </w:pPr>
            <w:r>
              <w:rPr>
                <w:rFonts w:hint="eastAsia" w:ascii="Calibri" w:hAnsi="宋体" w:eastAsia="宋体" w:cs="Times New Roman"/>
                <w:color w:val="auto"/>
                <w:highlight w:val="none"/>
              </w:rPr>
              <w:t xml:space="preserve">    </w:t>
            </w:r>
            <w:r>
              <w:rPr>
                <w:rFonts w:hint="eastAsia" w:ascii="Calibri" w:hAnsi="宋体" w:cs="Times New Roman"/>
                <w:color w:val="auto"/>
                <w:highlight w:val="none"/>
                <w:lang w:eastAsia="zh-CN"/>
              </w:rPr>
              <w:t>1.</w:t>
            </w:r>
            <w:r>
              <w:rPr>
                <w:rFonts w:hint="eastAsia" w:ascii="Calibri" w:hAnsi="宋体" w:eastAsia="宋体" w:cs="Times New Roman"/>
                <w:color w:val="auto"/>
                <w:highlight w:val="none"/>
              </w:rPr>
              <w:t>使</w:t>
            </w:r>
            <w:r>
              <w:rPr>
                <w:rFonts w:hint="eastAsia" w:ascii="Calibri" w:hAnsi="宋体" w:eastAsia="宋体" w:cs="Times New Roman"/>
                <w:color w:val="auto"/>
                <w:highlight w:val="none"/>
                <w:lang w:eastAsia="zh-CN"/>
              </w:rPr>
              <w:t>用银行转账（或电汇、网上支付）时投标保证金</w:t>
            </w:r>
            <w:r>
              <w:rPr>
                <w:rFonts w:hint="eastAsia" w:ascii="Calibri" w:hAnsi="宋体" w:eastAsia="宋体" w:cs="Times New Roman"/>
                <w:color w:val="auto"/>
                <w:highlight w:val="none"/>
              </w:rPr>
              <w:t>必须从投标人的企业基本账户汇到以下指定的投标保证金专用</w:t>
            </w:r>
            <w:r>
              <w:rPr>
                <w:rFonts w:hint="eastAsia" w:ascii="Calibri" w:hAnsi="宋体" w:cs="Times New Roman"/>
                <w:color w:val="auto"/>
                <w:highlight w:val="none"/>
                <w:lang w:eastAsia="zh-CN"/>
              </w:rPr>
              <w:t>账</w:t>
            </w:r>
            <w:r>
              <w:rPr>
                <w:rFonts w:hint="eastAsia" w:ascii="Calibri" w:hAnsi="宋体" w:eastAsia="宋体" w:cs="Times New Roman"/>
                <w:color w:val="auto"/>
                <w:highlight w:val="none"/>
              </w:rPr>
              <w:t>户，否则投标无效。</w:t>
            </w:r>
          </w:p>
          <w:p w14:paraId="1DF751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textAlignment w:val="auto"/>
              <w:rPr>
                <w:rFonts w:hint="eastAsia" w:ascii="Times New Roman" w:hAnsi="宋体" w:eastAsia="宋体" w:cs="Times New Roman"/>
                <w:color w:val="auto"/>
                <w:highlight w:val="none"/>
                <w:u w:val="none"/>
              </w:rPr>
            </w:pPr>
            <w:r>
              <w:rPr>
                <w:rFonts w:hint="eastAsia" w:ascii="Calibri" w:hAnsi="宋体" w:eastAsia="宋体" w:cs="Times New Roman"/>
                <w:color w:val="auto"/>
                <w:highlight w:val="none"/>
                <w:u w:val="none"/>
              </w:rPr>
              <w:t>账户名称：</w:t>
            </w:r>
            <w:r>
              <w:rPr>
                <w:rFonts w:hint="eastAsia"/>
                <w:color w:val="auto"/>
                <w:sz w:val="21"/>
                <w:szCs w:val="21"/>
                <w:highlight w:val="none"/>
                <w:u w:val="single"/>
                <w:lang w:val="en-US" w:eastAsia="zh-CN"/>
              </w:rPr>
              <w:t xml:space="preserve">                       </w:t>
            </w:r>
            <w:r>
              <w:rPr>
                <w:rFonts w:hint="eastAsia" w:ascii="Calibri" w:hAnsi="宋体" w:eastAsia="宋体" w:cs="Times New Roman"/>
                <w:color w:val="auto"/>
                <w:highlight w:val="none"/>
                <w:u w:val="none"/>
              </w:rPr>
              <w:t xml:space="preserve"> </w:t>
            </w:r>
            <w:r>
              <w:rPr>
                <w:rFonts w:hint="eastAsia" w:ascii="Times New Roman" w:hAnsi="宋体" w:eastAsia="宋体" w:cs="Times New Roman"/>
                <w:color w:val="auto"/>
                <w:highlight w:val="none"/>
                <w:u w:val="none"/>
              </w:rPr>
              <w:t xml:space="preserve">  </w:t>
            </w:r>
          </w:p>
          <w:p w14:paraId="085FA8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textAlignment w:val="auto"/>
              <w:rPr>
                <w:rFonts w:hint="default" w:ascii="Times New Roman" w:hAnsi="宋体" w:eastAsia="宋体" w:cs="Times New Roman"/>
                <w:color w:val="auto"/>
                <w:highlight w:val="none"/>
                <w:u w:val="none"/>
                <w:lang w:val="en-US" w:eastAsia="zh-CN"/>
              </w:rPr>
            </w:pPr>
            <w:r>
              <w:rPr>
                <w:rFonts w:hint="eastAsia" w:ascii="Times New Roman" w:hAnsi="宋体" w:eastAsia="宋体" w:cs="Times New Roman"/>
                <w:color w:val="auto"/>
                <w:highlight w:val="none"/>
                <w:u w:val="none"/>
              </w:rPr>
              <w:t>开户银行：</w:t>
            </w:r>
            <w:r>
              <w:rPr>
                <w:rFonts w:hint="default"/>
                <w:color w:val="auto"/>
                <w:sz w:val="21"/>
                <w:szCs w:val="21"/>
                <w:highlight w:val="none"/>
                <w:u w:val="single"/>
              </w:rPr>
              <w:t xml:space="preserve">   </w:t>
            </w:r>
            <w:r>
              <w:rPr>
                <w:rFonts w:hint="eastAsia"/>
                <w:color w:val="auto"/>
                <w:sz w:val="21"/>
                <w:szCs w:val="21"/>
                <w:highlight w:val="none"/>
                <w:u w:val="single"/>
                <w:lang w:val="en-US" w:eastAsia="zh-CN"/>
              </w:rPr>
              <w:t xml:space="preserve">                  </w:t>
            </w:r>
            <w:r>
              <w:rPr>
                <w:rFonts w:hint="default"/>
                <w:color w:val="auto"/>
                <w:sz w:val="21"/>
                <w:szCs w:val="21"/>
                <w:highlight w:val="none"/>
                <w:u w:val="single"/>
              </w:rPr>
              <w:t xml:space="preserve">  </w:t>
            </w:r>
            <w:r>
              <w:rPr>
                <w:rFonts w:hint="eastAsia" w:hAnsi="宋体" w:cs="Times New Roman"/>
                <w:color w:val="auto"/>
                <w:highlight w:val="none"/>
                <w:u w:val="none"/>
                <w:lang w:val="en-US" w:eastAsia="zh-CN"/>
              </w:rPr>
              <w:t xml:space="preserve">                        </w:t>
            </w:r>
          </w:p>
          <w:p w14:paraId="303E51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default" w:ascii="Times New Roman" w:hAnsi="宋体" w:eastAsia="宋体" w:cs="Times New Roman"/>
                <w:color w:val="auto"/>
                <w:highlight w:val="none"/>
                <w:u w:val="single"/>
                <w:lang w:val="en-US" w:eastAsia="zh-CN"/>
              </w:rPr>
            </w:pPr>
            <w:r>
              <w:rPr>
                <w:rFonts w:hint="eastAsia" w:ascii="Times New Roman" w:hAnsi="宋体" w:eastAsia="宋体" w:cs="Times New Roman"/>
                <w:color w:val="auto"/>
                <w:highlight w:val="none"/>
                <w:u w:val="none"/>
              </w:rPr>
              <w:t>银行账号：</w:t>
            </w:r>
            <w:r>
              <w:rPr>
                <w:rFonts w:hint="eastAsia"/>
                <w:color w:val="auto"/>
                <w:sz w:val="21"/>
                <w:szCs w:val="21"/>
                <w:highlight w:val="none"/>
                <w:u w:val="single"/>
                <w:lang w:val="en-US" w:eastAsia="zh-CN"/>
              </w:rPr>
              <w:t xml:space="preserve">                       </w:t>
            </w:r>
            <w:r>
              <w:rPr>
                <w:rFonts w:hint="eastAsia" w:hAnsi="宋体" w:cs="Times New Roman"/>
                <w:color w:val="auto"/>
                <w:highlight w:val="none"/>
                <w:u w:val="none"/>
                <w:lang w:val="en-US" w:eastAsia="zh-CN"/>
              </w:rPr>
              <w:t xml:space="preserve">                        </w:t>
            </w:r>
          </w:p>
          <w:p w14:paraId="646269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Times New Roman" w:hAnsi="宋体" w:eastAsia="宋体" w:cs="Times New Roman"/>
                <w:color w:val="auto"/>
                <w:highlight w:val="none"/>
                <w:lang w:bidi="ar-SA"/>
              </w:rPr>
            </w:pPr>
            <w:r>
              <w:rPr>
                <w:rFonts w:hint="eastAsia" w:ascii="Times New Roman" w:hAnsi="宋体" w:eastAsia="宋体" w:cs="Times New Roman"/>
                <w:color w:val="auto"/>
                <w:highlight w:val="none"/>
              </w:rPr>
              <w:t xml:space="preserve">   </w:t>
            </w:r>
            <w:r>
              <w:rPr>
                <w:rFonts w:hint="eastAsia" w:ascii="Times New Roman" w:hAnsi="宋体" w:eastAsia="宋体" w:cs="Times New Roman"/>
                <w:color w:val="auto"/>
                <w:highlight w:val="none"/>
                <w:lang w:bidi="ar-SA"/>
              </w:rPr>
              <w:t xml:space="preserve"> </w:t>
            </w:r>
            <w:r>
              <w:rPr>
                <w:rFonts w:hint="eastAsia" w:hAnsi="宋体" w:cs="Times New Roman"/>
                <w:color w:val="auto"/>
                <w:highlight w:val="none"/>
                <w:lang w:eastAsia="zh-CN" w:bidi="ar-SA"/>
              </w:rPr>
              <w:t>2.</w:t>
            </w:r>
            <w:r>
              <w:rPr>
                <w:rFonts w:hint="eastAsia" w:ascii="Times New Roman" w:hAnsi="宋体" w:eastAsia="宋体" w:cs="Times New Roman"/>
                <w:b w:val="0"/>
                <w:i w:val="0"/>
                <w:caps w:val="0"/>
                <w:color w:val="auto"/>
                <w:spacing w:val="0"/>
                <w:sz w:val="21"/>
                <w:szCs w:val="21"/>
                <w:highlight w:val="none"/>
                <w:shd w:val="clear" w:color="auto" w:fill="auto"/>
                <w:lang w:bidi="ar-SA"/>
              </w:rPr>
              <w:t>投标人使用</w:t>
            </w:r>
            <w:r>
              <w:rPr>
                <w:rFonts w:hint="eastAsia" w:hAnsi="宋体" w:cs="Times New Roman"/>
                <w:b w:val="0"/>
                <w:i w:val="0"/>
                <w:caps w:val="0"/>
                <w:color w:val="auto"/>
                <w:spacing w:val="0"/>
                <w:sz w:val="21"/>
                <w:szCs w:val="21"/>
                <w:highlight w:val="none"/>
                <w:shd w:val="clear" w:color="auto" w:fill="auto"/>
                <w:lang w:eastAsia="zh-CN" w:bidi="ar-SA"/>
              </w:rPr>
              <w:t>银行保函、电子保函、保证保险保函、工程担保保函</w:t>
            </w:r>
            <w:r>
              <w:rPr>
                <w:rFonts w:hint="eastAsia" w:ascii="Times New Roman" w:hAnsi="宋体" w:eastAsia="宋体" w:cs="Times New Roman"/>
                <w:b w:val="0"/>
                <w:i w:val="0"/>
                <w:caps w:val="0"/>
                <w:color w:val="auto"/>
                <w:spacing w:val="0"/>
                <w:sz w:val="21"/>
                <w:szCs w:val="21"/>
                <w:highlight w:val="none"/>
                <w:shd w:val="clear" w:color="auto" w:fill="auto"/>
                <w:lang w:bidi="ar-SA"/>
              </w:rPr>
              <w:t>时，投标人开具纸质保函的，需将保函原件扫描件作为投标文件的组成部分同步上传至全国公共资源交易平台</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广西壮族自治区</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w:t>
            </w:r>
            <w:r>
              <w:rPr>
                <w:rFonts w:hint="eastAsia" w:hAnsi="宋体" w:cs="Times New Roman"/>
                <w:b w:val="0"/>
                <w:i w:val="0"/>
                <w:caps w:val="0"/>
                <w:color w:val="auto"/>
                <w:spacing w:val="0"/>
                <w:sz w:val="21"/>
                <w:szCs w:val="21"/>
                <w:highlight w:val="none"/>
                <w:shd w:val="clear" w:color="auto" w:fill="auto"/>
                <w:lang w:eastAsia="zh-CN" w:bidi="ar-SA"/>
              </w:rPr>
              <w:t>采用工程担保保函的</w:t>
            </w:r>
            <w:r>
              <w:rPr>
                <w:rFonts w:hint="eastAsia" w:ascii="Times New Roman" w:hAnsi="宋体" w:eastAsia="宋体" w:cs="Times New Roman"/>
                <w:b w:val="0"/>
                <w:i w:val="0"/>
                <w:caps w:val="0"/>
                <w:color w:val="auto"/>
                <w:spacing w:val="0"/>
                <w:sz w:val="21"/>
                <w:szCs w:val="21"/>
                <w:highlight w:val="none"/>
                <w:shd w:val="clear" w:color="auto" w:fill="auto"/>
                <w:lang w:bidi="ar-SA"/>
              </w:rPr>
              <w:t>，工程担保保证人应将出具的纸质保函相关信息录入</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广西建筑市场监管云</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平台，以实现开标时保函的自动查询及验真通过，否则投标无效</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投标人开具电子保函的，需通过全国公共资源交易平台</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广西壮族自治区</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电子交易系统在开标时自动认证通过，否则投标无效</w:t>
            </w:r>
            <w:r>
              <w:rPr>
                <w:rFonts w:hint="eastAsia" w:ascii="Times New Roman" w:hAnsi="宋体" w:eastAsia="宋体" w:cs="Times New Roman"/>
                <w:color w:val="auto"/>
                <w:highlight w:val="none"/>
                <w:lang w:bidi="ar-SA"/>
              </w:rPr>
              <w:t>。</w:t>
            </w:r>
          </w:p>
          <w:p w14:paraId="584842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宋体" w:eastAsia="宋体" w:cs="Times New Roman"/>
                <w:color w:val="auto"/>
                <w:highlight w:val="none"/>
              </w:rPr>
            </w:pPr>
            <w:r>
              <w:rPr>
                <w:rFonts w:hint="eastAsia" w:ascii="Calibri" w:hAnsi="宋体" w:eastAsia="宋体" w:cs="Times New Roman"/>
                <w:color w:val="auto"/>
                <w:highlight w:val="none"/>
              </w:rPr>
              <w:t xml:space="preserve">    投标保证金不足额缴纳的，或保函（银行保函、</w:t>
            </w:r>
            <w:r>
              <w:rPr>
                <w:rFonts w:hint="eastAsia" w:ascii="Calibri" w:hAnsi="宋体" w:eastAsia="宋体" w:cs="Times New Roman"/>
                <w:color w:val="auto"/>
                <w:highlight w:val="none"/>
                <w:lang w:eastAsia="zh-CN"/>
              </w:rPr>
              <w:t>电子保函、</w:t>
            </w:r>
            <w:r>
              <w:rPr>
                <w:rFonts w:hint="eastAsia" w:ascii="Calibri" w:hAnsi="宋体" w:eastAsia="宋体" w:cs="Times New Roman"/>
                <w:color w:val="auto"/>
                <w:highlight w:val="none"/>
              </w:rPr>
              <w:t>保证保险保函、工程担保保函）额度不足的，其投标无效。</w:t>
            </w:r>
          </w:p>
          <w:p w14:paraId="419138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315" w:firstLineChars="150"/>
              <w:textAlignment w:val="auto"/>
              <w:rPr>
                <w:rFonts w:hint="default" w:ascii="宋体" w:hAnsi="宋体" w:eastAsia="宋体" w:cs="Times New Roman"/>
                <w:color w:val="auto"/>
                <w:highlight w:val="none"/>
              </w:rPr>
            </w:pPr>
            <w:r>
              <w:rPr>
                <w:rFonts w:hint="eastAsia" w:ascii="Calibri" w:hAnsi="宋体" w:eastAsia="宋体" w:cs="Times New Roman"/>
                <w:color w:val="auto"/>
                <w:highlight w:val="none"/>
              </w:rPr>
              <w:t xml:space="preserve"> </w:t>
            </w:r>
            <w:r>
              <w:rPr>
                <w:rFonts w:hint="default" w:ascii="宋体" w:hAnsi="宋体" w:eastAsia="宋体" w:cs="Times New Roman"/>
                <w:color w:val="auto"/>
                <w:highlight w:val="none"/>
              </w:rPr>
              <w:t>投标保证金必须以投标人自身的名义提交，不得以分支机构等其他名义提交。</w:t>
            </w:r>
            <w:r>
              <w:rPr>
                <w:rFonts w:hint="eastAsia" w:ascii="宋体" w:hAnsi="宋体" w:eastAsia="宋体" w:cs="Times New Roman"/>
                <w:color w:val="auto"/>
                <w:highlight w:val="none"/>
              </w:rPr>
              <w:t>当投标人为联合体时，可由联合体中的任一方缴纳，并在联合体协议书中明确。</w:t>
            </w:r>
          </w:p>
          <w:p w14:paraId="51AB49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u w:val="single"/>
              </w:rPr>
            </w:pPr>
            <w:r>
              <w:rPr>
                <w:rFonts w:hint="eastAsia" w:ascii="方正楷体_GB2312" w:hAnsi="方正楷体_GB2312" w:eastAsia="方正楷体_GB2312" w:cs="方正楷体_GB2312"/>
                <w:color w:val="auto"/>
                <w:highlight w:val="none"/>
              </w:rPr>
              <w:t>备注：对投标截止</w:t>
            </w:r>
            <w:r>
              <w:rPr>
                <w:rFonts w:hint="eastAsia" w:ascii="方正楷体_GB2312" w:hAnsi="方正楷体_GB2312" w:eastAsia="方正楷体_GB2312" w:cs="方正楷体_GB2312"/>
                <w:color w:val="auto"/>
                <w:highlight w:val="none"/>
                <w:lang w:eastAsia="zh-CN"/>
              </w:rPr>
              <w:t>日期当</w:t>
            </w:r>
            <w:r>
              <w:rPr>
                <w:rFonts w:hint="eastAsia" w:ascii="方正楷体_GB2312" w:hAnsi="方正楷体_GB2312" w:eastAsia="方正楷体_GB2312" w:cs="方正楷体_GB2312"/>
                <w:color w:val="auto"/>
                <w:highlight w:val="none"/>
              </w:rPr>
              <w:t>日，自治区级诚信综合评价分高于80分的</w:t>
            </w:r>
            <w:r>
              <w:rPr>
                <w:rFonts w:hint="eastAsia" w:ascii="方正楷体_GB2312" w:hAnsi="方正楷体_GB2312" w:eastAsia="方正楷体_GB2312" w:cs="方正楷体_GB2312"/>
                <w:color w:val="auto"/>
                <w:highlight w:val="none"/>
                <w:lang w:eastAsia="zh-CN"/>
              </w:rPr>
              <w:t>施工</w:t>
            </w:r>
            <w:r>
              <w:rPr>
                <w:rFonts w:hint="eastAsia" w:ascii="方正楷体_GB2312" w:hAnsi="方正楷体_GB2312" w:eastAsia="方正楷体_GB2312" w:cs="方正楷体_GB2312"/>
                <w:color w:val="auto"/>
                <w:highlight w:val="none"/>
              </w:rPr>
              <w:t>企业、监理企业、检测机构，或诚信评价为A等的设计企业，可免收投标保证金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联合体投标的，需联合体各方均满足免收的条件方可免收。</w:t>
            </w:r>
            <w:r>
              <w:rPr>
                <w:rFonts w:hint="eastAsia" w:ascii="方正楷体_GB2312" w:hAnsi="方正楷体_GB2312" w:eastAsia="方正楷体_GB2312" w:cs="方正楷体_GB2312"/>
                <w:color w:val="auto"/>
                <w:highlight w:val="none"/>
                <w:lang w:eastAsia="zh-CN"/>
              </w:rPr>
              <w:t>（投标人不需要提供证明材料，代理开标现场查询核实）</w:t>
            </w:r>
            <w:r>
              <w:rPr>
                <w:rFonts w:hint="eastAsia" w:ascii="方正楷体_GB2312" w:hAnsi="方正楷体_GB2312" w:eastAsia="方正楷体_GB2312" w:cs="方正楷体_GB2312"/>
                <w:color w:val="auto"/>
                <w:highlight w:val="none"/>
              </w:rPr>
              <w:t>上述企业发生在投标有效期内随意撤回、撤销投标，或无正当理由不与招标人订立合同等行为的，取消其免缴资格，并扣减建筑业企业</w:t>
            </w:r>
            <w:r>
              <w:rPr>
                <w:rFonts w:hint="eastAsia" w:ascii="方正楷体_GB2312" w:hAnsi="方正楷体_GB2312" w:eastAsia="方正楷体_GB2312" w:cs="方正楷体_GB2312"/>
                <w:color w:val="auto"/>
                <w:highlight w:val="none"/>
                <w:lang w:eastAsia="zh-CN"/>
              </w:rPr>
              <w:t>诚信综合评价分</w:t>
            </w:r>
            <w:r>
              <w:rPr>
                <w:rFonts w:hint="eastAsia" w:ascii="方正楷体_GB2312" w:hAnsi="方正楷体_GB2312" w:eastAsia="方正楷体_GB2312" w:cs="方正楷体_GB2312"/>
                <w:color w:val="auto"/>
                <w:highlight w:val="none"/>
              </w:rPr>
              <w:t>。</w:t>
            </w:r>
          </w:p>
        </w:tc>
      </w:tr>
      <w:tr w14:paraId="5FDA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294" w:hRule="atLeast"/>
          <w:jc w:val="center"/>
        </w:trPr>
        <w:tc>
          <w:tcPr>
            <w:tcW w:w="1247" w:type="dxa"/>
            <w:noWrap w:val="0"/>
            <w:vAlign w:val="center"/>
          </w:tcPr>
          <w:p w14:paraId="0FEC0D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3.5</w:t>
            </w:r>
          </w:p>
        </w:tc>
        <w:tc>
          <w:tcPr>
            <w:tcW w:w="3674" w:type="dxa"/>
            <w:gridSpan w:val="2"/>
            <w:noWrap w:val="0"/>
            <w:vAlign w:val="center"/>
          </w:tcPr>
          <w:p w14:paraId="287635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是否允许提交备选投标方案</w:t>
            </w:r>
          </w:p>
        </w:tc>
        <w:tc>
          <w:tcPr>
            <w:tcW w:w="4409" w:type="dxa"/>
            <w:noWrap w:val="0"/>
            <w:vAlign w:val="center"/>
          </w:tcPr>
          <w:p w14:paraId="0F3D4B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u w:val="single"/>
              </w:rPr>
            </w:pPr>
            <w:r>
              <w:rPr>
                <w:rFonts w:hint="eastAsia" w:ascii="Calibri" w:hAnsi="Calibri" w:eastAsia="宋体" w:cs="宋体"/>
                <w:color w:val="auto"/>
                <w:highlight w:val="none"/>
              </w:rPr>
              <w:t>不允许</w:t>
            </w:r>
          </w:p>
        </w:tc>
      </w:tr>
      <w:tr w14:paraId="438F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54" w:hRule="atLeast"/>
          <w:jc w:val="center"/>
        </w:trPr>
        <w:tc>
          <w:tcPr>
            <w:tcW w:w="1247" w:type="dxa"/>
            <w:noWrap w:val="0"/>
            <w:vAlign w:val="center"/>
          </w:tcPr>
          <w:p w14:paraId="6C14D9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3.6.3</w:t>
            </w:r>
          </w:p>
        </w:tc>
        <w:tc>
          <w:tcPr>
            <w:tcW w:w="3674" w:type="dxa"/>
            <w:gridSpan w:val="2"/>
            <w:noWrap w:val="0"/>
            <w:vAlign w:val="center"/>
          </w:tcPr>
          <w:p w14:paraId="3567FD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盖章要求</w:t>
            </w:r>
          </w:p>
        </w:tc>
        <w:tc>
          <w:tcPr>
            <w:tcW w:w="4409" w:type="dxa"/>
            <w:noWrap w:val="0"/>
            <w:vAlign w:val="center"/>
          </w:tcPr>
          <w:p w14:paraId="120C4E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电子投标文件由投标人在招标文件规定的投标文件相关位置加盖投标人法人单位电子印章。投标文件未盖投标人法人单位电子印章的，均作否决投标处理。联合体投标的，除联合体协议书需要双方盖法人单位</w:t>
            </w:r>
            <w:r>
              <w:rPr>
                <w:rFonts w:hint="eastAsia" w:ascii="Calibri" w:hAnsi="Calibri" w:cs="宋体"/>
                <w:color w:val="auto"/>
                <w:highlight w:val="none"/>
                <w:lang w:val="en-US" w:eastAsia="zh-CN"/>
              </w:rPr>
              <w:t>印</w:t>
            </w:r>
            <w:r>
              <w:rPr>
                <w:rFonts w:hint="eastAsia" w:ascii="Calibri" w:hAnsi="Calibri" w:eastAsia="宋体" w:cs="宋体"/>
                <w:color w:val="auto"/>
                <w:highlight w:val="none"/>
              </w:rPr>
              <w:t>章</w:t>
            </w:r>
            <w:r>
              <w:rPr>
                <w:rFonts w:hint="eastAsia" w:ascii="Calibri" w:hAnsi="Calibri" w:eastAsia="宋体" w:cs="宋体"/>
                <w:color w:val="auto"/>
                <w:highlight w:val="none"/>
                <w:lang w:eastAsia="zh-CN"/>
              </w:rPr>
              <w:t>（可</w:t>
            </w:r>
            <w:r>
              <w:rPr>
                <w:rFonts w:hint="eastAsia" w:ascii="Calibri" w:hAnsi="Calibri" w:eastAsia="宋体" w:cs="Times New Roman"/>
                <w:color w:val="auto"/>
                <w:highlight w:val="none"/>
              </w:rPr>
              <w:t>采用纸质版盖联合体各方法人</w:t>
            </w:r>
            <w:r>
              <w:rPr>
                <w:rFonts w:hint="eastAsia" w:ascii="Calibri" w:hAnsi="Calibri" w:eastAsia="宋体" w:cs="宋体"/>
                <w:color w:val="auto"/>
                <w:highlight w:val="none"/>
              </w:rPr>
              <w:t>单位</w:t>
            </w:r>
            <w:r>
              <w:rPr>
                <w:rFonts w:hint="eastAsia" w:ascii="Calibri" w:hAnsi="Calibri" w:cs="宋体"/>
                <w:color w:val="auto"/>
                <w:highlight w:val="none"/>
                <w:lang w:val="en-US" w:eastAsia="zh-CN"/>
              </w:rPr>
              <w:t>印</w:t>
            </w:r>
            <w:r>
              <w:rPr>
                <w:rFonts w:hint="eastAsia" w:ascii="Calibri" w:hAnsi="Calibri" w:eastAsia="宋体" w:cs="Times New Roman"/>
                <w:color w:val="auto"/>
                <w:highlight w:val="none"/>
              </w:rPr>
              <w:t>章后扫描上传</w:t>
            </w:r>
            <w:r>
              <w:rPr>
                <w:rFonts w:hint="eastAsia" w:ascii="Calibri" w:hAnsi="Calibri" w:cs="Times New Roman"/>
                <w:color w:val="auto"/>
                <w:highlight w:val="none"/>
                <w:lang w:eastAsia="zh-CN"/>
              </w:rPr>
              <w:t>，</w:t>
            </w:r>
            <w:r>
              <w:rPr>
                <w:rFonts w:hint="eastAsia" w:ascii="Calibri" w:hAnsi="Calibri" w:cs="Times New Roman"/>
                <w:color w:val="auto"/>
                <w:highlight w:val="none"/>
                <w:lang w:val="en-US" w:eastAsia="zh-CN"/>
              </w:rPr>
              <w:t>也可以盖法人单位电子印章</w:t>
            </w:r>
            <w:r>
              <w:rPr>
                <w:rFonts w:hint="eastAsia" w:ascii="Calibri" w:hAnsi="Calibri" w:eastAsia="宋体" w:cs="Times New Roman"/>
                <w:color w:val="auto"/>
                <w:highlight w:val="none"/>
                <w:lang w:eastAsia="zh-CN"/>
              </w:rPr>
              <w:t>）</w:t>
            </w:r>
            <w:r>
              <w:rPr>
                <w:rFonts w:hint="eastAsia" w:ascii="Calibri" w:hAnsi="Calibri" w:eastAsia="宋体" w:cs="宋体"/>
                <w:color w:val="auto"/>
                <w:highlight w:val="none"/>
              </w:rPr>
              <w:t>，其他只需盖联合体任一</w:t>
            </w:r>
            <w:r>
              <w:rPr>
                <w:rFonts w:hint="eastAsia" w:ascii="Calibri" w:hAnsi="Calibri" w:cs="宋体"/>
                <w:color w:val="auto"/>
                <w:highlight w:val="none"/>
                <w:lang w:val="en-US" w:eastAsia="zh-CN"/>
              </w:rPr>
              <w:t>法人</w:t>
            </w:r>
            <w:r>
              <w:rPr>
                <w:rFonts w:hint="eastAsia" w:ascii="Calibri" w:hAnsi="Calibri" w:eastAsia="宋体" w:cs="宋体"/>
                <w:color w:val="auto"/>
                <w:highlight w:val="none"/>
              </w:rPr>
              <w:t>单位的电子印章。</w:t>
            </w:r>
          </w:p>
        </w:tc>
      </w:tr>
      <w:tr w14:paraId="27AD2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454" w:hRule="atLeast"/>
          <w:jc w:val="center"/>
        </w:trPr>
        <w:tc>
          <w:tcPr>
            <w:tcW w:w="1247" w:type="dxa"/>
            <w:noWrap w:val="0"/>
            <w:vAlign w:val="center"/>
          </w:tcPr>
          <w:p w14:paraId="110BA0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3.6.4</w:t>
            </w:r>
          </w:p>
        </w:tc>
        <w:tc>
          <w:tcPr>
            <w:tcW w:w="3674" w:type="dxa"/>
            <w:gridSpan w:val="2"/>
            <w:noWrap w:val="0"/>
            <w:vAlign w:val="center"/>
          </w:tcPr>
          <w:p w14:paraId="63FF75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投标文件副本份数</w:t>
            </w:r>
          </w:p>
        </w:tc>
        <w:tc>
          <w:tcPr>
            <w:tcW w:w="4409" w:type="dxa"/>
            <w:noWrap w:val="0"/>
            <w:vAlign w:val="center"/>
          </w:tcPr>
          <w:p w14:paraId="189A5F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无</w:t>
            </w:r>
          </w:p>
        </w:tc>
      </w:tr>
      <w:tr w14:paraId="6B0D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45" w:hRule="atLeast"/>
          <w:jc w:val="center"/>
        </w:trPr>
        <w:tc>
          <w:tcPr>
            <w:tcW w:w="1247" w:type="dxa"/>
            <w:noWrap w:val="0"/>
            <w:vAlign w:val="center"/>
          </w:tcPr>
          <w:p w14:paraId="23962F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4.</w:t>
            </w:r>
            <w:r>
              <w:rPr>
                <w:rFonts w:hint="eastAsia" w:ascii="Calibri" w:hAnsi="Calibri" w:eastAsia="宋体" w:cs="Times New Roman"/>
                <w:color w:val="auto"/>
                <w:highlight w:val="none"/>
              </w:rPr>
              <w:t>2</w:t>
            </w:r>
          </w:p>
        </w:tc>
        <w:tc>
          <w:tcPr>
            <w:tcW w:w="3674" w:type="dxa"/>
            <w:gridSpan w:val="2"/>
            <w:noWrap w:val="0"/>
            <w:vAlign w:val="center"/>
          </w:tcPr>
          <w:p w14:paraId="720E97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未加密的电子投标文件U盘</w:t>
            </w:r>
          </w:p>
        </w:tc>
        <w:tc>
          <w:tcPr>
            <w:tcW w:w="4409" w:type="dxa"/>
            <w:noWrap w:val="0"/>
            <w:vAlign w:val="center"/>
          </w:tcPr>
          <w:p w14:paraId="62DE55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rPr>
            </w:pPr>
            <w:r>
              <w:rPr>
                <w:rFonts w:hint="eastAsia" w:ascii="Calibri" w:hAnsi="Calibri" w:eastAsia="宋体" w:cs="宋体"/>
                <w:color w:val="auto"/>
                <w:highlight w:val="none"/>
              </w:rPr>
              <w:t>不需要</w:t>
            </w:r>
            <w:r>
              <w:rPr>
                <w:rFonts w:hint="default" w:ascii="Calibri" w:hAnsi="Calibri" w:eastAsia="宋体" w:cs="宋体"/>
                <w:color w:val="auto"/>
                <w:highlight w:val="none"/>
              </w:rPr>
              <w:t>提交</w:t>
            </w:r>
          </w:p>
        </w:tc>
      </w:tr>
      <w:tr w14:paraId="30E8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109E5C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4.</w:t>
            </w:r>
            <w:r>
              <w:rPr>
                <w:rFonts w:hint="eastAsia" w:ascii="Calibri" w:hAnsi="Calibri" w:eastAsia="宋体" w:cs="Times New Roman"/>
                <w:color w:val="auto"/>
                <w:highlight w:val="none"/>
              </w:rPr>
              <w:t>3</w:t>
            </w:r>
            <w:r>
              <w:rPr>
                <w:rFonts w:hint="default" w:ascii="Calibri" w:hAnsi="Calibri" w:eastAsia="宋体" w:cs="Times New Roman"/>
                <w:color w:val="auto"/>
                <w:highlight w:val="none"/>
              </w:rPr>
              <w:t>.2</w:t>
            </w:r>
          </w:p>
        </w:tc>
        <w:tc>
          <w:tcPr>
            <w:tcW w:w="3674" w:type="dxa"/>
            <w:gridSpan w:val="2"/>
            <w:noWrap w:val="0"/>
            <w:vAlign w:val="center"/>
          </w:tcPr>
          <w:p w14:paraId="591B3C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提交投标文件地点</w:t>
            </w:r>
          </w:p>
        </w:tc>
        <w:tc>
          <w:tcPr>
            <w:tcW w:w="4409" w:type="dxa"/>
            <w:noWrap w:val="0"/>
            <w:vAlign w:val="center"/>
          </w:tcPr>
          <w:p w14:paraId="0C9EF2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u w:val="single"/>
              </w:rPr>
            </w:pPr>
            <w:r>
              <w:rPr>
                <w:rFonts w:hint="eastAsia" w:ascii="Calibri" w:hAnsi="Calibri" w:eastAsia="宋体" w:cs="宋体"/>
                <w:color w:val="auto"/>
                <w:highlight w:val="none"/>
              </w:rPr>
              <w:t>加密电子投标文件由各投标人在投标时间截止前自行在全国公共资源交易平台（广西壮族自治区）成功上传。</w:t>
            </w:r>
          </w:p>
        </w:tc>
      </w:tr>
      <w:tr w14:paraId="3F98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044442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4.</w:t>
            </w:r>
            <w:r>
              <w:rPr>
                <w:rFonts w:hint="eastAsia" w:ascii="Calibri" w:hAnsi="Calibri" w:eastAsia="宋体" w:cs="Times New Roman"/>
                <w:color w:val="auto"/>
                <w:highlight w:val="none"/>
              </w:rPr>
              <w:t>3</w:t>
            </w:r>
            <w:r>
              <w:rPr>
                <w:rFonts w:hint="default" w:ascii="Calibri" w:hAnsi="Calibri" w:eastAsia="宋体" w:cs="Times New Roman"/>
                <w:color w:val="auto"/>
                <w:highlight w:val="none"/>
              </w:rPr>
              <w:t>.3</w:t>
            </w:r>
          </w:p>
        </w:tc>
        <w:tc>
          <w:tcPr>
            <w:tcW w:w="3674" w:type="dxa"/>
            <w:gridSpan w:val="2"/>
            <w:noWrap w:val="0"/>
            <w:vAlign w:val="center"/>
          </w:tcPr>
          <w:p w14:paraId="1DD140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是否退还投标文件</w:t>
            </w:r>
          </w:p>
        </w:tc>
        <w:tc>
          <w:tcPr>
            <w:tcW w:w="4409" w:type="dxa"/>
            <w:noWrap w:val="0"/>
            <w:vAlign w:val="center"/>
          </w:tcPr>
          <w:p w14:paraId="5B18FE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u w:val="single"/>
              </w:rPr>
            </w:pPr>
            <w:r>
              <w:rPr>
                <w:rFonts w:hint="eastAsia" w:ascii="Calibri" w:hAnsi="Calibri" w:eastAsia="宋体" w:cs="宋体"/>
                <w:color w:val="auto"/>
                <w:highlight w:val="none"/>
              </w:rPr>
              <w:t>否</w:t>
            </w:r>
          </w:p>
        </w:tc>
      </w:tr>
      <w:tr w14:paraId="43BF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101" w:hRule="atLeast"/>
          <w:jc w:val="center"/>
        </w:trPr>
        <w:tc>
          <w:tcPr>
            <w:tcW w:w="1247" w:type="dxa"/>
            <w:noWrap w:val="0"/>
            <w:vAlign w:val="center"/>
          </w:tcPr>
          <w:p w14:paraId="60356D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5.1</w:t>
            </w:r>
          </w:p>
        </w:tc>
        <w:tc>
          <w:tcPr>
            <w:tcW w:w="3674" w:type="dxa"/>
            <w:gridSpan w:val="2"/>
            <w:noWrap w:val="0"/>
            <w:vAlign w:val="center"/>
          </w:tcPr>
          <w:p w14:paraId="48D38F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开标时间和地点</w:t>
            </w:r>
          </w:p>
        </w:tc>
        <w:tc>
          <w:tcPr>
            <w:tcW w:w="4409" w:type="dxa"/>
            <w:noWrap w:val="0"/>
            <w:vAlign w:val="center"/>
          </w:tcPr>
          <w:p w14:paraId="755276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开标时间：同投标截止时间</w:t>
            </w:r>
          </w:p>
          <w:p w14:paraId="5BFE0F1E">
            <w:pPr>
              <w:keepNext w:val="0"/>
              <w:keepLines w:val="0"/>
              <w:suppressLineNumbers w:val="0"/>
              <w:spacing w:before="0" w:beforeAutospacing="0" w:after="0" w:afterAutospacing="0" w:line="360" w:lineRule="auto"/>
              <w:ind w:left="0" w:right="0"/>
              <w:rPr>
                <w:rFonts w:hint="eastAsia" w:ascii="Calibri" w:hAnsi="Calibri" w:eastAsia="宋体" w:cs="Times New Roman"/>
                <w:color w:val="auto"/>
                <w:highlight w:val="none"/>
                <w:lang w:eastAsia="zh-CN"/>
              </w:rPr>
            </w:pPr>
            <w:r>
              <w:rPr>
                <w:rFonts w:hint="eastAsia" w:ascii="Calibri" w:hAnsi="Calibri" w:eastAsia="宋体" w:cs="宋体"/>
                <w:color w:val="auto"/>
                <w:highlight w:val="none"/>
              </w:rPr>
              <w:t>开标地点：</w:t>
            </w:r>
            <w:bookmarkStart w:id="82" w:name="EB469ed57e2c74418eb7c75a06dba8c91d"/>
            <w:r>
              <w:rPr>
                <w:rFonts w:hint="eastAsia" w:cs="宋体"/>
                <w:color w:val="auto"/>
                <w:highlight w:val="white"/>
                <w:lang w:val="en-US" w:eastAsia="zh-CN"/>
              </w:rPr>
              <w:t>南宁市良庆区玉洞大道33号南宁市民中心南宁市公共资源交 易中心开标厅（具体详见9楼电子显示屏安排）</w:t>
            </w:r>
            <w:bookmarkEnd w:id="82"/>
            <w:r>
              <w:rPr>
                <w:rFonts w:hint="eastAsia" w:ascii="Calibri" w:hAnsi="Calibri" w:eastAsia="宋体" w:cs="Times New Roman"/>
                <w:color w:val="auto"/>
                <w:highlight w:val="none"/>
              </w:rPr>
              <w:t>或</w:t>
            </w:r>
            <w:r>
              <w:rPr>
                <w:rFonts w:hint="default" w:ascii="Calibri" w:hAnsi="Calibri" w:eastAsia="宋体" w:cs="Times New Roman"/>
                <w:color w:val="auto"/>
                <w:highlight w:val="none"/>
              </w:rPr>
              <w:t>网上开标室</w:t>
            </w:r>
            <w:r>
              <w:rPr>
                <w:rFonts w:hint="eastAsia" w:ascii="Calibri" w:hAnsi="Calibri" w:eastAsia="宋体" w:cs="Times New Roman"/>
                <w:color w:val="auto"/>
                <w:highlight w:val="none"/>
              </w:rPr>
              <w:t>，企业专职投标员需通过 CA 锁登录广西壮族自治区网上开标子系统（http://202.103.240.162:8072/BidOpening</w:t>
            </w:r>
            <w:r>
              <w:rPr>
                <w:rFonts w:hint="eastAsia" w:ascii="Calibri" w:hAnsi="Calibri" w:cs="Times New Roman"/>
                <w:color w:val="auto"/>
                <w:highlight w:val="none"/>
                <w:lang w:eastAsia="zh-CN"/>
              </w:rPr>
              <w:t>）进入投标文件解密环节后60分钟内</w:t>
            </w:r>
            <w:r>
              <w:rPr>
                <w:rFonts w:hint="eastAsia" w:ascii="Calibri" w:hAnsi="Calibri" w:eastAsia="宋体" w:cs="Times New Roman"/>
                <w:color w:val="auto"/>
                <w:highlight w:val="none"/>
                <w:lang w:val="en-US" w:eastAsia="zh-CN"/>
              </w:rPr>
              <w:t>完成签到、解密、验证</w:t>
            </w:r>
            <w:r>
              <w:rPr>
                <w:rFonts w:hint="eastAsia" w:ascii="Calibri" w:hAnsi="Calibri" w:eastAsia="宋体" w:cs="Times New Roman"/>
                <w:color w:val="auto"/>
                <w:highlight w:val="none"/>
              </w:rPr>
              <w:t>。</w:t>
            </w:r>
            <w:r>
              <w:rPr>
                <w:rFonts w:hint="eastAsia" w:ascii="Calibri" w:hAnsi="Calibri" w:eastAsia="宋体" w:cs="Times New Roman"/>
                <w:color w:val="auto"/>
                <w:highlight w:val="none"/>
                <w:lang w:eastAsia="zh-CN"/>
              </w:rPr>
              <w:t>（</w:t>
            </w:r>
            <w:r>
              <w:rPr>
                <w:rFonts w:hint="eastAsia" w:ascii="方正楷体_GB2312" w:hAnsi="方正楷体_GB2312" w:eastAsia="方正楷体_GB2312" w:cs="方正楷体_GB2312"/>
                <w:color w:val="auto"/>
                <w:highlight w:val="none"/>
                <w:lang w:eastAsia="zh-CN"/>
              </w:rPr>
              <w:t>注：支持网上开标的项目，投标人是否到现场开标由投标人自主选择</w:t>
            </w:r>
            <w:r>
              <w:rPr>
                <w:rFonts w:hint="eastAsia" w:ascii="Calibri" w:hAnsi="Calibri" w:eastAsia="宋体" w:cs="Times New Roman"/>
                <w:color w:val="auto"/>
                <w:highlight w:val="none"/>
                <w:lang w:eastAsia="zh-CN"/>
              </w:rPr>
              <w:t>）</w:t>
            </w:r>
          </w:p>
        </w:tc>
      </w:tr>
      <w:tr w14:paraId="605AE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00" w:hRule="atLeast"/>
          <w:jc w:val="center"/>
        </w:trPr>
        <w:tc>
          <w:tcPr>
            <w:tcW w:w="1247" w:type="dxa"/>
            <w:noWrap w:val="0"/>
            <w:vAlign w:val="center"/>
          </w:tcPr>
          <w:p w14:paraId="5552CB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6.1.1</w:t>
            </w:r>
          </w:p>
        </w:tc>
        <w:tc>
          <w:tcPr>
            <w:tcW w:w="3674" w:type="dxa"/>
            <w:gridSpan w:val="2"/>
            <w:noWrap w:val="0"/>
            <w:vAlign w:val="center"/>
          </w:tcPr>
          <w:p w14:paraId="224735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评标委员会的组建</w:t>
            </w:r>
          </w:p>
        </w:tc>
        <w:tc>
          <w:tcPr>
            <w:tcW w:w="4409" w:type="dxa"/>
            <w:noWrap w:val="0"/>
            <w:vAlign w:val="center"/>
          </w:tcPr>
          <w:p w14:paraId="29E056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评标委员会构成：</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5</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人，其中招标人代表</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1</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人</w:t>
            </w:r>
            <w:r>
              <w:rPr>
                <w:rFonts w:hint="eastAsia" w:ascii="Calibri" w:hAnsi="Calibri" w:eastAsia="楷体_GB2312" w:cs="楷体_GB2312"/>
                <w:color w:val="auto"/>
                <w:highlight w:val="none"/>
              </w:rPr>
              <w:t>【要求详见本表后的备注】</w:t>
            </w:r>
            <w:r>
              <w:rPr>
                <w:rFonts w:hint="eastAsia" w:ascii="Calibri" w:hAnsi="Calibri" w:eastAsia="宋体" w:cs="宋体"/>
                <w:color w:val="auto"/>
                <w:highlight w:val="none"/>
              </w:rPr>
              <w:t>，专家</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4</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人。</w:t>
            </w:r>
          </w:p>
          <w:p w14:paraId="512C9A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评标</w:t>
            </w:r>
            <w:r>
              <w:rPr>
                <w:rFonts w:hint="eastAsia" w:ascii="Calibri" w:hAnsi="Calibri" w:cs="宋体"/>
                <w:color w:val="auto"/>
                <w:highlight w:val="none"/>
                <w:lang w:eastAsia="zh-CN"/>
              </w:rPr>
              <w:t>委员会</w:t>
            </w:r>
            <w:r>
              <w:rPr>
                <w:rFonts w:hint="eastAsia" w:ascii="Calibri" w:hAnsi="Calibri" w:eastAsia="宋体" w:cs="宋体"/>
                <w:color w:val="auto"/>
                <w:highlight w:val="none"/>
              </w:rPr>
              <w:t>分工：</w:t>
            </w:r>
            <w:r>
              <w:rPr>
                <w:rFonts w:hint="eastAsia" w:ascii="Calibri" w:hAnsi="Calibri" w:eastAsia="宋体" w:cs="Times New Roman"/>
                <w:color w:val="auto"/>
                <w:highlight w:val="none"/>
              </w:rPr>
              <w:t>分技术、经济类，其中，招标人代表参加技术类</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1</w:t>
            </w:r>
            <w:r>
              <w:rPr>
                <w:rFonts w:hint="default"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人、经济类</w:t>
            </w:r>
            <w:r>
              <w:rPr>
                <w:rFonts w:hint="eastAsia" w:ascii="Calibri" w:hAnsi="Calibri" w:cs="Times New Roman"/>
                <w:color w:val="auto"/>
                <w:highlight w:val="none"/>
                <w:lang w:val="en-US" w:eastAsia="zh-CN"/>
              </w:rPr>
              <w:t>0</w:t>
            </w:r>
            <w:r>
              <w:rPr>
                <w:rFonts w:hint="default"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人；技术类专家</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2</w:t>
            </w:r>
            <w:r>
              <w:rPr>
                <w:rFonts w:hint="default"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人、经济类专家</w:t>
            </w:r>
            <w:r>
              <w:rPr>
                <w:rFonts w:hint="eastAsia" w:ascii="Calibri" w:hAnsi="Calibri" w:cs="Times New Roman"/>
                <w:color w:val="auto"/>
                <w:highlight w:val="none"/>
                <w:lang w:val="en-US" w:eastAsia="zh-CN"/>
              </w:rPr>
              <w:t>2</w:t>
            </w:r>
            <w:r>
              <w:rPr>
                <w:rFonts w:hint="default"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人。</w:t>
            </w:r>
            <w:r>
              <w:rPr>
                <w:rFonts w:hint="eastAsia" w:ascii="Calibri" w:hAnsi="Calibri" w:eastAsia="楷体_GB2312" w:cs="楷体_GB2312"/>
                <w:color w:val="auto"/>
                <w:highlight w:val="none"/>
              </w:rPr>
              <w:t>【注</w:t>
            </w:r>
            <w:r>
              <w:rPr>
                <w:rFonts w:hint="default" w:ascii="Calibri" w:hAnsi="Calibri" w:eastAsia="楷体_GB2312" w:cs="楷体_GB2312"/>
                <w:color w:val="auto"/>
                <w:highlight w:val="none"/>
              </w:rPr>
              <w:t>：经济类</w:t>
            </w:r>
            <w:r>
              <w:rPr>
                <w:rFonts w:hint="eastAsia" w:ascii="Calibri" w:hAnsi="Calibri" w:eastAsia="楷体_GB2312" w:cs="楷体_GB2312"/>
                <w:color w:val="auto"/>
                <w:highlight w:val="none"/>
              </w:rPr>
              <w:t>评</w:t>
            </w:r>
            <w:r>
              <w:rPr>
                <w:rFonts w:hint="default" w:ascii="Calibri" w:hAnsi="Calibri" w:eastAsia="楷体_GB2312" w:cs="楷体_GB2312"/>
                <w:color w:val="auto"/>
                <w:highlight w:val="none"/>
              </w:rPr>
              <w:t>委</w:t>
            </w:r>
            <w:r>
              <w:rPr>
                <w:rFonts w:hint="eastAsia" w:ascii="Calibri" w:hAnsi="Calibri" w:eastAsia="楷体_GB2312" w:cs="楷体_GB2312"/>
                <w:color w:val="auto"/>
                <w:highlight w:val="none"/>
              </w:rPr>
              <w:t>人数</w:t>
            </w:r>
            <w:r>
              <w:rPr>
                <w:rFonts w:hint="default" w:ascii="Calibri" w:hAnsi="Calibri" w:eastAsia="楷体_GB2312" w:cs="楷体_GB2312"/>
                <w:color w:val="auto"/>
                <w:highlight w:val="none"/>
              </w:rPr>
              <w:t>不</w:t>
            </w:r>
            <w:r>
              <w:rPr>
                <w:rFonts w:hint="eastAsia" w:ascii="Calibri" w:hAnsi="Calibri" w:eastAsia="楷体_GB2312" w:cs="楷体_GB2312"/>
                <w:color w:val="auto"/>
                <w:highlight w:val="none"/>
              </w:rPr>
              <w:t>应多</w:t>
            </w:r>
            <w:r>
              <w:rPr>
                <w:rFonts w:hint="default" w:ascii="Calibri" w:hAnsi="Calibri" w:eastAsia="楷体_GB2312" w:cs="楷体_GB2312"/>
                <w:color w:val="auto"/>
                <w:highlight w:val="none"/>
              </w:rPr>
              <w:t>于</w:t>
            </w:r>
            <w:r>
              <w:rPr>
                <w:rFonts w:hint="eastAsia" w:ascii="Calibri" w:hAnsi="Calibri" w:eastAsia="楷体_GB2312" w:cs="楷体_GB2312"/>
                <w:color w:val="auto"/>
                <w:highlight w:val="none"/>
              </w:rPr>
              <w:t>2人</w:t>
            </w:r>
            <w:r>
              <w:rPr>
                <w:rFonts w:hint="eastAsia" w:ascii="Calibri" w:hAnsi="Calibri" w:eastAsia="楷体_GB2312" w:cs="楷体_GB2312"/>
                <w:color w:val="auto"/>
                <w:highlight w:val="none"/>
                <w:lang w:eastAsia="zh-CN"/>
              </w:rPr>
              <w:t>】</w:t>
            </w:r>
          </w:p>
          <w:p w14:paraId="1E6107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评标专家确定方式：</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u w:val="single"/>
              </w:rPr>
              <w:t>随机抽取</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p w14:paraId="7F8F34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rPr>
            </w:pPr>
            <w:r>
              <w:rPr>
                <w:rFonts w:hint="eastAsia" w:ascii="Calibri" w:hAnsi="Calibri" w:eastAsia="宋体" w:cs="宋体"/>
                <w:color w:val="auto"/>
                <w:highlight w:val="none"/>
              </w:rPr>
              <w:t>是</w:t>
            </w:r>
            <w:r>
              <w:rPr>
                <w:rFonts w:hint="default" w:ascii="Calibri" w:hAnsi="Calibri" w:eastAsia="宋体" w:cs="宋体"/>
                <w:color w:val="auto"/>
                <w:highlight w:val="none"/>
              </w:rPr>
              <w:t>否远程抽取：</w:t>
            </w:r>
            <w:r>
              <w:rPr>
                <w:rFonts w:hint="eastAsia" w:ascii="Calibri" w:hAnsi="Calibri" w:eastAsia="宋体" w:cs="宋体"/>
                <w:color w:val="auto"/>
                <w:highlight w:val="none"/>
              </w:rPr>
              <w:t>□是</w:t>
            </w:r>
            <w:r>
              <w:rPr>
                <w:rFonts w:hint="eastAsia" w:ascii="Calibri" w:hAnsi="Calibri" w:eastAsia="宋体" w:cs="Times New Roman"/>
                <w:color w:val="auto"/>
                <w:highlight w:val="none"/>
              </w:rPr>
              <w:t xml:space="preserve">   </w:t>
            </w:r>
            <w:r>
              <w:rPr>
                <w:rFonts w:hint="eastAsia" w:ascii="Calibri" w:hAnsi="Calibri" w:cs="宋体"/>
                <w:color w:val="auto"/>
                <w:highlight w:val="none"/>
                <w:lang w:eastAsia="zh-CN"/>
              </w:rPr>
              <w:t>☑</w:t>
            </w:r>
            <w:r>
              <w:rPr>
                <w:rFonts w:hint="eastAsia" w:ascii="Calibri" w:hAnsi="Calibri" w:eastAsia="宋体" w:cs="宋体"/>
                <w:color w:val="auto"/>
                <w:highlight w:val="none"/>
              </w:rPr>
              <w:t>否</w:t>
            </w:r>
          </w:p>
        </w:tc>
      </w:tr>
      <w:tr w14:paraId="551C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1DF5F6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6.3</w:t>
            </w:r>
          </w:p>
        </w:tc>
        <w:tc>
          <w:tcPr>
            <w:tcW w:w="3674" w:type="dxa"/>
            <w:gridSpan w:val="2"/>
            <w:noWrap w:val="0"/>
            <w:vAlign w:val="center"/>
          </w:tcPr>
          <w:p w14:paraId="47136B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评标方式</w:t>
            </w:r>
          </w:p>
        </w:tc>
        <w:tc>
          <w:tcPr>
            <w:tcW w:w="4409" w:type="dxa"/>
            <w:noWrap w:val="0"/>
            <w:vAlign w:val="center"/>
          </w:tcPr>
          <w:p w14:paraId="65AB8C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□经评审的合理低价法</w:t>
            </w:r>
          </w:p>
          <w:p w14:paraId="551411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cs="宋体"/>
                <w:color w:val="auto"/>
                <w:highlight w:val="none"/>
                <w:lang w:eastAsia="zh-CN"/>
              </w:rPr>
              <w:t>☑</w:t>
            </w:r>
            <w:r>
              <w:rPr>
                <w:rFonts w:hint="eastAsia" w:ascii="Calibri" w:hAnsi="Calibri" w:eastAsia="宋体" w:cs="宋体"/>
                <w:color w:val="auto"/>
                <w:highlight w:val="none"/>
              </w:rPr>
              <w:t>综合评估法</w:t>
            </w:r>
          </w:p>
        </w:tc>
      </w:tr>
      <w:tr w14:paraId="3C2E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3CE109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6.5</w:t>
            </w:r>
          </w:p>
        </w:tc>
        <w:tc>
          <w:tcPr>
            <w:tcW w:w="3674" w:type="dxa"/>
            <w:gridSpan w:val="2"/>
            <w:noWrap w:val="0"/>
            <w:vAlign w:val="center"/>
          </w:tcPr>
          <w:p w14:paraId="057897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评标资料封存方式</w:t>
            </w:r>
          </w:p>
        </w:tc>
        <w:tc>
          <w:tcPr>
            <w:tcW w:w="4409" w:type="dxa"/>
            <w:noWrap w:val="0"/>
            <w:vAlign w:val="center"/>
          </w:tcPr>
          <w:p w14:paraId="79CFFC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在交易中心封存</w:t>
            </w:r>
          </w:p>
        </w:tc>
      </w:tr>
      <w:tr w14:paraId="0390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3D2123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6.5.1</w:t>
            </w:r>
          </w:p>
        </w:tc>
        <w:tc>
          <w:tcPr>
            <w:tcW w:w="3674" w:type="dxa"/>
            <w:gridSpan w:val="2"/>
            <w:noWrap w:val="0"/>
            <w:vAlign w:val="center"/>
          </w:tcPr>
          <w:p w14:paraId="672B1A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封存的其它材料</w:t>
            </w:r>
          </w:p>
        </w:tc>
        <w:tc>
          <w:tcPr>
            <w:tcW w:w="4409" w:type="dxa"/>
            <w:noWrap w:val="0"/>
            <w:vAlign w:val="center"/>
          </w:tcPr>
          <w:p w14:paraId="4DA506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lang w:val="en-US" w:eastAsia="zh-CN"/>
              </w:rPr>
            </w:pP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bookmarkStart w:id="83" w:name="EB348203b108224f149bae02d2311f6c11"/>
            <w:r>
              <w:rPr>
                <w:rFonts w:hint="default" w:ascii="Calibri" w:hAnsi="Calibri" w:eastAsia="宋体" w:cs="Times New Roman"/>
                <w:color w:val="auto"/>
                <w:highlight w:val="none"/>
                <w:u w:val="single"/>
              </w:rPr>
              <w:t>无</w:t>
            </w:r>
            <w:bookmarkEnd w:id="83"/>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tc>
      </w:tr>
      <w:tr w14:paraId="45BF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2EA6E4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6.6.1</w:t>
            </w:r>
          </w:p>
        </w:tc>
        <w:tc>
          <w:tcPr>
            <w:tcW w:w="3674" w:type="dxa"/>
            <w:gridSpan w:val="2"/>
            <w:noWrap w:val="0"/>
            <w:vAlign w:val="center"/>
          </w:tcPr>
          <w:p w14:paraId="519E08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中标候选人公示的媒介</w:t>
            </w:r>
          </w:p>
        </w:tc>
        <w:tc>
          <w:tcPr>
            <w:tcW w:w="4409" w:type="dxa"/>
            <w:noWrap w:val="0"/>
            <w:vAlign w:val="center"/>
          </w:tcPr>
          <w:p w14:paraId="72C340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在发布招标公告媒介上公示</w:t>
            </w:r>
          </w:p>
        </w:tc>
      </w:tr>
      <w:tr w14:paraId="5676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52DC8C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Calibri" w:hAnsi="Calibri" w:eastAsia="宋体" w:cs="Times New Roman"/>
                <w:color w:val="auto"/>
                <w:highlight w:val="none"/>
              </w:rPr>
            </w:pPr>
            <w:r>
              <w:rPr>
                <w:rFonts w:hint="eastAsia" w:ascii="Calibri" w:hAnsi="Calibri" w:eastAsia="宋体" w:cs="Times New Roman"/>
                <w:color w:val="auto"/>
                <w:highlight w:val="none"/>
              </w:rPr>
              <w:t>6.7</w:t>
            </w:r>
          </w:p>
        </w:tc>
        <w:tc>
          <w:tcPr>
            <w:tcW w:w="3674" w:type="dxa"/>
            <w:gridSpan w:val="2"/>
            <w:noWrap w:val="0"/>
            <w:vAlign w:val="center"/>
          </w:tcPr>
          <w:p w14:paraId="392B11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履约能力审查的标准和方法</w:t>
            </w:r>
          </w:p>
        </w:tc>
        <w:tc>
          <w:tcPr>
            <w:tcW w:w="4409" w:type="dxa"/>
            <w:noWrap w:val="0"/>
            <w:vAlign w:val="center"/>
          </w:tcPr>
          <w:p w14:paraId="25878E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rPr>
            </w:pPr>
            <w:r>
              <w:rPr>
                <w:rFonts w:hint="eastAsia" w:ascii="Calibri" w:hAnsi="Calibri" w:eastAsia="宋体" w:cs="Times New Roman"/>
                <w:color w:val="auto"/>
                <w:highlight w:val="none"/>
              </w:rPr>
              <w:t>在中标通知书发出前，中标候选人不得有以下情形：</w:t>
            </w:r>
          </w:p>
          <w:p w14:paraId="1C3A3E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sz w:val="21"/>
                <w:szCs w:val="21"/>
                <w:highlight w:val="none"/>
              </w:rPr>
            </w:pPr>
            <w:r>
              <w:rPr>
                <w:rFonts w:hint="eastAsia" w:ascii="Calibri" w:hAnsi="Calibri" w:cs="Times New Roman"/>
                <w:color w:val="auto"/>
                <w:sz w:val="21"/>
                <w:szCs w:val="21"/>
                <w:highlight w:val="none"/>
                <w:lang w:eastAsia="zh-CN"/>
              </w:rPr>
              <w:t>1</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被人民法院宣告破产或进入清算程序；</w:t>
            </w:r>
          </w:p>
          <w:p w14:paraId="2EC33C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sz w:val="21"/>
                <w:szCs w:val="21"/>
                <w:highlight w:val="none"/>
              </w:rPr>
            </w:pPr>
            <w:r>
              <w:rPr>
                <w:rFonts w:hint="eastAsia" w:ascii="Calibri" w:hAnsi="Calibri" w:cs="Times New Roman"/>
                <w:color w:val="auto"/>
                <w:sz w:val="21"/>
                <w:szCs w:val="21"/>
                <w:highlight w:val="none"/>
                <w:lang w:eastAsia="zh-CN"/>
              </w:rPr>
              <w:t>2</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因重大违法、违约行为被依法责令停业整顿或吊销相关证照；</w:t>
            </w:r>
          </w:p>
          <w:p w14:paraId="0ADDA3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Calibri" w:hAnsi="Calibri" w:eastAsia="宋体" w:cs="Times New Roman"/>
                <w:color w:val="auto"/>
                <w:highlight w:val="none"/>
              </w:rPr>
            </w:pPr>
            <w:r>
              <w:rPr>
                <w:rFonts w:hint="eastAsia" w:ascii="Calibri" w:hAnsi="Calibri" w:cs="Times New Roman"/>
                <w:color w:val="auto"/>
                <w:sz w:val="21"/>
                <w:szCs w:val="21"/>
                <w:highlight w:val="none"/>
                <w:lang w:eastAsia="zh-CN"/>
              </w:rPr>
              <w:t>3</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其他</w:t>
            </w:r>
            <w:r>
              <w:rPr>
                <w:rFonts w:hint="eastAsia" w:ascii="Calibri" w:hAnsi="Calibri" w:cs="Times New Roman"/>
                <w:color w:val="auto"/>
                <w:sz w:val="21"/>
                <w:szCs w:val="21"/>
                <w:highlight w:val="none"/>
                <w:lang w:eastAsia="zh-CN"/>
              </w:rPr>
              <w:t>：</w:t>
            </w:r>
            <w:r>
              <w:rPr>
                <w:rFonts w:hint="eastAsia"/>
                <w:color w:val="auto"/>
                <w:sz w:val="21"/>
                <w:szCs w:val="21"/>
                <w:highlight w:val="none"/>
                <w:u w:val="single"/>
                <w:lang w:val="en-US" w:eastAsia="zh-CN"/>
              </w:rPr>
              <w:t xml:space="preserve">          </w:t>
            </w:r>
            <w:bookmarkStart w:id="84" w:name="EB2719a1aad74c416f94db2a8c6fff6ff2"/>
            <w:r>
              <w:rPr>
                <w:rFonts w:hint="eastAsia"/>
                <w:color w:val="auto"/>
                <w:sz w:val="21"/>
                <w:szCs w:val="21"/>
                <w:highlight w:val="none"/>
                <w:u w:val="single"/>
                <w:lang w:val="en-US" w:eastAsia="zh-CN"/>
              </w:rPr>
              <w:t>无</w:t>
            </w:r>
            <w:bookmarkEnd w:id="84"/>
            <w:r>
              <w:rPr>
                <w:rFonts w:hint="eastAsia"/>
                <w:color w:val="auto"/>
                <w:sz w:val="21"/>
                <w:szCs w:val="21"/>
                <w:highlight w:val="none"/>
                <w:u w:val="single"/>
                <w:lang w:val="en-US" w:eastAsia="zh-CN"/>
              </w:rPr>
              <w:t xml:space="preserve">             </w:t>
            </w:r>
            <w:r>
              <w:rPr>
                <w:rFonts w:hint="eastAsia" w:ascii="Calibri" w:hAnsi="Calibri" w:cs="Times New Roman"/>
                <w:color w:val="auto"/>
                <w:highlight w:val="none"/>
                <w:u w:val="none"/>
                <w:lang w:val="en-US" w:eastAsia="zh-CN"/>
              </w:rPr>
              <w:t xml:space="preserve">            </w:t>
            </w:r>
            <w:r>
              <w:rPr>
                <w:rFonts w:hint="eastAsia" w:ascii="Calibri" w:hAnsi="Calibri" w:eastAsia="宋体" w:cs="Times New Roman"/>
                <w:color w:val="auto"/>
                <w:highlight w:val="none"/>
                <w:u w:val="none"/>
              </w:rPr>
              <w:t xml:space="preserve">  </w:t>
            </w:r>
            <w:r>
              <w:rPr>
                <w:rFonts w:hint="default" w:ascii="Calibri" w:hAnsi="Calibri" w:eastAsia="宋体" w:cs="Times New Roman"/>
                <w:color w:val="auto"/>
                <w:highlight w:val="none"/>
              </w:rPr>
              <w:t xml:space="preserve"> </w:t>
            </w:r>
          </w:p>
        </w:tc>
      </w:tr>
      <w:tr w14:paraId="7E87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50" w:hRule="atLeast"/>
          <w:jc w:val="center"/>
        </w:trPr>
        <w:tc>
          <w:tcPr>
            <w:tcW w:w="1247" w:type="dxa"/>
            <w:noWrap w:val="0"/>
            <w:vAlign w:val="center"/>
          </w:tcPr>
          <w:p w14:paraId="47B426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7.1</w:t>
            </w:r>
          </w:p>
        </w:tc>
        <w:tc>
          <w:tcPr>
            <w:tcW w:w="3674" w:type="dxa"/>
            <w:gridSpan w:val="2"/>
            <w:noWrap w:val="0"/>
            <w:vAlign w:val="center"/>
          </w:tcPr>
          <w:p w14:paraId="289C38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是否授权评标委员会确定中标人</w:t>
            </w:r>
          </w:p>
        </w:tc>
        <w:tc>
          <w:tcPr>
            <w:tcW w:w="4409" w:type="dxa"/>
            <w:noWrap w:val="0"/>
            <w:vAlign w:val="center"/>
          </w:tcPr>
          <w:p w14:paraId="75DF2E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□是</w:t>
            </w:r>
          </w:p>
          <w:p w14:paraId="7F55E5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cs="宋体"/>
                <w:color w:val="auto"/>
                <w:highlight w:val="none"/>
                <w:lang w:eastAsia="zh-CN"/>
              </w:rPr>
              <w:t>☑</w:t>
            </w:r>
            <w:r>
              <w:rPr>
                <w:rFonts w:hint="eastAsia" w:ascii="Calibri" w:hAnsi="Calibri" w:eastAsia="宋体" w:cs="宋体"/>
                <w:color w:val="auto"/>
                <w:highlight w:val="none"/>
              </w:rPr>
              <w:t>否，推荐的中标候选人数：</w:t>
            </w:r>
            <w:r>
              <w:rPr>
                <w:rFonts w:hint="default" w:ascii="Calibri" w:hAnsi="Calibri" w:eastAsia="宋体" w:cs="Times New Roman"/>
                <w:color w:val="auto"/>
                <w:highlight w:val="none"/>
                <w:u w:val="single"/>
              </w:rPr>
              <w:t xml:space="preserve">    </w:t>
            </w:r>
            <w:bookmarkStart w:id="85" w:name="EBea00c656ae9a4d3291b307567e61410a"/>
            <w:r>
              <w:rPr>
                <w:rFonts w:hint="default" w:ascii="Calibri" w:hAnsi="Calibri" w:eastAsia="宋体" w:cs="Times New Roman"/>
                <w:color w:val="auto"/>
                <w:highlight w:val="none"/>
                <w:u w:val="single"/>
              </w:rPr>
              <w:t>3名</w:t>
            </w:r>
            <w:bookmarkEnd w:id="85"/>
            <w:r>
              <w:rPr>
                <w:rFonts w:hint="default" w:ascii="Calibri" w:hAnsi="Calibri" w:eastAsia="宋体" w:cs="Times New Roman"/>
                <w:color w:val="auto"/>
                <w:highlight w:val="none"/>
                <w:u w:val="single"/>
              </w:rPr>
              <w:t xml:space="preserve">   </w:t>
            </w:r>
          </w:p>
        </w:tc>
      </w:tr>
      <w:tr w14:paraId="4145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366" w:hRule="atLeast"/>
          <w:jc w:val="center"/>
        </w:trPr>
        <w:tc>
          <w:tcPr>
            <w:tcW w:w="1247" w:type="dxa"/>
            <w:noWrap w:val="0"/>
            <w:vAlign w:val="center"/>
          </w:tcPr>
          <w:p w14:paraId="1D45D7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7.3.1</w:t>
            </w:r>
          </w:p>
        </w:tc>
        <w:tc>
          <w:tcPr>
            <w:tcW w:w="3674" w:type="dxa"/>
            <w:gridSpan w:val="2"/>
            <w:noWrap w:val="0"/>
            <w:vAlign w:val="center"/>
          </w:tcPr>
          <w:p w14:paraId="59D101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履约保证金</w:t>
            </w:r>
          </w:p>
        </w:tc>
        <w:tc>
          <w:tcPr>
            <w:tcW w:w="4409" w:type="dxa"/>
            <w:noWrap w:val="0"/>
            <w:vAlign w:val="center"/>
          </w:tcPr>
          <w:p w14:paraId="033A6C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方正楷体_GB2312" w:hAnsi="方正楷体_GB2312" w:eastAsia="方正楷体_GB2312" w:cs="方正楷体_GB2312"/>
                <w:b w:val="0"/>
                <w:bCs w:val="0"/>
                <w:color w:val="auto"/>
                <w:highlight w:val="none"/>
              </w:rPr>
            </w:pPr>
            <w:r>
              <w:rPr>
                <w:rFonts w:hint="eastAsia" w:ascii="Calibri" w:hAnsi="Calibri" w:cs="宋体"/>
                <w:color w:val="auto"/>
                <w:highlight w:val="none"/>
                <w:lang w:eastAsia="zh-CN"/>
              </w:rPr>
              <w:t>☑</w:t>
            </w:r>
            <w:r>
              <w:rPr>
                <w:rFonts w:hint="eastAsia" w:ascii="Calibri" w:hAnsi="Calibri" w:eastAsia="宋体" w:cs="宋体"/>
                <w:color w:val="auto"/>
                <w:highlight w:val="none"/>
              </w:rPr>
              <w:t>是</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履约保证金的形式：可以采用现金、银行保函、工程担保、</w:t>
            </w:r>
            <w:r>
              <w:rPr>
                <w:rFonts w:hint="default" w:ascii="Calibri" w:hAnsi="Calibri" w:eastAsia="宋体" w:cs="宋体"/>
                <w:color w:val="auto"/>
                <w:highlight w:val="none"/>
              </w:rPr>
              <w:t>电子保函</w:t>
            </w:r>
            <w:r>
              <w:rPr>
                <w:rFonts w:hint="eastAsia" w:ascii="Calibri" w:hAnsi="Calibri" w:eastAsia="宋体" w:cs="宋体"/>
                <w:color w:val="auto"/>
                <w:highlight w:val="none"/>
              </w:rPr>
              <w:t>或保证保险等形式</w:t>
            </w:r>
            <w:r>
              <w:rPr>
                <w:rFonts w:hint="eastAsia" w:ascii="Calibri" w:hAnsi="Calibri" w:eastAsia="楷体_GB2312" w:cs="楷体_GB2312"/>
                <w:color w:val="auto"/>
                <w:highlight w:val="none"/>
              </w:rPr>
              <w:t>【备注：</w:t>
            </w:r>
            <w:r>
              <w:rPr>
                <w:rFonts w:hint="eastAsia" w:ascii="Calibri" w:hAnsi="Calibri" w:eastAsia="楷体_GB2312" w:cs="楷体_GB2312"/>
                <w:color w:val="auto"/>
                <w:highlight w:val="none"/>
                <w:lang w:val="en-US" w:eastAsia="zh-CN"/>
              </w:rPr>
              <w:t>1.</w:t>
            </w:r>
            <w:r>
              <w:rPr>
                <w:rFonts w:hint="eastAsia" w:ascii="Calibri" w:hAnsi="Calibri" w:eastAsia="楷体_GB2312" w:cs="楷体_GB2312"/>
                <w:color w:val="auto"/>
                <w:highlight w:val="none"/>
              </w:rPr>
              <w:t>严禁要求中标人只能以现金方式提交保证金的行为，严禁现金形式缴纳的额度与其他形式不</w:t>
            </w:r>
            <w:r>
              <w:rPr>
                <w:rFonts w:hint="default" w:ascii="Calibri" w:hAnsi="Calibri" w:eastAsia="楷体_GB2312" w:cs="楷体_GB2312"/>
                <w:color w:val="auto"/>
                <w:highlight w:val="none"/>
              </w:rPr>
              <w:t>一致</w:t>
            </w:r>
            <w:r>
              <w:rPr>
                <w:rFonts w:hint="eastAsia" w:ascii="Calibri" w:hAnsi="Calibri" w:eastAsia="楷体_GB2312" w:cs="楷体_GB2312"/>
                <w:color w:val="auto"/>
                <w:highlight w:val="none"/>
                <w:lang w:eastAsia="zh-CN"/>
              </w:rPr>
              <w:t>；</w:t>
            </w:r>
            <w:r>
              <w:rPr>
                <w:rFonts w:hint="eastAsia" w:ascii="方正楷体_GB2312" w:hAnsi="方正楷体_GB2312" w:eastAsia="方正楷体_GB2312" w:cs="方正楷体_GB2312"/>
                <w:color w:val="auto"/>
                <w:highlight w:val="none"/>
                <w:lang w:val="en-US" w:eastAsia="zh-CN"/>
              </w:rPr>
              <w:t>2.</w:t>
            </w:r>
            <w:r>
              <w:rPr>
                <w:rFonts w:hint="eastAsia" w:ascii="方正楷体_GB2312" w:hAnsi="方正楷体_GB2312" w:eastAsia="方正楷体_GB2312" w:cs="方正楷体_GB2312"/>
                <w:color w:val="auto"/>
                <w:highlight w:val="none"/>
              </w:rPr>
              <w:t>工程担保保证人应将出具的保函相关信息录入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广西建筑市场监管云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平台，以实现保函查询及验真功能；</w:t>
            </w:r>
            <w:r>
              <w:rPr>
                <w:rFonts w:hint="eastAsia" w:ascii="方正楷体_GB2312" w:hAnsi="方正楷体_GB2312" w:eastAsia="方正楷体_GB2312" w:cs="方正楷体_GB2312"/>
                <w:color w:val="auto"/>
                <w:highlight w:val="none"/>
                <w:lang w:val="en-US" w:eastAsia="zh-CN"/>
              </w:rPr>
              <w:t>3.</w:t>
            </w:r>
            <w:r>
              <w:rPr>
                <w:rFonts w:hint="eastAsia" w:ascii="方正楷体_GB2312" w:hAnsi="方正楷体_GB2312" w:eastAsia="方正楷体_GB2312" w:cs="方正楷体_GB2312"/>
                <w:color w:val="auto"/>
                <w:highlight w:val="none"/>
              </w:rPr>
              <w:t>鼓励采用电子保函等形式</w:t>
            </w:r>
            <w:r>
              <w:rPr>
                <w:rFonts w:hint="eastAsia" w:ascii="方正楷体_GB2312" w:hAnsi="方正楷体_GB2312" w:eastAsia="方正楷体_GB2312" w:cs="方正楷体_GB2312"/>
                <w:color w:val="auto"/>
                <w:highlight w:val="none"/>
                <w:lang w:eastAsia="zh-CN"/>
              </w:rPr>
              <w:t>】</w:t>
            </w:r>
          </w:p>
          <w:p w14:paraId="10ABC8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履约保证金：</w:t>
            </w:r>
          </w:p>
          <w:p w14:paraId="2C43A2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u w:val="single"/>
              </w:rPr>
            </w:pPr>
            <w:r>
              <w:rPr>
                <w:rFonts w:hint="eastAsia" w:ascii="Calibri" w:hAnsi="Calibri" w:eastAsia="宋体" w:cs="宋体"/>
                <w:color w:val="auto"/>
                <w:highlight w:val="none"/>
              </w:rPr>
              <w:t>□</w:t>
            </w:r>
            <w:r>
              <w:rPr>
                <w:rFonts w:hint="eastAsia" w:ascii="Calibri" w:hAnsi="Calibri" w:eastAsia="楷体_GB2312" w:cs="楷体_GB2312"/>
                <w:color w:val="auto"/>
                <w:highlight w:val="none"/>
              </w:rPr>
              <w:t>金额：</w:t>
            </w:r>
            <w:r>
              <w:rPr>
                <w:rFonts w:hint="default" w:ascii="Calibri" w:hAnsi="Calibri" w:eastAsia="楷体_GB2312" w:cs="楷体_GB2312"/>
                <w:color w:val="auto"/>
                <w:highlight w:val="none"/>
                <w:u w:val="single"/>
              </w:rPr>
              <w:t xml:space="preserve">       </w:t>
            </w:r>
            <w:r>
              <w:rPr>
                <w:rFonts w:hint="eastAsia" w:ascii="Calibri" w:hAnsi="Calibri" w:eastAsia="楷体_GB2312" w:cs="楷体_GB2312"/>
                <w:color w:val="auto"/>
                <w:highlight w:val="none"/>
              </w:rPr>
              <w:t>万</w:t>
            </w:r>
            <w:r>
              <w:rPr>
                <w:rFonts w:hint="default" w:ascii="Calibri" w:hAnsi="Calibri" w:eastAsia="楷体_GB2312" w:cs="楷体_GB2312"/>
                <w:color w:val="auto"/>
                <w:highlight w:val="none"/>
              </w:rPr>
              <w:t>元</w:t>
            </w:r>
          </w:p>
          <w:p w14:paraId="328FED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楷体_GB2312" w:cs="Times New Roman"/>
                <w:color w:val="auto"/>
                <w:highlight w:val="none"/>
                <w:lang w:eastAsia="zh-CN"/>
              </w:rPr>
            </w:pPr>
            <w:r>
              <w:rPr>
                <w:rFonts w:hint="eastAsia" w:ascii="Calibri" w:hAnsi="Calibri" w:cs="宋体"/>
                <w:color w:val="auto"/>
                <w:highlight w:val="none"/>
                <w:lang w:eastAsia="zh-CN"/>
              </w:rPr>
              <w:t>☑</w:t>
            </w:r>
            <w:r>
              <w:rPr>
                <w:rFonts w:hint="eastAsia" w:ascii="Calibri" w:hAnsi="Calibri" w:eastAsia="楷体_GB2312" w:cs="楷体_GB2312"/>
                <w:color w:val="auto"/>
                <w:highlight w:val="none"/>
              </w:rPr>
              <w:t>合同价款扣除暂列金额、专业工程暂估</w:t>
            </w:r>
            <w:r>
              <w:rPr>
                <w:rFonts w:hint="eastAsia" w:ascii="Calibri" w:hAnsi="Calibri" w:eastAsia="楷体_GB2312" w:cs="楷体_GB2312"/>
                <w:color w:val="auto"/>
                <w:highlight w:val="none"/>
                <w:lang w:val="en-US" w:eastAsia="zh-CN"/>
              </w:rPr>
              <w:t>价</w:t>
            </w:r>
            <w:r>
              <w:rPr>
                <w:rFonts w:hint="eastAsia" w:ascii="Calibri" w:hAnsi="Calibri" w:eastAsia="楷体_GB2312" w:cs="楷体_GB2312"/>
                <w:color w:val="auto"/>
                <w:highlight w:val="none"/>
              </w:rPr>
              <w:t>后的</w:t>
            </w:r>
            <w:r>
              <w:rPr>
                <w:rFonts w:hint="default" w:ascii="Calibri" w:hAnsi="Calibri" w:eastAsia="楷体_GB2312" w:cs="Times New Roman"/>
                <w:color w:val="auto"/>
                <w:highlight w:val="none"/>
                <w:u w:val="single"/>
              </w:rPr>
              <w:t xml:space="preserve">  </w:t>
            </w:r>
            <w:r>
              <w:rPr>
                <w:rFonts w:hint="eastAsia" w:ascii="Calibri" w:hAnsi="Calibri" w:eastAsia="楷体_GB2312" w:cs="Times New Roman"/>
                <w:color w:val="auto"/>
                <w:highlight w:val="none"/>
                <w:u w:val="single"/>
                <w:lang w:val="en-US" w:eastAsia="zh-CN"/>
              </w:rPr>
              <w:t>2</w:t>
            </w:r>
            <w:r>
              <w:rPr>
                <w:rFonts w:hint="default" w:ascii="Calibri" w:hAnsi="Calibri" w:eastAsia="楷体_GB2312" w:cs="Times New Roman"/>
                <w:color w:val="auto"/>
                <w:highlight w:val="none"/>
                <w:u w:val="single"/>
              </w:rPr>
              <w:t xml:space="preserve">     </w:t>
            </w:r>
            <w:r>
              <w:rPr>
                <w:rFonts w:hint="default" w:ascii="Calibri" w:hAnsi="Calibri" w:eastAsia="楷体_GB2312" w:cs="Times New Roman"/>
                <w:color w:val="auto"/>
                <w:highlight w:val="none"/>
              </w:rPr>
              <w:t>%</w:t>
            </w:r>
            <w:r>
              <w:rPr>
                <w:rFonts w:hint="eastAsia" w:ascii="Calibri" w:hAnsi="Calibri" w:eastAsia="楷体_GB2312" w:cs="Times New Roman"/>
                <w:color w:val="auto"/>
                <w:highlight w:val="none"/>
                <w:lang w:eastAsia="zh-CN"/>
              </w:rPr>
              <w:t>。</w:t>
            </w:r>
          </w:p>
          <w:p w14:paraId="7C3B09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楷体_GB2312" w:cs="Times New Roman"/>
                <w:b/>
                <w:bCs/>
                <w:color w:val="auto"/>
                <w:highlight w:val="none"/>
              </w:rPr>
            </w:pPr>
            <w:r>
              <w:rPr>
                <w:rFonts w:hint="eastAsia" w:ascii="Calibri" w:hAnsi="Calibri" w:eastAsia="楷体_GB2312" w:cs="楷体_GB2312"/>
                <w:color w:val="auto"/>
                <w:highlight w:val="none"/>
              </w:rPr>
              <w:t>【备注：上限为合同价款扣除暂列金额、专业工程暂估</w:t>
            </w:r>
            <w:r>
              <w:rPr>
                <w:rFonts w:hint="eastAsia" w:ascii="Calibri" w:hAnsi="Calibri" w:eastAsia="楷体_GB2312" w:cs="楷体_GB2312"/>
                <w:color w:val="auto"/>
                <w:highlight w:val="none"/>
                <w:lang w:val="en-US" w:eastAsia="zh-CN"/>
              </w:rPr>
              <w:t>价</w:t>
            </w:r>
            <w:r>
              <w:rPr>
                <w:rFonts w:hint="eastAsia" w:ascii="Calibri" w:hAnsi="Calibri" w:eastAsia="楷体_GB2312" w:cs="楷体_GB2312"/>
                <w:color w:val="auto"/>
                <w:highlight w:val="none"/>
              </w:rPr>
              <w:t>后的</w:t>
            </w:r>
            <w:r>
              <w:rPr>
                <w:rFonts w:hint="default" w:ascii="Calibri" w:hAnsi="Calibri" w:eastAsia="楷体_GB2312" w:cs="Times New Roman"/>
                <w:color w:val="auto"/>
                <w:highlight w:val="none"/>
              </w:rPr>
              <w:t>10%</w:t>
            </w:r>
            <w:r>
              <w:rPr>
                <w:rFonts w:hint="eastAsia" w:ascii="Calibri" w:hAnsi="Calibri" w:eastAsia="楷体_GB2312" w:cs="楷体_GB2312"/>
                <w:color w:val="auto"/>
                <w:highlight w:val="none"/>
              </w:rPr>
              <w:t>】</w:t>
            </w:r>
          </w:p>
          <w:p w14:paraId="715E4A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投标人在收到中标通知书后，须在</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15</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日内向招标人足额提交履约保证金，否则招标人可以取消其中标资格</w:t>
            </w:r>
            <w:r>
              <w:rPr>
                <w:rFonts w:hint="eastAsia" w:ascii="Calibri" w:hAnsi="Calibri" w:eastAsia="楷体_GB2312" w:cs="楷体_GB2312"/>
                <w:color w:val="auto"/>
                <w:highlight w:val="none"/>
              </w:rPr>
              <w:t>【备注：此处约定应与合同专用条款第</w:t>
            </w:r>
            <w:r>
              <w:rPr>
                <w:rFonts w:hint="default" w:ascii="Calibri" w:hAnsi="Calibri" w:eastAsia="楷体_GB2312" w:cs="Times New Roman"/>
                <w:color w:val="auto"/>
                <w:highlight w:val="none"/>
              </w:rPr>
              <w:t>3.7</w:t>
            </w:r>
            <w:r>
              <w:rPr>
                <w:rFonts w:hint="eastAsia" w:ascii="Calibri" w:hAnsi="Calibri" w:eastAsia="楷体_GB2312" w:cs="楷体_GB2312"/>
                <w:color w:val="auto"/>
                <w:highlight w:val="none"/>
              </w:rPr>
              <w:t>条一致】</w:t>
            </w:r>
            <w:r>
              <w:rPr>
                <w:rFonts w:hint="eastAsia" w:ascii="Calibri" w:hAnsi="Calibri" w:eastAsia="宋体" w:cs="宋体"/>
                <w:color w:val="auto"/>
                <w:highlight w:val="none"/>
              </w:rPr>
              <w:t>。</w:t>
            </w:r>
          </w:p>
          <w:p w14:paraId="1B17F3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联合体中标的，其履约保证金由联合体任一方提交。</w:t>
            </w:r>
          </w:p>
          <w:p w14:paraId="7C2DD3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rPr>
            </w:pPr>
            <w:r>
              <w:rPr>
                <w:rFonts w:hint="eastAsia" w:ascii="Calibri" w:hAnsi="Calibri" w:eastAsia="宋体" w:cs="宋体"/>
                <w:color w:val="auto"/>
                <w:highlight w:val="none"/>
              </w:rPr>
              <w:t>□否</w:t>
            </w:r>
          </w:p>
        </w:tc>
      </w:tr>
      <w:tr w14:paraId="0349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394" w:type="dxa"/>
            <w:gridSpan w:val="5"/>
            <w:noWrap w:val="0"/>
            <w:vAlign w:val="top"/>
          </w:tcPr>
          <w:p w14:paraId="7E6E36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 xml:space="preserve">10. </w:t>
            </w:r>
            <w:r>
              <w:rPr>
                <w:rFonts w:hint="eastAsia" w:ascii="Calibri" w:hAnsi="Calibri" w:eastAsia="宋体" w:cs="宋体"/>
                <w:color w:val="auto"/>
                <w:highlight w:val="none"/>
              </w:rPr>
              <w:t>需要补充的其他内容</w:t>
            </w:r>
          </w:p>
        </w:tc>
      </w:tr>
      <w:tr w14:paraId="62C5A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394" w:type="dxa"/>
            <w:gridSpan w:val="5"/>
            <w:noWrap w:val="0"/>
            <w:vAlign w:val="top"/>
          </w:tcPr>
          <w:p w14:paraId="6F6EE6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 xml:space="preserve">10.1 </w:t>
            </w:r>
            <w:r>
              <w:rPr>
                <w:rFonts w:hint="eastAsia" w:ascii="Calibri" w:hAnsi="Calibri" w:eastAsia="宋体" w:cs="宋体"/>
                <w:color w:val="auto"/>
                <w:highlight w:val="none"/>
              </w:rPr>
              <w:t>词语定义</w:t>
            </w:r>
          </w:p>
        </w:tc>
      </w:tr>
      <w:tr w14:paraId="0CBC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370" w:hRule="atLeast"/>
          <w:jc w:val="center"/>
        </w:trPr>
        <w:tc>
          <w:tcPr>
            <w:tcW w:w="1247" w:type="dxa"/>
            <w:noWrap w:val="0"/>
            <w:vAlign w:val="center"/>
          </w:tcPr>
          <w:p w14:paraId="03EEF3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lang w:eastAsia="zh-CN"/>
              </w:rPr>
            </w:pPr>
            <w:r>
              <w:rPr>
                <w:rFonts w:hint="default" w:ascii="Calibri" w:hAnsi="Calibri" w:eastAsia="宋体" w:cs="Times New Roman"/>
                <w:color w:val="auto"/>
                <w:highlight w:val="none"/>
              </w:rPr>
              <w:t>10.1.</w:t>
            </w:r>
            <w:r>
              <w:rPr>
                <w:rFonts w:hint="eastAsia" w:ascii="Calibri" w:hAnsi="Calibri" w:eastAsia="宋体" w:cs="Times New Roman"/>
                <w:color w:val="auto"/>
                <w:highlight w:val="none"/>
                <w:lang w:val="en-US" w:eastAsia="zh-CN"/>
              </w:rPr>
              <w:t>1</w:t>
            </w:r>
          </w:p>
        </w:tc>
        <w:tc>
          <w:tcPr>
            <w:tcW w:w="3674" w:type="dxa"/>
            <w:gridSpan w:val="2"/>
            <w:noWrap w:val="0"/>
            <w:vAlign w:val="center"/>
          </w:tcPr>
          <w:p w14:paraId="2126AA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发布媒介</w:t>
            </w:r>
          </w:p>
        </w:tc>
        <w:tc>
          <w:tcPr>
            <w:tcW w:w="4409" w:type="dxa"/>
            <w:noWrap w:val="0"/>
            <w:vAlign w:val="center"/>
          </w:tcPr>
          <w:p w14:paraId="3643C9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default" w:ascii="Times New Roman" w:hAnsi="Times New Roman" w:eastAsia="宋体" w:cs="Times New Roman"/>
                <w:color w:val="auto"/>
                <w:highlight w:val="none"/>
              </w:rPr>
              <w:t>发布媒介是指招标公告规定的发布招标公告、招标文件澄清</w:t>
            </w:r>
            <w:r>
              <w:rPr>
                <w:rFonts w:hint="eastAsia" w:cs="Times New Roman"/>
                <w:color w:val="auto"/>
                <w:highlight w:val="none"/>
                <w:lang w:val="en-US" w:eastAsia="zh-CN"/>
              </w:rPr>
              <w:t>或修改</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中标候选人公示、中标结果公告</w:t>
            </w:r>
            <w:r>
              <w:rPr>
                <w:rFonts w:hint="default" w:ascii="Times New Roman" w:hAnsi="Times New Roman" w:eastAsia="宋体" w:cs="Times New Roman"/>
                <w:color w:val="auto"/>
                <w:highlight w:val="none"/>
              </w:rPr>
              <w:t>等信息的媒介。按照招标公告规定还需在其它媒介上公示的，发布内容、发布期限应以法规指定媒介发布的为准。</w:t>
            </w:r>
            <w:r>
              <w:rPr>
                <w:rFonts w:hint="eastAsia" w:ascii="方正楷体_GB2312" w:hAnsi="方正楷体_GB2312" w:eastAsia="方正楷体_GB2312" w:cs="方正楷体_GB2312"/>
                <w:color w:val="auto"/>
                <w:highlight w:val="none"/>
              </w:rPr>
              <w:t>（备注：对于依法必须招标的项目和公共资源配置领域工程建设项目招标投标领域的中标候选人公示的指定媒介即优先公开载体均为广西壮族自治区招标投标公共服务平台，属于政府采购项目的还应按政府采购法信息发布的要求执行。）</w:t>
            </w:r>
          </w:p>
        </w:tc>
      </w:tr>
      <w:tr w14:paraId="59ECD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394" w:type="dxa"/>
            <w:gridSpan w:val="5"/>
            <w:noWrap w:val="0"/>
            <w:vAlign w:val="top"/>
          </w:tcPr>
          <w:p w14:paraId="4E9760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lang w:eastAsia="zh-CN"/>
              </w:rPr>
            </w:pPr>
            <w:r>
              <w:rPr>
                <w:rFonts w:hint="default" w:ascii="Calibri" w:hAnsi="Calibri" w:eastAsia="宋体" w:cs="Times New Roman"/>
                <w:color w:val="auto"/>
                <w:highlight w:val="none"/>
              </w:rPr>
              <w:t xml:space="preserve">10.2 </w:t>
            </w:r>
            <w:r>
              <w:rPr>
                <w:rFonts w:hint="eastAsia" w:ascii="Calibri" w:hAnsi="Calibri" w:eastAsia="宋体" w:cs="宋体"/>
                <w:color w:val="auto"/>
                <w:highlight w:val="none"/>
                <w:lang w:eastAsia="zh-CN"/>
              </w:rPr>
              <w:t>最高投标限价</w:t>
            </w:r>
          </w:p>
        </w:tc>
      </w:tr>
      <w:tr w14:paraId="12EF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370" w:hRule="atLeast"/>
          <w:jc w:val="center"/>
        </w:trPr>
        <w:tc>
          <w:tcPr>
            <w:tcW w:w="1247" w:type="dxa"/>
            <w:noWrap w:val="0"/>
            <w:vAlign w:val="center"/>
          </w:tcPr>
          <w:p w14:paraId="1B105B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3674" w:type="dxa"/>
            <w:gridSpan w:val="2"/>
            <w:noWrap w:val="0"/>
            <w:vAlign w:val="center"/>
          </w:tcPr>
          <w:p w14:paraId="626250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lang w:eastAsia="zh-CN"/>
              </w:rPr>
            </w:pPr>
            <w:r>
              <w:rPr>
                <w:rFonts w:hint="eastAsia" w:ascii="Calibri" w:hAnsi="Calibri" w:eastAsia="宋体" w:cs="宋体"/>
                <w:color w:val="auto"/>
                <w:highlight w:val="none"/>
                <w:lang w:eastAsia="zh-CN"/>
              </w:rPr>
              <w:t>最高投标限价</w:t>
            </w:r>
          </w:p>
        </w:tc>
        <w:tc>
          <w:tcPr>
            <w:tcW w:w="4409" w:type="dxa"/>
            <w:noWrap w:val="0"/>
            <w:vAlign w:val="center"/>
          </w:tcPr>
          <w:p w14:paraId="7BAC65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cs="宋体"/>
                <w:color w:val="auto"/>
                <w:highlight w:val="none"/>
                <w:lang w:eastAsia="zh-CN"/>
              </w:rPr>
              <w:t>☑</w:t>
            </w:r>
            <w:r>
              <w:rPr>
                <w:rFonts w:hint="eastAsia" w:ascii="Calibri" w:hAnsi="Calibri" w:eastAsia="宋体" w:cs="宋体"/>
                <w:color w:val="auto"/>
                <w:highlight w:val="none"/>
              </w:rPr>
              <w:t>设</w:t>
            </w:r>
            <w:r>
              <w:rPr>
                <w:rFonts w:hint="eastAsia" w:ascii="Calibri" w:hAnsi="Calibri" w:eastAsia="宋体" w:cs="宋体"/>
                <w:color w:val="auto"/>
                <w:highlight w:val="none"/>
                <w:lang w:eastAsia="zh-CN"/>
              </w:rPr>
              <w:t>最高投标限价</w:t>
            </w:r>
            <w:r>
              <w:rPr>
                <w:rFonts w:hint="eastAsia" w:ascii="Calibri" w:hAnsi="Calibri" w:eastAsia="楷体_GB2312" w:cs="楷体_GB2312"/>
                <w:color w:val="auto"/>
                <w:highlight w:val="none"/>
              </w:rPr>
              <w:t>【备注：</w:t>
            </w:r>
            <w:r>
              <w:rPr>
                <w:rFonts w:hint="eastAsia" w:ascii="Calibri" w:hAnsi="Calibri" w:eastAsia="楷体_GB2312" w:cs="楷体_GB2312"/>
                <w:color w:val="auto"/>
                <w:highlight w:val="none"/>
                <w:lang w:eastAsia="zh-CN"/>
              </w:rPr>
              <w:t>1.</w:t>
            </w:r>
            <w:r>
              <w:rPr>
                <w:rFonts w:hint="eastAsia" w:ascii="Calibri" w:hAnsi="Calibri" w:eastAsia="楷体_GB2312" w:cs="楷体_GB2312"/>
                <w:color w:val="auto"/>
                <w:highlight w:val="none"/>
              </w:rPr>
              <w:t>国有资金投资的工程建设项目招标，招标人必须勾选；</w:t>
            </w:r>
            <w:r>
              <w:rPr>
                <w:rFonts w:hint="eastAsia" w:ascii="Calibri" w:hAnsi="Calibri" w:eastAsia="楷体_GB2312" w:cs="楷体_GB2312"/>
                <w:color w:val="auto"/>
                <w:highlight w:val="none"/>
                <w:lang w:eastAsia="zh-CN"/>
              </w:rPr>
              <w:t>2.</w:t>
            </w:r>
            <w:r>
              <w:rPr>
                <w:rFonts w:hint="eastAsia" w:ascii="Calibri" w:hAnsi="Calibri" w:eastAsia="楷体_GB2312" w:cs="楷体_GB2312"/>
                <w:color w:val="auto"/>
                <w:highlight w:val="none"/>
              </w:rPr>
              <w:t>对建设单位创建优质工程的，</w:t>
            </w:r>
            <w:r>
              <w:rPr>
                <w:rFonts w:hint="eastAsia" w:ascii="Calibri" w:hAnsi="Calibri" w:eastAsia="楷体_GB2312" w:cs="楷体_GB2312"/>
                <w:color w:val="auto"/>
                <w:highlight w:val="none"/>
                <w:lang w:eastAsia="zh-CN"/>
              </w:rPr>
              <w:t>最高投标限价</w:t>
            </w:r>
            <w:r>
              <w:rPr>
                <w:rFonts w:hint="eastAsia" w:ascii="Calibri" w:hAnsi="Calibri" w:eastAsia="楷体_GB2312" w:cs="楷体_GB2312"/>
                <w:color w:val="auto"/>
                <w:highlight w:val="none"/>
              </w:rPr>
              <w:t>和预算中按自治区建设行政主管部门规定计列</w:t>
            </w:r>
            <w:r>
              <w:rPr>
                <w:rFonts w:hint="eastAsia" w:ascii="Calibri" w:hAnsi="Calibri" w:eastAsia="楷体_GB2312" w:cs="楷体_GB2312"/>
                <w:color w:val="auto"/>
                <w:highlight w:val="none"/>
                <w:lang w:eastAsia="zh-CN"/>
              </w:rPr>
              <w:t>优良工程增加</w:t>
            </w:r>
            <w:r>
              <w:rPr>
                <w:rFonts w:hint="eastAsia" w:ascii="Calibri" w:hAnsi="Calibri" w:eastAsia="楷体_GB2312" w:cs="楷体_GB2312"/>
                <w:color w:val="auto"/>
                <w:highlight w:val="none"/>
              </w:rPr>
              <w:t>费，</w:t>
            </w:r>
            <w:r>
              <w:rPr>
                <w:rFonts w:hint="eastAsia" w:ascii="Calibri" w:hAnsi="Calibri" w:eastAsia="楷体_GB2312" w:cs="楷体_GB2312"/>
                <w:color w:val="auto"/>
                <w:highlight w:val="none"/>
                <w:lang w:eastAsia="zh-CN"/>
              </w:rPr>
              <w:t>优良工程增加</w:t>
            </w:r>
            <w:r>
              <w:rPr>
                <w:rFonts w:hint="eastAsia" w:ascii="Calibri" w:hAnsi="Calibri" w:eastAsia="楷体_GB2312" w:cs="楷体_GB2312"/>
                <w:color w:val="auto"/>
                <w:highlight w:val="none"/>
              </w:rPr>
              <w:t>费为不可竞争】</w:t>
            </w:r>
          </w:p>
          <w:p w14:paraId="10B100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lang w:eastAsia="zh-CN"/>
              </w:rPr>
            </w:pPr>
            <w:r>
              <w:rPr>
                <w:rFonts w:hint="eastAsia" w:ascii="Calibri" w:hAnsi="Calibri" w:eastAsia="宋体" w:cs="宋体"/>
                <w:color w:val="auto"/>
                <w:highlight w:val="none"/>
              </w:rPr>
              <w:t>□不设</w:t>
            </w:r>
            <w:r>
              <w:rPr>
                <w:rFonts w:hint="eastAsia" w:ascii="Calibri" w:hAnsi="Calibri" w:eastAsia="宋体" w:cs="宋体"/>
                <w:color w:val="auto"/>
                <w:highlight w:val="none"/>
                <w:lang w:eastAsia="zh-CN"/>
              </w:rPr>
              <w:t>最高投标限价</w:t>
            </w:r>
          </w:p>
        </w:tc>
      </w:tr>
      <w:tr w14:paraId="27AE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394" w:type="dxa"/>
            <w:gridSpan w:val="5"/>
            <w:noWrap w:val="0"/>
            <w:vAlign w:val="center"/>
          </w:tcPr>
          <w:p w14:paraId="6A70F2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default" w:ascii="Calibri" w:hAnsi="Calibri" w:eastAsia="宋体" w:cs="Times New Roman"/>
                <w:color w:val="auto"/>
                <w:highlight w:val="none"/>
              </w:rPr>
              <w:t>10.3</w:t>
            </w:r>
            <w:r>
              <w:rPr>
                <w:rFonts w:hint="eastAsia" w:ascii="Calibri" w:hAnsi="Calibri" w:eastAsia="宋体" w:cs="Times New Roman"/>
                <w:color w:val="auto"/>
                <w:highlight w:val="none"/>
              </w:rPr>
              <w:t>技术</w:t>
            </w:r>
            <w:r>
              <w:rPr>
                <w:rFonts w:hint="default" w:ascii="Calibri" w:hAnsi="Calibri" w:eastAsia="宋体" w:cs="Times New Roman"/>
                <w:color w:val="auto"/>
                <w:highlight w:val="none"/>
              </w:rPr>
              <w:t>标</w:t>
            </w:r>
            <w:r>
              <w:rPr>
                <w:rFonts w:hint="eastAsia" w:ascii="Calibri" w:hAnsi="Calibri" w:eastAsia="宋体" w:cs="宋体"/>
                <w:color w:val="auto"/>
                <w:highlight w:val="none"/>
              </w:rPr>
              <w:t>评</w:t>
            </w:r>
            <w:r>
              <w:rPr>
                <w:rFonts w:hint="default" w:ascii="Calibri" w:hAnsi="Calibri" w:eastAsia="宋体" w:cs="宋体"/>
                <w:color w:val="auto"/>
                <w:highlight w:val="none"/>
              </w:rPr>
              <w:t>审方式</w:t>
            </w:r>
          </w:p>
        </w:tc>
      </w:tr>
      <w:tr w14:paraId="395D6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370" w:hRule="atLeast"/>
          <w:jc w:val="center"/>
        </w:trPr>
        <w:tc>
          <w:tcPr>
            <w:tcW w:w="1247" w:type="dxa"/>
            <w:noWrap w:val="0"/>
            <w:vAlign w:val="center"/>
          </w:tcPr>
          <w:p w14:paraId="0997CB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3674" w:type="dxa"/>
            <w:gridSpan w:val="2"/>
            <w:noWrap w:val="0"/>
            <w:vAlign w:val="center"/>
          </w:tcPr>
          <w:p w14:paraId="45C29D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宋体"/>
                <w:color w:val="auto"/>
                <w:highlight w:val="none"/>
              </w:rPr>
            </w:pPr>
            <w:r>
              <w:rPr>
                <w:rFonts w:hint="eastAsia" w:ascii="Calibri" w:hAnsi="Calibri" w:eastAsia="宋体" w:cs="宋体"/>
                <w:color w:val="auto"/>
                <w:highlight w:val="none"/>
              </w:rPr>
              <w:t>施工</w:t>
            </w:r>
            <w:r>
              <w:rPr>
                <w:rFonts w:hint="default" w:ascii="Calibri" w:hAnsi="Calibri" w:eastAsia="宋体" w:cs="宋体"/>
                <w:color w:val="auto"/>
                <w:highlight w:val="none"/>
              </w:rPr>
              <w:t>组织设计采用</w:t>
            </w:r>
            <w:r>
              <w:rPr>
                <w:rFonts w:hint="eastAsia" w:ascii="Calibri" w:hAnsi="Calibri" w:cs="宋体"/>
                <w:color w:val="auto"/>
                <w:highlight w:val="none"/>
                <w:lang w:eastAsia="zh-CN"/>
              </w:rPr>
              <w:t>“</w:t>
            </w:r>
            <w:r>
              <w:rPr>
                <w:rFonts w:hint="default" w:ascii="Calibri" w:hAnsi="Calibri" w:eastAsia="宋体" w:cs="宋体"/>
                <w:color w:val="auto"/>
                <w:highlight w:val="none"/>
              </w:rPr>
              <w:t>暗标</w:t>
            </w:r>
            <w:r>
              <w:rPr>
                <w:rFonts w:hint="eastAsia" w:ascii="Calibri" w:hAnsi="Calibri" w:cs="宋体"/>
                <w:color w:val="auto"/>
                <w:highlight w:val="none"/>
                <w:lang w:eastAsia="zh-CN"/>
              </w:rPr>
              <w:t>”</w:t>
            </w:r>
            <w:r>
              <w:rPr>
                <w:rFonts w:hint="eastAsia" w:ascii="Calibri" w:hAnsi="Calibri" w:eastAsia="宋体" w:cs="宋体"/>
                <w:color w:val="auto"/>
                <w:highlight w:val="none"/>
              </w:rPr>
              <w:t>评</w:t>
            </w:r>
            <w:r>
              <w:rPr>
                <w:rFonts w:hint="default" w:ascii="Calibri" w:hAnsi="Calibri" w:eastAsia="宋体" w:cs="宋体"/>
                <w:color w:val="auto"/>
                <w:highlight w:val="none"/>
              </w:rPr>
              <w:t>审方式</w:t>
            </w:r>
            <w:r>
              <w:rPr>
                <w:rFonts w:hint="eastAsia" w:ascii="Calibri" w:hAnsi="Calibri" w:eastAsia="宋体" w:cs="宋体"/>
                <w:color w:val="auto"/>
                <w:highlight w:val="none"/>
              </w:rPr>
              <w:t xml:space="preserve"> </w:t>
            </w:r>
          </w:p>
          <w:p w14:paraId="222870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highlight w:val="none"/>
              </w:rPr>
            </w:pPr>
            <w:r>
              <w:rPr>
                <w:rFonts w:hint="eastAsia" w:ascii="Calibri" w:hAnsi="Calibri" w:eastAsia="宋体" w:cs="宋体"/>
                <w:color w:val="auto"/>
                <w:highlight w:val="none"/>
              </w:rPr>
              <w:t>拟分包计划表、项目管理机构</w:t>
            </w:r>
            <w:r>
              <w:rPr>
                <w:rFonts w:hint="default" w:ascii="Calibri" w:hAnsi="Calibri" w:eastAsia="宋体" w:cs="宋体"/>
                <w:color w:val="auto"/>
                <w:highlight w:val="none"/>
              </w:rPr>
              <w:t>采用</w:t>
            </w:r>
            <w:r>
              <w:rPr>
                <w:rFonts w:hint="eastAsia" w:ascii="Calibri" w:hAnsi="Calibri" w:cs="宋体"/>
                <w:color w:val="auto"/>
                <w:highlight w:val="none"/>
                <w:lang w:eastAsia="zh-CN"/>
              </w:rPr>
              <w:t>“</w:t>
            </w:r>
            <w:r>
              <w:rPr>
                <w:rFonts w:hint="eastAsia" w:ascii="Calibri" w:hAnsi="Calibri" w:eastAsia="宋体" w:cs="宋体"/>
                <w:color w:val="auto"/>
                <w:highlight w:val="none"/>
              </w:rPr>
              <w:t>明</w:t>
            </w:r>
            <w:r>
              <w:rPr>
                <w:rFonts w:hint="default" w:ascii="Calibri" w:hAnsi="Calibri" w:eastAsia="宋体" w:cs="宋体"/>
                <w:color w:val="auto"/>
                <w:highlight w:val="none"/>
              </w:rPr>
              <w:t>标</w:t>
            </w:r>
            <w:r>
              <w:rPr>
                <w:rFonts w:hint="eastAsia" w:ascii="Calibri" w:hAnsi="Calibri" w:cs="宋体"/>
                <w:color w:val="auto"/>
                <w:highlight w:val="none"/>
                <w:lang w:eastAsia="zh-CN"/>
              </w:rPr>
              <w:t>”</w:t>
            </w:r>
            <w:r>
              <w:rPr>
                <w:rFonts w:hint="eastAsia" w:ascii="Calibri" w:hAnsi="Calibri" w:eastAsia="宋体" w:cs="宋体"/>
                <w:color w:val="auto"/>
                <w:highlight w:val="none"/>
              </w:rPr>
              <w:t>评</w:t>
            </w:r>
            <w:r>
              <w:rPr>
                <w:rFonts w:hint="default" w:ascii="Calibri" w:hAnsi="Calibri" w:eastAsia="宋体" w:cs="宋体"/>
                <w:color w:val="auto"/>
                <w:highlight w:val="none"/>
              </w:rPr>
              <w:t>审方式</w:t>
            </w:r>
          </w:p>
        </w:tc>
        <w:tc>
          <w:tcPr>
            <w:tcW w:w="4409" w:type="dxa"/>
            <w:noWrap w:val="0"/>
            <w:vAlign w:val="center"/>
          </w:tcPr>
          <w:p w14:paraId="5959B7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default" w:ascii="Calibri" w:hAnsi="Calibri" w:eastAsia="宋体" w:cs="Times New Roman"/>
                <w:color w:val="auto"/>
                <w:highlight w:val="none"/>
              </w:rPr>
              <w:t>投标人应严格按照第</w:t>
            </w:r>
            <w:r>
              <w:rPr>
                <w:rFonts w:hint="eastAsia" w:ascii="Calibri" w:hAnsi="Calibri" w:eastAsia="宋体" w:cs="Times New Roman"/>
                <w:color w:val="auto"/>
                <w:highlight w:val="none"/>
              </w:rPr>
              <w:t>九</w:t>
            </w:r>
            <w:r>
              <w:rPr>
                <w:rFonts w:hint="default" w:ascii="Calibri" w:hAnsi="Calibri" w:eastAsia="宋体" w:cs="Times New Roman"/>
                <w:color w:val="auto"/>
                <w:highlight w:val="none"/>
              </w:rPr>
              <w:t>章</w:t>
            </w:r>
            <w:r>
              <w:rPr>
                <w:rFonts w:hint="eastAsia" w:ascii="Calibri" w:hAnsi="Calibri" w:cs="Times New Roman"/>
                <w:color w:val="auto"/>
                <w:highlight w:val="none"/>
                <w:lang w:eastAsia="zh-CN"/>
              </w:rPr>
              <w:t>“</w:t>
            </w:r>
            <w:r>
              <w:rPr>
                <w:rFonts w:hint="default" w:ascii="Calibri" w:hAnsi="Calibri" w:eastAsia="宋体" w:cs="Times New Roman"/>
                <w:color w:val="auto"/>
                <w:highlight w:val="none"/>
              </w:rPr>
              <w:t>投标文件格式</w:t>
            </w:r>
            <w:r>
              <w:rPr>
                <w:rFonts w:hint="eastAsia" w:ascii="Calibri" w:hAnsi="Calibri" w:cs="Times New Roman"/>
                <w:color w:val="auto"/>
                <w:highlight w:val="none"/>
                <w:lang w:eastAsia="zh-CN"/>
              </w:rPr>
              <w:t>”</w:t>
            </w:r>
            <w:r>
              <w:rPr>
                <w:rFonts w:hint="default" w:ascii="Calibri" w:hAnsi="Calibri" w:eastAsia="宋体" w:cs="Times New Roman"/>
                <w:color w:val="auto"/>
                <w:highlight w:val="none"/>
              </w:rPr>
              <w:t>中</w:t>
            </w:r>
            <w:r>
              <w:rPr>
                <w:rFonts w:hint="eastAsia" w:ascii="Calibri" w:hAnsi="Calibri" w:cs="Times New Roman"/>
                <w:color w:val="auto"/>
                <w:highlight w:val="none"/>
                <w:lang w:eastAsia="zh-CN"/>
              </w:rPr>
              <w:t>“</w:t>
            </w:r>
            <w:r>
              <w:rPr>
                <w:rFonts w:hint="default" w:ascii="Calibri" w:hAnsi="Calibri" w:eastAsia="宋体" w:cs="Times New Roman"/>
                <w:color w:val="auto"/>
                <w:highlight w:val="none"/>
              </w:rPr>
              <w:t>施工组织设计（暗标）编制要求</w:t>
            </w:r>
            <w:r>
              <w:rPr>
                <w:rFonts w:hint="eastAsia" w:ascii="Calibri" w:hAnsi="Calibri" w:cs="Times New Roman"/>
                <w:color w:val="auto"/>
                <w:highlight w:val="none"/>
                <w:lang w:eastAsia="zh-CN"/>
              </w:rPr>
              <w:t>”</w:t>
            </w:r>
            <w:r>
              <w:rPr>
                <w:rFonts w:hint="default" w:ascii="Calibri" w:hAnsi="Calibri" w:eastAsia="宋体" w:cs="Times New Roman"/>
                <w:color w:val="auto"/>
                <w:highlight w:val="none"/>
              </w:rPr>
              <w:t>编制施工组织设计。</w:t>
            </w:r>
          </w:p>
        </w:tc>
      </w:tr>
      <w:tr w14:paraId="0F132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394" w:type="dxa"/>
            <w:gridSpan w:val="5"/>
            <w:noWrap w:val="0"/>
            <w:vAlign w:val="top"/>
          </w:tcPr>
          <w:p w14:paraId="2D7323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 xml:space="preserve">10.4 </w:t>
            </w:r>
            <w:r>
              <w:rPr>
                <w:rFonts w:hint="eastAsia" w:ascii="Calibri" w:hAnsi="Calibri" w:eastAsia="宋体" w:cs="宋体"/>
                <w:color w:val="auto"/>
                <w:highlight w:val="none"/>
              </w:rPr>
              <w:t>电子投标文件</w:t>
            </w:r>
          </w:p>
        </w:tc>
      </w:tr>
      <w:tr w14:paraId="1379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1073" w:hRule="atLeast"/>
          <w:jc w:val="center"/>
        </w:trPr>
        <w:tc>
          <w:tcPr>
            <w:tcW w:w="1247" w:type="dxa"/>
            <w:noWrap w:val="0"/>
            <w:vAlign w:val="center"/>
          </w:tcPr>
          <w:p w14:paraId="0E33AC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Times New Roman" w:hAnsi="Times New Roman" w:eastAsia="宋体" w:cs="宋体"/>
                <w:color w:val="auto"/>
                <w:highlight w:val="none"/>
              </w:rPr>
            </w:pPr>
          </w:p>
        </w:tc>
        <w:tc>
          <w:tcPr>
            <w:tcW w:w="3674" w:type="dxa"/>
            <w:gridSpan w:val="2"/>
            <w:noWrap w:val="0"/>
            <w:vAlign w:val="center"/>
          </w:tcPr>
          <w:p w14:paraId="16F575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投标人提交电子投标文件的要求</w:t>
            </w:r>
          </w:p>
        </w:tc>
        <w:tc>
          <w:tcPr>
            <w:tcW w:w="4409" w:type="dxa"/>
            <w:noWrap w:val="0"/>
            <w:vAlign w:val="center"/>
          </w:tcPr>
          <w:p w14:paraId="2EF9E0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default" w:ascii="Calibri" w:hAnsi="Calibri" w:eastAsia="宋体" w:cs="Times New Roman"/>
                <w:color w:val="auto"/>
                <w:highlight w:val="none"/>
                <w:lang w:bidi="ar-SA"/>
              </w:rPr>
            </w:pPr>
            <w:r>
              <w:rPr>
                <w:rFonts w:hint="default" w:ascii="Times New Roman" w:hAnsi="Times New Roman" w:eastAsia="宋体" w:cs="Times New Roman"/>
                <w:color w:val="auto"/>
                <w:highlight w:val="none"/>
                <w:lang w:bidi="ar-SA"/>
              </w:rPr>
              <w:t>电子投标文件格式：</w:t>
            </w:r>
          </w:p>
          <w:p w14:paraId="4697B8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default" w:ascii="Calibri" w:hAnsi="Calibri" w:eastAsia="宋体" w:cs="Times New Roman"/>
                <w:color w:val="auto"/>
                <w:highlight w:val="none"/>
                <w:u w:val="none"/>
                <w:lang w:bidi="ar-SA"/>
              </w:rPr>
            </w:pPr>
            <w:r>
              <w:rPr>
                <w:rFonts w:hint="default" w:ascii="Times New Roman" w:hAnsi="Times New Roman" w:eastAsia="宋体" w:cs="Times New Roman"/>
                <w:color w:val="auto"/>
                <w:highlight w:val="none"/>
                <w:lang w:bidi="ar-SA"/>
              </w:rPr>
              <w:t xml:space="preserve">    </w:t>
            </w:r>
            <w:r>
              <w:rPr>
                <w:rFonts w:hint="default" w:ascii="Times New Roman" w:hAnsi="Times New Roman" w:eastAsia="宋体" w:cs="Times New Roman"/>
                <w:color w:val="auto"/>
                <w:highlight w:val="none"/>
                <w:u w:val="none"/>
                <w:lang w:bidi="ar-SA"/>
              </w:rPr>
              <w:t xml:space="preserve">加密格式（*.GXTF） </w:t>
            </w:r>
          </w:p>
          <w:p w14:paraId="3D637B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default" w:ascii="Calibri" w:hAnsi="Calibri" w:cs="Times New Roman"/>
                <w:color w:val="auto"/>
                <w:highlight w:val="none"/>
              </w:rPr>
            </w:pPr>
            <w:r>
              <w:rPr>
                <w:rFonts w:hint="default"/>
                <w:color w:val="auto"/>
                <w:highlight w:val="none"/>
              </w:rPr>
              <w:t>投标人须在投标截止前将加密的投标文件（含弹出的输入框中需填写的专职投标员、拟投入的项目主要管理人员身份证信息）通过全国公共资源交易平台（广西壮族自治区）http://ggzy.jgswj.gxzf.gov.cn/成功上传。投标截止公布投标人名单后，由招标代理机构点击进入投标文件解密环节，解密时间为60分钟。在解密时间结束前投标人须通过广西壮族自治区网上开标子系统（http://202.103.240.162:8072/BidOpening</w:t>
            </w:r>
            <w:r>
              <w:rPr>
                <w:rFonts w:hint="eastAsia"/>
                <w:color w:val="auto"/>
                <w:highlight w:val="none"/>
                <w:lang w:eastAsia="zh-CN"/>
              </w:rPr>
              <w:t>）</w:t>
            </w:r>
            <w:r>
              <w:rPr>
                <w:rFonts w:hint="default"/>
                <w:color w:val="auto"/>
                <w:highlight w:val="none"/>
              </w:rPr>
              <w:t>使用专职投标员个人</w:t>
            </w:r>
            <w:r>
              <w:rPr>
                <w:rFonts w:hint="default"/>
                <w:color w:val="auto"/>
                <w:highlight w:val="none"/>
                <w:lang w:eastAsia="zh-CN"/>
              </w:rPr>
              <w:t>数字证书（CA）</w:t>
            </w:r>
            <w:r>
              <w:rPr>
                <w:rFonts w:hint="default"/>
                <w:color w:val="auto"/>
                <w:highlight w:val="none"/>
              </w:rPr>
              <w:t>签到，使用加密投标文件的</w:t>
            </w:r>
            <w:r>
              <w:rPr>
                <w:rFonts w:hint="default"/>
                <w:color w:val="auto"/>
                <w:highlight w:val="none"/>
                <w:lang w:eastAsia="zh-CN"/>
              </w:rPr>
              <w:t>数字证书（CA）</w:t>
            </w:r>
            <w:r>
              <w:rPr>
                <w:rFonts w:hint="default"/>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default"/>
                <w:color w:val="auto"/>
                <w:highlight w:val="none"/>
                <w:lang w:eastAsia="zh-CN"/>
              </w:rPr>
              <w:t>（</w:t>
            </w:r>
            <w:r>
              <w:rPr>
                <w:rFonts w:hint="eastAsia" w:ascii="方正楷体_GB2312" w:hAnsi="方正楷体_GB2312" w:eastAsia="方正楷体_GB2312" w:cs="方正楷体_GB2312"/>
                <w:color w:val="auto"/>
                <w:highlight w:val="none"/>
                <w:lang w:eastAsia="zh-CN"/>
              </w:rPr>
              <w:t>注：</w:t>
            </w:r>
            <w:r>
              <w:rPr>
                <w:rFonts w:hint="eastAsia" w:ascii="方正楷体_GB2312" w:hAnsi="方正楷体_GB2312" w:eastAsia="方正楷体_GB2312" w:cs="方正楷体_GB2312"/>
                <w:color w:val="auto"/>
                <w:highlight w:val="none"/>
              </w:rPr>
              <w:t>投标单位在制作电子投标文件过程中，须在弹出的输入框中填写</w:t>
            </w:r>
            <w:r>
              <w:rPr>
                <w:rFonts w:hint="eastAsia" w:ascii="方正楷体_GB2312" w:hAnsi="方正楷体_GB2312" w:eastAsia="方正楷体_GB2312" w:cs="方正楷体_GB2312"/>
                <w:color w:val="auto"/>
                <w:highlight w:val="none"/>
                <w:lang w:eastAsia="zh-CN"/>
              </w:rPr>
              <w:t>专职投标员及</w:t>
            </w:r>
            <w:r>
              <w:rPr>
                <w:rFonts w:hint="eastAsia" w:ascii="方正楷体_GB2312" w:hAnsi="方正楷体_GB2312" w:eastAsia="方正楷体_GB2312" w:cs="方正楷体_GB2312"/>
                <w:color w:val="auto"/>
                <w:highlight w:val="none"/>
              </w:rPr>
              <w:t>拟投入的项目主要管理人员身份证信息并仔细确认。</w:t>
            </w:r>
            <w:r>
              <w:rPr>
                <w:rFonts w:hint="default"/>
                <w:color w:val="auto"/>
                <w:highlight w:val="none"/>
                <w:lang w:eastAsia="zh-CN"/>
              </w:rPr>
              <w:t>）</w:t>
            </w:r>
          </w:p>
          <w:p w14:paraId="20A7D8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textAlignment w:val="auto"/>
              <w:rPr>
                <w:rFonts w:hint="eastAsia" w:ascii="Times New Roman" w:hAnsi="Times New Roman" w:eastAsia="宋体" w:cs="宋体"/>
                <w:color w:val="auto"/>
                <w:highlight w:val="none"/>
              </w:rPr>
            </w:pPr>
            <w:r>
              <w:rPr>
                <w:rFonts w:hint="default" w:ascii="Times New Roman" w:hAnsi="Times New Roman" w:eastAsia="宋体" w:cs="Times New Roman"/>
                <w:color w:val="auto"/>
                <w:highlight w:val="none"/>
                <w:lang w:bidi="ar-SA"/>
              </w:rPr>
              <w:t>由于投标人原因造成投标文件不能</w:t>
            </w:r>
            <w:r>
              <w:rPr>
                <w:rFonts w:hint="default" w:ascii="Times New Roman" w:hAnsi="Times New Roman" w:eastAsia="宋体" w:cs="Times New Roman"/>
                <w:color w:val="auto"/>
                <w:highlight w:val="none"/>
                <w:lang w:eastAsia="zh-CN" w:bidi="ar-SA"/>
              </w:rPr>
              <w:t>在规定时间内提交、签到、</w:t>
            </w:r>
            <w:r>
              <w:rPr>
                <w:rFonts w:hint="default" w:ascii="Times New Roman" w:hAnsi="Times New Roman" w:eastAsia="宋体" w:cs="Times New Roman"/>
                <w:color w:val="auto"/>
                <w:highlight w:val="none"/>
                <w:lang w:bidi="ar-SA"/>
              </w:rPr>
              <w:t>解密</w:t>
            </w:r>
            <w:r>
              <w:rPr>
                <w:rFonts w:hint="default" w:ascii="Times New Roman" w:hAnsi="Times New Roman" w:eastAsia="宋体" w:cs="Times New Roman"/>
                <w:color w:val="auto"/>
                <w:highlight w:val="none"/>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自动验证</w:t>
            </w:r>
            <w:r>
              <w:rPr>
                <w:rFonts w:hint="default" w:ascii="Times New Roman" w:hAnsi="Times New Roman" w:eastAsia="宋体" w:cs="Times New Roman"/>
                <w:b w:val="0"/>
                <w:i w:val="0"/>
                <w:caps w:val="0"/>
                <w:color w:val="auto"/>
                <w:spacing w:val="0"/>
                <w:sz w:val="21"/>
                <w:szCs w:val="21"/>
                <w:highlight w:val="none"/>
                <w:shd w:val="clear" w:color="auto" w:fill="auto"/>
                <w:lang w:eastAsia="zh-CN" w:bidi="ar-SA"/>
              </w:rPr>
              <w:t>有效</w:t>
            </w:r>
            <w:r>
              <w:rPr>
                <w:rFonts w:hint="default" w:ascii="Times New Roman" w:hAnsi="Times New Roman" w:eastAsia="宋体" w:cs="Times New Roman"/>
                <w:color w:val="auto"/>
                <w:highlight w:val="none"/>
                <w:lang w:bidi="ar-SA"/>
              </w:rPr>
              <w:t>的后果由投标人自行承担。</w:t>
            </w:r>
          </w:p>
        </w:tc>
      </w:tr>
      <w:tr w14:paraId="2E40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394" w:type="dxa"/>
            <w:gridSpan w:val="5"/>
            <w:noWrap w:val="0"/>
            <w:vAlign w:val="top"/>
          </w:tcPr>
          <w:p w14:paraId="5895CF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10.5 知识产权</w:t>
            </w:r>
          </w:p>
        </w:tc>
      </w:tr>
      <w:tr w14:paraId="024E5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370" w:hRule="atLeast"/>
          <w:jc w:val="center"/>
        </w:trPr>
        <w:tc>
          <w:tcPr>
            <w:tcW w:w="1247" w:type="dxa"/>
            <w:noWrap w:val="0"/>
            <w:vAlign w:val="top"/>
          </w:tcPr>
          <w:p w14:paraId="36F91E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083" w:type="dxa"/>
            <w:gridSpan w:val="3"/>
            <w:noWrap w:val="0"/>
            <w:vAlign w:val="top"/>
          </w:tcPr>
          <w:p w14:paraId="5D1437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33B8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394" w:type="dxa"/>
            <w:gridSpan w:val="5"/>
            <w:noWrap w:val="0"/>
            <w:vAlign w:val="top"/>
          </w:tcPr>
          <w:p w14:paraId="674C27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 xml:space="preserve">10.6 </w:t>
            </w:r>
            <w:r>
              <w:rPr>
                <w:rFonts w:hint="eastAsia" w:ascii="Calibri" w:hAnsi="Calibri" w:eastAsia="宋体" w:cs="宋体"/>
                <w:color w:val="auto"/>
                <w:highlight w:val="none"/>
              </w:rPr>
              <w:t>重新招标的其他情形</w:t>
            </w:r>
          </w:p>
        </w:tc>
      </w:tr>
      <w:tr w14:paraId="3FE6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370" w:hRule="atLeast"/>
          <w:jc w:val="center"/>
        </w:trPr>
        <w:tc>
          <w:tcPr>
            <w:tcW w:w="1247" w:type="dxa"/>
            <w:noWrap w:val="0"/>
            <w:vAlign w:val="top"/>
          </w:tcPr>
          <w:p w14:paraId="7AD1D7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083" w:type="dxa"/>
            <w:gridSpan w:val="3"/>
            <w:noWrap w:val="0"/>
            <w:vAlign w:val="top"/>
          </w:tcPr>
          <w:p w14:paraId="021699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除投标人须知正文第</w:t>
            </w:r>
            <w:r>
              <w:rPr>
                <w:rFonts w:hint="default" w:ascii="Calibri" w:hAnsi="Calibri" w:eastAsia="宋体" w:cs="Times New Roman"/>
                <w:color w:val="auto"/>
                <w:highlight w:val="none"/>
              </w:rPr>
              <w:t>8</w:t>
            </w:r>
            <w:r>
              <w:rPr>
                <w:rFonts w:hint="eastAsia" w:ascii="Calibri" w:hAnsi="Calibri" w:eastAsia="宋体" w:cs="宋体"/>
                <w:color w:val="auto"/>
                <w:highlight w:val="none"/>
              </w:rPr>
              <w:t>条规定的情形外，除非已经产生中标候选人，在投标有效期内同意延长投标有效期的投标人少于三个的，招标人在分析招标失败的原因并采取相应措施后，应当依法重新招标。</w:t>
            </w:r>
          </w:p>
        </w:tc>
      </w:tr>
      <w:tr w14:paraId="2359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394" w:type="dxa"/>
            <w:gridSpan w:val="5"/>
            <w:noWrap w:val="0"/>
            <w:vAlign w:val="center"/>
          </w:tcPr>
          <w:p w14:paraId="4630C6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210" w:right="0" w:hanging="210" w:hangingChars="10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 xml:space="preserve">10.7 </w:t>
            </w:r>
            <w:r>
              <w:rPr>
                <w:rFonts w:hint="eastAsia" w:ascii="Calibri" w:hAnsi="Calibri" w:eastAsia="宋体" w:cs="宋体"/>
                <w:color w:val="auto"/>
                <w:highlight w:val="none"/>
              </w:rPr>
              <w:t>同义词语</w:t>
            </w:r>
          </w:p>
        </w:tc>
      </w:tr>
      <w:tr w14:paraId="57AB1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1254" w:type="dxa"/>
            <w:gridSpan w:val="2"/>
            <w:noWrap w:val="0"/>
            <w:vAlign w:val="center"/>
          </w:tcPr>
          <w:p w14:paraId="522270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40" w:type="dxa"/>
            <w:gridSpan w:val="3"/>
            <w:noWrap w:val="0"/>
            <w:vAlign w:val="center"/>
          </w:tcPr>
          <w:p w14:paraId="75018E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构成招标文件组成部分的</w:t>
            </w:r>
            <w:r>
              <w:rPr>
                <w:rFonts w:hint="eastAsia" w:ascii="Calibri" w:hAnsi="Calibri" w:cs="Times New Roman"/>
                <w:color w:val="auto"/>
                <w:highlight w:val="none"/>
                <w:lang w:eastAsia="zh-CN"/>
              </w:rPr>
              <w:t>“</w:t>
            </w:r>
            <w:r>
              <w:rPr>
                <w:rFonts w:hint="eastAsia" w:ascii="Calibri" w:hAnsi="Calibri" w:eastAsia="宋体" w:cs="宋体"/>
                <w:color w:val="auto"/>
                <w:highlight w:val="none"/>
              </w:rPr>
              <w:t>通用合同条款</w:t>
            </w:r>
            <w:r>
              <w:rPr>
                <w:rFonts w:hint="eastAsia" w:ascii="Calibri" w:hAnsi="Calibri" w:cs="宋体"/>
                <w:color w:val="auto"/>
                <w:highlight w:val="none"/>
                <w:lang w:eastAsia="zh-CN"/>
              </w:rPr>
              <w:t>”“</w:t>
            </w:r>
            <w:r>
              <w:rPr>
                <w:rFonts w:hint="eastAsia" w:ascii="Calibri" w:hAnsi="Calibri" w:eastAsia="宋体" w:cs="宋体"/>
                <w:color w:val="auto"/>
                <w:highlight w:val="none"/>
              </w:rPr>
              <w:t>专用合同条款</w:t>
            </w:r>
            <w:r>
              <w:rPr>
                <w:rFonts w:hint="eastAsia" w:ascii="Calibri" w:hAnsi="Calibri" w:cs="宋体"/>
                <w:color w:val="auto"/>
                <w:highlight w:val="none"/>
                <w:lang w:eastAsia="zh-CN"/>
              </w:rPr>
              <w:t>”“</w:t>
            </w:r>
            <w:r>
              <w:rPr>
                <w:rFonts w:hint="eastAsia" w:ascii="Calibri" w:hAnsi="Calibri" w:eastAsia="宋体" w:cs="宋体"/>
                <w:color w:val="auto"/>
                <w:highlight w:val="none"/>
              </w:rPr>
              <w:t>技术标准和要求</w:t>
            </w:r>
            <w:r>
              <w:rPr>
                <w:rFonts w:hint="eastAsia" w:ascii="Calibri" w:hAnsi="Calibri" w:cs="Times New Roman"/>
                <w:color w:val="auto"/>
                <w:highlight w:val="none"/>
                <w:lang w:eastAsia="zh-CN"/>
              </w:rPr>
              <w:t>”</w:t>
            </w:r>
            <w:r>
              <w:rPr>
                <w:rFonts w:hint="eastAsia" w:ascii="Calibri" w:hAnsi="Calibri" w:eastAsia="宋体" w:cs="宋体"/>
                <w:color w:val="auto"/>
                <w:highlight w:val="none"/>
              </w:rPr>
              <w:t>和</w:t>
            </w:r>
            <w:r>
              <w:rPr>
                <w:rFonts w:hint="eastAsia" w:ascii="Calibri" w:hAnsi="Calibri" w:cs="Times New Roman"/>
                <w:color w:val="auto"/>
                <w:highlight w:val="none"/>
                <w:lang w:eastAsia="zh-CN"/>
              </w:rPr>
              <w:t>“</w:t>
            </w:r>
            <w:r>
              <w:rPr>
                <w:rFonts w:hint="eastAsia" w:ascii="Calibri" w:hAnsi="Calibri" w:eastAsia="宋体" w:cs="宋体"/>
                <w:color w:val="auto"/>
                <w:highlight w:val="none"/>
              </w:rPr>
              <w:t>工程量清单</w:t>
            </w:r>
            <w:r>
              <w:rPr>
                <w:rFonts w:hint="eastAsia" w:ascii="Calibri" w:hAnsi="Calibri" w:cs="Times New Roman"/>
                <w:color w:val="auto"/>
                <w:highlight w:val="none"/>
                <w:lang w:eastAsia="zh-CN"/>
              </w:rPr>
              <w:t>”</w:t>
            </w:r>
            <w:r>
              <w:rPr>
                <w:rFonts w:hint="eastAsia" w:ascii="Calibri" w:hAnsi="Calibri" w:eastAsia="宋体" w:cs="宋体"/>
                <w:color w:val="auto"/>
                <w:highlight w:val="none"/>
              </w:rPr>
              <w:t>等章节中出现的措辞</w:t>
            </w:r>
            <w:r>
              <w:rPr>
                <w:rFonts w:hint="eastAsia" w:ascii="Calibri" w:hAnsi="Calibri" w:cs="Times New Roman"/>
                <w:color w:val="auto"/>
                <w:highlight w:val="none"/>
                <w:lang w:eastAsia="zh-CN"/>
              </w:rPr>
              <w:t>“</w:t>
            </w:r>
            <w:r>
              <w:rPr>
                <w:rFonts w:hint="eastAsia" w:ascii="Calibri" w:hAnsi="Calibri" w:eastAsia="宋体" w:cs="宋体"/>
                <w:color w:val="auto"/>
                <w:highlight w:val="none"/>
              </w:rPr>
              <w:t>发包人</w:t>
            </w:r>
            <w:r>
              <w:rPr>
                <w:rFonts w:hint="eastAsia" w:ascii="Calibri" w:hAnsi="Calibri" w:cs="Times New Roman"/>
                <w:color w:val="auto"/>
                <w:highlight w:val="none"/>
                <w:lang w:eastAsia="zh-CN"/>
              </w:rPr>
              <w:t>”</w:t>
            </w:r>
            <w:r>
              <w:rPr>
                <w:rFonts w:hint="eastAsia" w:ascii="Calibri" w:hAnsi="Calibri" w:eastAsia="宋体" w:cs="宋体"/>
                <w:color w:val="auto"/>
                <w:highlight w:val="none"/>
              </w:rPr>
              <w:t>和</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承包人</w:t>
            </w:r>
            <w:r>
              <w:rPr>
                <w:rFonts w:hint="eastAsia" w:ascii="Calibri" w:hAnsi="Calibri" w:cs="Times New Roman"/>
                <w:color w:val="auto"/>
                <w:highlight w:val="none"/>
                <w:lang w:eastAsia="zh-CN"/>
              </w:rPr>
              <w:t>”</w:t>
            </w:r>
            <w:r>
              <w:rPr>
                <w:rFonts w:hint="eastAsia" w:ascii="Calibri" w:hAnsi="Calibri" w:eastAsia="宋体" w:cs="宋体"/>
                <w:color w:val="auto"/>
                <w:highlight w:val="none"/>
              </w:rPr>
              <w:t>，在招标投标阶段应当分别按</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招标人</w:t>
            </w:r>
            <w:r>
              <w:rPr>
                <w:rFonts w:hint="eastAsia" w:ascii="Calibri" w:hAnsi="Calibri" w:cs="Times New Roman"/>
                <w:color w:val="auto"/>
                <w:highlight w:val="none"/>
                <w:lang w:eastAsia="zh-CN"/>
              </w:rPr>
              <w:t>”</w:t>
            </w:r>
            <w:r>
              <w:rPr>
                <w:rFonts w:hint="eastAsia" w:ascii="Calibri" w:hAnsi="Calibri" w:eastAsia="宋体" w:cs="宋体"/>
                <w:color w:val="auto"/>
                <w:highlight w:val="none"/>
              </w:rPr>
              <w:t>和</w:t>
            </w:r>
            <w:r>
              <w:rPr>
                <w:rFonts w:hint="eastAsia" w:ascii="Calibri" w:hAnsi="Calibri" w:cs="Times New Roman"/>
                <w:color w:val="auto"/>
                <w:highlight w:val="none"/>
                <w:lang w:eastAsia="zh-CN"/>
              </w:rPr>
              <w:t>“</w:t>
            </w:r>
            <w:r>
              <w:rPr>
                <w:rFonts w:hint="eastAsia" w:ascii="Calibri" w:hAnsi="Calibri" w:eastAsia="宋体" w:cs="宋体"/>
                <w:color w:val="auto"/>
                <w:highlight w:val="none"/>
              </w:rPr>
              <w:t>投标人</w:t>
            </w:r>
            <w:r>
              <w:rPr>
                <w:rFonts w:hint="eastAsia" w:ascii="Calibri" w:hAnsi="Calibri" w:cs="Times New Roman"/>
                <w:color w:val="auto"/>
                <w:highlight w:val="none"/>
                <w:lang w:eastAsia="zh-CN"/>
              </w:rPr>
              <w:t>”</w:t>
            </w:r>
            <w:r>
              <w:rPr>
                <w:rFonts w:hint="eastAsia" w:ascii="Calibri" w:hAnsi="Calibri" w:eastAsia="宋体" w:cs="宋体"/>
                <w:color w:val="auto"/>
                <w:highlight w:val="none"/>
              </w:rPr>
              <w:t>进行理解。</w:t>
            </w:r>
          </w:p>
        </w:tc>
      </w:tr>
      <w:tr w14:paraId="1FCF1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394" w:type="dxa"/>
            <w:gridSpan w:val="5"/>
            <w:noWrap w:val="0"/>
            <w:vAlign w:val="center"/>
          </w:tcPr>
          <w:p w14:paraId="38D8A0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210" w:right="0" w:hanging="210" w:hangingChars="10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 xml:space="preserve">10.8 </w:t>
            </w:r>
            <w:r>
              <w:rPr>
                <w:rFonts w:hint="eastAsia" w:ascii="Calibri" w:hAnsi="Calibri" w:eastAsia="宋体" w:cs="宋体"/>
                <w:color w:val="auto"/>
                <w:highlight w:val="none"/>
              </w:rPr>
              <w:t>监督</w:t>
            </w:r>
          </w:p>
        </w:tc>
      </w:tr>
      <w:tr w14:paraId="2449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54" w:type="dxa"/>
            <w:gridSpan w:val="2"/>
            <w:noWrap w:val="0"/>
            <w:vAlign w:val="center"/>
          </w:tcPr>
          <w:p w14:paraId="0A0661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40" w:type="dxa"/>
            <w:gridSpan w:val="3"/>
            <w:noWrap w:val="0"/>
            <w:vAlign w:val="center"/>
          </w:tcPr>
          <w:p w14:paraId="3A40A9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本项目的招标投标活动及其相关当事人应当接受有管辖权的建设工程招标投标行政监督部门依法实施的监督，如项目属于公共资源范围，应同时接受本级公共资源交易监督机构的监管。</w:t>
            </w:r>
          </w:p>
        </w:tc>
      </w:tr>
      <w:tr w14:paraId="117B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394" w:type="dxa"/>
            <w:gridSpan w:val="5"/>
            <w:noWrap w:val="0"/>
            <w:vAlign w:val="center"/>
          </w:tcPr>
          <w:p w14:paraId="4040C2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default" w:ascii="Calibri" w:hAnsi="Calibri" w:eastAsia="宋体" w:cs="宋体"/>
                <w:color w:val="auto"/>
                <w:highlight w:val="none"/>
              </w:rPr>
              <w:t>10.9承包人应履行的其他义务</w:t>
            </w:r>
          </w:p>
        </w:tc>
      </w:tr>
      <w:tr w14:paraId="4AED1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54" w:type="dxa"/>
            <w:gridSpan w:val="2"/>
            <w:noWrap w:val="0"/>
            <w:vAlign w:val="center"/>
          </w:tcPr>
          <w:p w14:paraId="7AC065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40" w:type="dxa"/>
            <w:gridSpan w:val="3"/>
            <w:noWrap w:val="0"/>
            <w:vAlign w:val="center"/>
          </w:tcPr>
          <w:p w14:paraId="36FE03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eastAsia="宋体" w:cs="宋体"/>
                <w:color w:val="auto"/>
                <w:highlight w:val="none"/>
              </w:rPr>
            </w:pPr>
            <w:r>
              <w:rPr>
                <w:rFonts w:hint="default" w:ascii="Calibri" w:hAnsi="Calibri" w:eastAsia="宋体" w:cs="宋体"/>
                <w:color w:val="auto"/>
                <w:highlight w:val="none"/>
              </w:rPr>
              <w:t xml:space="preserve"> </w:t>
            </w:r>
            <w:r>
              <w:rPr>
                <w:rFonts w:hint="eastAsia" w:ascii="Calibri" w:hAnsi="Calibri" w:cs="宋体"/>
                <w:color w:val="auto"/>
                <w:highlight w:val="none"/>
                <w:lang w:eastAsia="zh-CN"/>
              </w:rPr>
              <w:t>“</w:t>
            </w:r>
            <w:r>
              <w:rPr>
                <w:rFonts w:hint="default" w:ascii="Calibri" w:hAnsi="Calibri" w:eastAsia="宋体" w:cs="宋体"/>
                <w:color w:val="auto"/>
                <w:highlight w:val="none"/>
              </w:rPr>
              <w:t>按照《中华人民共和国工会法</w:t>
            </w:r>
            <w:r>
              <w:rPr>
                <w:rFonts w:hint="eastAsia" w:ascii="Calibri" w:hAnsi="Calibri" w:cs="宋体"/>
                <w:color w:val="auto"/>
                <w:highlight w:val="none"/>
                <w:lang w:eastAsia="zh-CN"/>
              </w:rPr>
              <w:t>》《</w:t>
            </w:r>
            <w:r>
              <w:rPr>
                <w:rFonts w:hint="default" w:ascii="Calibri" w:hAnsi="Calibri" w:eastAsia="宋体" w:cs="宋体"/>
                <w:color w:val="auto"/>
                <w:highlight w:val="none"/>
              </w:rPr>
              <w:t>国务院关于进一步做好为农民工服务工作的意见》（国发〔2014〕40号）、《中华全国总工会关于深入贯彻落实</w:t>
            </w:r>
            <w:r>
              <w:rPr>
                <w:rFonts w:hint="eastAsia" w:ascii="Calibri" w:hAnsi="Calibri" w:cs="宋体"/>
                <w:color w:val="auto"/>
                <w:highlight w:val="none"/>
                <w:lang w:eastAsia="zh-CN"/>
              </w:rPr>
              <w:t>〈</w:t>
            </w:r>
            <w:r>
              <w:rPr>
                <w:rFonts w:hint="default" w:ascii="Calibri" w:hAnsi="Calibri" w:eastAsia="宋体" w:cs="宋体"/>
                <w:color w:val="auto"/>
                <w:highlight w:val="none"/>
              </w:rPr>
              <w:t>国务院关于进一步做好为农民工服务工作的意见</w:t>
            </w:r>
            <w:r>
              <w:rPr>
                <w:rFonts w:hint="eastAsia" w:ascii="Calibri" w:hAnsi="Calibri" w:cs="宋体"/>
                <w:color w:val="auto"/>
                <w:highlight w:val="none"/>
                <w:lang w:eastAsia="zh-CN"/>
              </w:rPr>
              <w:t>〉</w:t>
            </w:r>
            <w:r>
              <w:rPr>
                <w:rFonts w:hint="default" w:ascii="Calibri" w:hAnsi="Calibri" w:eastAsia="宋体" w:cs="宋体"/>
                <w:color w:val="auto"/>
                <w:highlight w:val="none"/>
              </w:rPr>
              <w:t>的实施意见》（总工发〔2015〕14号）有关要求，建筑工程要成立项目工会或项目联合工会，深入开展‘农民工入会集中行动</w:t>
            </w:r>
            <w:r>
              <w:rPr>
                <w:rFonts w:hint="eastAsia" w:ascii="Calibri" w:hAnsi="Calibri" w:eastAsia="宋体" w:cs="宋体"/>
                <w:color w:val="auto"/>
                <w:highlight w:val="none"/>
              </w:rPr>
              <w:t>’</w:t>
            </w:r>
            <w:r>
              <w:rPr>
                <w:rFonts w:hint="eastAsia" w:ascii="Calibri" w:hAnsi="Calibri" w:cs="宋体"/>
                <w:color w:val="auto"/>
                <w:highlight w:val="none"/>
                <w:lang w:eastAsia="zh-CN"/>
              </w:rPr>
              <w:t>”</w:t>
            </w:r>
            <w:r>
              <w:rPr>
                <w:rFonts w:hint="eastAsia" w:ascii="Calibri" w:hAnsi="Calibri" w:eastAsia="宋体" w:cs="宋体"/>
                <w:color w:val="auto"/>
                <w:highlight w:val="none"/>
              </w:rPr>
              <w:t>。</w:t>
            </w:r>
          </w:p>
        </w:tc>
      </w:tr>
      <w:tr w14:paraId="74532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394" w:type="dxa"/>
            <w:gridSpan w:val="5"/>
            <w:noWrap w:val="0"/>
            <w:vAlign w:val="center"/>
          </w:tcPr>
          <w:p w14:paraId="18D440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cs="Times New Roman"/>
                <w:color w:val="auto"/>
                <w:highlight w:val="none"/>
              </w:rPr>
            </w:pPr>
            <w:r>
              <w:rPr>
                <w:rFonts w:hint="eastAsia" w:ascii="Calibri" w:hAnsi="Calibri"/>
                <w:color w:val="auto"/>
                <w:highlight w:val="none"/>
              </w:rPr>
              <w:t>10.1</w:t>
            </w:r>
            <w:r>
              <w:rPr>
                <w:rFonts w:hint="default" w:ascii="Calibri" w:hAnsi="Calibri"/>
                <w:color w:val="auto"/>
                <w:highlight w:val="none"/>
              </w:rPr>
              <w:t>0</w:t>
            </w:r>
            <w:r>
              <w:rPr>
                <w:rFonts w:hint="eastAsia" w:ascii="宋体" w:hAnsi="宋体"/>
                <w:color w:val="auto"/>
                <w:highlight w:val="none"/>
              </w:rPr>
              <w:t>农民工工资保证金</w:t>
            </w:r>
          </w:p>
        </w:tc>
      </w:tr>
      <w:tr w14:paraId="4520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54" w:type="dxa"/>
            <w:gridSpan w:val="2"/>
            <w:noWrap w:val="0"/>
            <w:vAlign w:val="center"/>
          </w:tcPr>
          <w:p w14:paraId="6723F0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color w:val="auto"/>
                <w:highlight w:val="none"/>
              </w:rPr>
            </w:pPr>
          </w:p>
        </w:tc>
        <w:tc>
          <w:tcPr>
            <w:tcW w:w="8140" w:type="dxa"/>
            <w:gridSpan w:val="3"/>
            <w:noWrap w:val="0"/>
            <w:vAlign w:val="center"/>
          </w:tcPr>
          <w:p w14:paraId="6AC825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cs="Times New Roman"/>
                <w:color w:val="auto"/>
                <w:highlight w:val="none"/>
              </w:rPr>
            </w:pPr>
            <w:r>
              <w:rPr>
                <w:rFonts w:hint="default" w:ascii="Times New Roman" w:hAnsi="Times New Roman" w:eastAsia="宋体" w:cs="Times New Roman"/>
                <w:color w:val="auto"/>
                <w:highlight w:val="none"/>
              </w:rPr>
              <w:t>按广西壮族自治区人力资源和社会保障厅等8部门《关于印发广西壮族自治区工程建设领域农民工工资专用</w:t>
            </w:r>
            <w:r>
              <w:rPr>
                <w:rFonts w:hint="eastAsia" w:cs="Times New Roman"/>
                <w:color w:val="auto"/>
                <w:highlight w:val="none"/>
                <w:lang w:eastAsia="zh-CN"/>
              </w:rPr>
              <w:t>账</w:t>
            </w:r>
            <w:r>
              <w:rPr>
                <w:rFonts w:hint="default" w:ascii="Times New Roman" w:hAnsi="Times New Roman" w:eastAsia="宋体" w:cs="Times New Roman"/>
                <w:color w:val="auto"/>
                <w:highlight w:val="none"/>
              </w:rPr>
              <w:t>户管理暂行办法实施细则的通知》（桂人社规</w:t>
            </w:r>
            <w:r>
              <w:rPr>
                <w:rFonts w:hint="eastAsia" w:cs="Times New Roman"/>
                <w:color w:val="auto"/>
                <w:highlight w:val="none"/>
                <w:lang w:eastAsia="zh-CN"/>
              </w:rPr>
              <w:t>〔2022〕5号</w:t>
            </w:r>
            <w:r>
              <w:rPr>
                <w:rFonts w:hint="default" w:ascii="Times New Roman" w:hAnsi="Times New Roman" w:eastAsia="宋体" w:cs="Times New Roman"/>
                <w:color w:val="auto"/>
                <w:highlight w:val="none"/>
              </w:rPr>
              <w:t>）执行，承包人在合</w:t>
            </w:r>
            <w:r>
              <w:rPr>
                <w:rFonts w:hint="eastAsia" w:ascii="Times New Roman" w:hAnsi="Times New Roman" w:eastAsia="宋体" w:cs="Times New Roman"/>
                <w:color w:val="auto"/>
                <w:highlight w:val="none"/>
                <w:lang w:val="en-US" w:eastAsia="zh-CN"/>
              </w:rPr>
              <w:t>同</w:t>
            </w:r>
            <w:r>
              <w:rPr>
                <w:rFonts w:hint="default" w:ascii="Times New Roman" w:hAnsi="Times New Roman" w:eastAsia="宋体" w:cs="Times New Roman"/>
                <w:color w:val="auto"/>
                <w:highlight w:val="none"/>
              </w:rPr>
              <w:t>签订之日起30日内，自主选择在自治区行政区域内依法设立或设有分支机构的银行开立专用</w:t>
            </w:r>
            <w:r>
              <w:rPr>
                <w:rFonts w:hint="eastAsia" w:cs="Times New Roman"/>
                <w:color w:val="auto"/>
                <w:highlight w:val="none"/>
                <w:lang w:eastAsia="zh-CN"/>
              </w:rPr>
              <w:t>账</w:t>
            </w:r>
            <w:r>
              <w:rPr>
                <w:rFonts w:hint="default" w:ascii="Times New Roman" w:hAnsi="Times New Roman" w:eastAsia="宋体" w:cs="Times New Roman"/>
                <w:color w:val="auto"/>
                <w:highlight w:val="none"/>
              </w:rPr>
              <w:t>户。</w:t>
            </w:r>
            <w:r>
              <w:rPr>
                <w:rFonts w:hint="eastAsia" w:cs="Times New Roman"/>
                <w:color w:val="auto"/>
                <w:highlight w:val="none"/>
                <w:lang w:eastAsia="zh-CN"/>
              </w:rPr>
              <w:t>办理</w:t>
            </w:r>
            <w:r>
              <w:rPr>
                <w:rFonts w:hint="default" w:ascii="Times New Roman" w:hAnsi="Times New Roman" w:eastAsia="宋体" w:cs="Times New Roman"/>
                <w:color w:val="auto"/>
                <w:highlight w:val="none"/>
              </w:rPr>
              <w:t>施工许可证后，按照《关于印发广西壮族自治区工程建设领域农民工工资保证金规定实施办法的通知》</w:t>
            </w:r>
            <w:r>
              <w:rPr>
                <w:rFonts w:hint="eastAsia" w:cs="Times New Roman"/>
                <w:color w:val="auto"/>
                <w:highlight w:val="none"/>
                <w:lang w:eastAsia="zh-CN"/>
              </w:rPr>
              <w:t>（</w:t>
            </w:r>
            <w:r>
              <w:rPr>
                <w:rFonts w:hint="default" w:ascii="Times New Roman" w:hAnsi="Times New Roman" w:eastAsia="宋体" w:cs="Times New Roman"/>
                <w:color w:val="auto"/>
                <w:highlight w:val="none"/>
              </w:rPr>
              <w:t>桂人社规</w:t>
            </w:r>
            <w:r>
              <w:rPr>
                <w:rFonts w:hint="eastAsia" w:cs="Times New Roman"/>
                <w:color w:val="auto"/>
                <w:highlight w:val="none"/>
                <w:lang w:eastAsia="zh-CN"/>
              </w:rPr>
              <w:t>〔2021〕16号</w:t>
            </w:r>
            <w:r>
              <w:rPr>
                <w:rFonts w:hint="default" w:ascii="Times New Roman" w:hAnsi="Times New Roman" w:eastAsia="宋体" w:cs="Times New Roman"/>
                <w:color w:val="auto"/>
                <w:highlight w:val="none"/>
              </w:rPr>
              <w:t>）缴存保证金，也可以使用银行保函</w:t>
            </w:r>
            <w:r>
              <w:rPr>
                <w:rFonts w:hint="default" w:ascii="Times New Roman" w:hAnsi="Times New Roman" w:eastAsia="宋体" w:cs="Times New Roman"/>
                <w:b/>
                <w:bCs/>
                <w:color w:val="auto"/>
                <w:highlight w:val="none"/>
              </w:rPr>
              <w:t>、工程担保公司保函或工程保证保险</w:t>
            </w:r>
            <w:r>
              <w:rPr>
                <w:rFonts w:hint="default" w:ascii="Times New Roman" w:hAnsi="Times New Roman" w:eastAsia="宋体" w:cs="Times New Roman"/>
                <w:color w:val="auto"/>
                <w:highlight w:val="none"/>
              </w:rPr>
              <w:t>。工程竣工验收结算经审定后，按照规定程序，将农民工工资保证金没有使用或剩余的金额退还给承包人。</w:t>
            </w:r>
          </w:p>
        </w:tc>
      </w:tr>
      <w:tr w14:paraId="3ABD7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394" w:type="dxa"/>
            <w:gridSpan w:val="5"/>
            <w:noWrap w:val="0"/>
            <w:vAlign w:val="center"/>
          </w:tcPr>
          <w:p w14:paraId="674607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宋体" w:hAnsi="宋体" w:eastAsia="宋体" w:cs="Times New Roman"/>
                <w:color w:val="auto"/>
                <w:highlight w:val="none"/>
              </w:rPr>
            </w:pPr>
            <w:r>
              <w:rPr>
                <w:rFonts w:hint="eastAsia" w:ascii="Calibri" w:hAnsi="Calibri" w:eastAsia="宋体" w:cs="Times New Roman"/>
                <w:color w:val="auto"/>
                <w:highlight w:val="none"/>
              </w:rPr>
              <w:t>10.1</w:t>
            </w:r>
            <w:r>
              <w:rPr>
                <w:rFonts w:hint="default" w:ascii="Calibri" w:hAnsi="Calibri" w:eastAsia="宋体" w:cs="Times New Roman"/>
                <w:color w:val="auto"/>
                <w:highlight w:val="none"/>
              </w:rPr>
              <w:t>1</w:t>
            </w:r>
            <w:r>
              <w:rPr>
                <w:rFonts w:hint="eastAsia" w:ascii="Calibri" w:hAnsi="Calibri" w:eastAsia="宋体" w:cs="宋体"/>
                <w:color w:val="auto"/>
                <w:highlight w:val="none"/>
              </w:rPr>
              <w:t>中小企业</w:t>
            </w:r>
          </w:p>
        </w:tc>
      </w:tr>
      <w:tr w14:paraId="7A582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54" w:type="dxa"/>
            <w:gridSpan w:val="2"/>
            <w:noWrap w:val="0"/>
            <w:vAlign w:val="center"/>
          </w:tcPr>
          <w:p w14:paraId="1BEBF7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40" w:type="dxa"/>
            <w:gridSpan w:val="3"/>
            <w:noWrap w:val="0"/>
            <w:vAlign w:val="center"/>
          </w:tcPr>
          <w:p w14:paraId="69F7A3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Times New Roman" w:hAnsi="Times New Roman" w:eastAsia="宋体" w:cs="宋体"/>
                <w:color w:val="auto"/>
                <w:highlight w:val="none"/>
              </w:rPr>
            </w:pPr>
            <w:r>
              <w:rPr>
                <w:rFonts w:hint="eastAsia" w:cs="宋体"/>
                <w:color w:val="auto"/>
                <w:highlight w:val="none"/>
              </w:rPr>
              <w:t xml:space="preserve">1. </w:t>
            </w:r>
            <w:r>
              <w:rPr>
                <w:rFonts w:hint="eastAsia" w:ascii="Times New Roman" w:hAnsi="Times New Roman" w:eastAsia="宋体" w:cs="宋体"/>
                <w:color w:val="auto"/>
                <w:highlight w:val="none"/>
              </w:rPr>
              <w:t>根据《政府采购促进中小企业发展管理办法》（财库〔2020〕46号）</w:t>
            </w:r>
            <w:r>
              <w:rPr>
                <w:rFonts w:hint="eastAsia" w:ascii="Times New Roman" w:hAnsi="Times New Roman" w:eastAsia="宋体" w:cs="宋体"/>
                <w:color w:val="auto"/>
                <w:highlight w:val="none"/>
                <w:lang w:eastAsia="zh-CN"/>
              </w:rPr>
              <w:t>、</w:t>
            </w:r>
            <w:r>
              <w:rPr>
                <w:rFonts w:hint="eastAsia" w:ascii="Times New Roman" w:hAnsi="Times New Roman" w:eastAsia="宋体" w:cs="宋体"/>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eastAsia" w:cs="宋体"/>
                <w:i w:val="0"/>
                <w:caps w:val="0"/>
                <w:color w:val="auto"/>
                <w:spacing w:val="0"/>
                <w:kern w:val="2"/>
                <w:sz w:val="21"/>
                <w:szCs w:val="21"/>
                <w:highlight w:val="none"/>
                <w:shd w:val="clear" w:color="auto" w:fill="auto"/>
                <w:lang w:val="en-US" w:eastAsia="zh-CN" w:bidi="ar"/>
              </w:rPr>
              <w:t>等</w:t>
            </w:r>
            <w:r>
              <w:rPr>
                <w:rFonts w:hint="eastAsia" w:ascii="Times New Roman" w:hAnsi="Times New Roman" w:eastAsia="宋体" w:cs="宋体"/>
                <w:color w:val="auto"/>
                <w:highlight w:val="none"/>
              </w:rPr>
              <w:t>的规定，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57EFEA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cs="宋体"/>
                <w:color w:val="auto"/>
                <w:highlight w:val="none"/>
              </w:rPr>
              <w:t>2.</w:t>
            </w:r>
            <w:r>
              <w:rPr>
                <w:rFonts w:hint="eastAsia" w:ascii="Calibri" w:hAnsi="Calibri" w:eastAsia="宋体" w:cs="宋体"/>
                <w:color w:val="auto"/>
                <w:highlight w:val="none"/>
              </w:rPr>
              <w:t xml:space="preserve"> 在政府采购工程招标活动中，工程由中小企业承建，即工程施工单位为中小企业，享受招标文件规定的中小企业扶持政策，不对其中涉及的货物的制造商和服务的承接商作出要求，联合体各方均为中小企业的，联合体视同中小企业。其中，联合体各方均为小微企业的，联合体视同小微企业。</w:t>
            </w:r>
          </w:p>
          <w:p w14:paraId="58D25C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cs="宋体"/>
                <w:color w:val="auto"/>
                <w:highlight w:val="none"/>
              </w:rPr>
              <w:t xml:space="preserve">3. </w:t>
            </w:r>
            <w:r>
              <w:rPr>
                <w:rFonts w:hint="eastAsia" w:ascii="Calibri" w:hAnsi="Calibri" w:eastAsia="宋体" w:cs="宋体"/>
                <w:color w:val="auto"/>
                <w:highlight w:val="none"/>
              </w:rPr>
              <w:t>本项目所属行业为</w:t>
            </w:r>
            <w:r>
              <w:rPr>
                <w:rFonts w:hint="eastAsia" w:ascii="Calibri" w:hAnsi="Calibri" w:eastAsia="宋体" w:cs="宋体"/>
                <w:color w:val="auto"/>
                <w:highlight w:val="none"/>
                <w:u w:val="none"/>
              </w:rPr>
              <w:t>建筑业</w:t>
            </w:r>
            <w:r>
              <w:rPr>
                <w:rFonts w:hint="eastAsia" w:ascii="Calibri" w:hAnsi="Calibri" w:eastAsia="宋体" w:cs="宋体"/>
                <w:color w:val="auto"/>
                <w:highlight w:val="none"/>
              </w:rPr>
              <w:t>。</w:t>
            </w:r>
          </w:p>
          <w:p w14:paraId="78D7C0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根据《关于印发中小企业划型标准规定的通知》（工信部联企业〔2011〕300号）的规定，建筑业中小企业划型标准：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96857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cs="宋体"/>
                <w:color w:val="auto"/>
                <w:highlight w:val="none"/>
              </w:rPr>
              <w:t>4.</w:t>
            </w:r>
            <w:r>
              <w:rPr>
                <w:rFonts w:hint="eastAsia" w:ascii="Calibri" w:hAnsi="Calibri" w:eastAsia="宋体" w:cs="宋体"/>
                <w:color w:val="auto"/>
                <w:highlight w:val="none"/>
              </w:rPr>
              <w:t>投标人判断是否为中小企业可以使用工业和信息化部中小企业局开发的</w:t>
            </w:r>
            <w:r>
              <w:rPr>
                <w:rFonts w:hint="eastAsia" w:ascii="Calibri" w:hAnsi="Calibri" w:cs="宋体"/>
                <w:color w:val="auto"/>
                <w:highlight w:val="none"/>
                <w:lang w:eastAsia="zh-CN"/>
              </w:rPr>
              <w:t>“</w:t>
            </w:r>
            <w:r>
              <w:rPr>
                <w:rFonts w:hint="eastAsia" w:ascii="Calibri" w:hAnsi="Calibri" w:eastAsia="宋体" w:cs="宋体"/>
                <w:color w:val="auto"/>
                <w:highlight w:val="none"/>
              </w:rPr>
              <w:t>中小企业规模类型自测小程序</w:t>
            </w:r>
            <w:r>
              <w:rPr>
                <w:rFonts w:hint="eastAsia" w:ascii="Calibri" w:hAnsi="Calibri" w:cs="宋体"/>
                <w:color w:val="auto"/>
                <w:highlight w:val="none"/>
                <w:lang w:eastAsia="zh-CN"/>
              </w:rPr>
              <w:t>”</w:t>
            </w:r>
            <w:r>
              <w:rPr>
                <w:rFonts w:hint="eastAsia" w:ascii="Calibri" w:hAnsi="Calibri" w:eastAsia="宋体" w:cs="宋体"/>
                <w:color w:val="auto"/>
                <w:highlight w:val="none"/>
              </w:rPr>
              <w:t>。</w:t>
            </w:r>
          </w:p>
          <w:p w14:paraId="45C8DF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宋体" w:hAnsi="宋体" w:eastAsia="宋体" w:cs="Times New Roman"/>
                <w:color w:val="auto"/>
                <w:highlight w:val="none"/>
              </w:rPr>
            </w:pPr>
            <w:r>
              <w:rPr>
                <w:rFonts w:hint="eastAsia" w:cs="宋体"/>
                <w:color w:val="auto"/>
                <w:highlight w:val="none"/>
              </w:rPr>
              <w:t>5.投标</w:t>
            </w:r>
            <w:r>
              <w:rPr>
                <w:rFonts w:hint="eastAsia" w:ascii="Calibri" w:hAnsi="Calibri" w:eastAsia="宋体" w:cs="宋体"/>
                <w:color w:val="auto"/>
                <w:highlight w:val="none"/>
              </w:rPr>
              <w:t>人确定自身属于上述定义的中小企业时，应按第九章</w:t>
            </w:r>
            <w:r>
              <w:rPr>
                <w:rFonts w:hint="eastAsia" w:ascii="Calibri" w:hAnsi="Calibri" w:cs="宋体"/>
                <w:color w:val="auto"/>
                <w:highlight w:val="none"/>
                <w:lang w:eastAsia="zh-CN"/>
              </w:rPr>
              <w:t>“</w:t>
            </w:r>
            <w:r>
              <w:rPr>
                <w:rFonts w:hint="eastAsia" w:ascii="Calibri" w:hAnsi="Calibri" w:eastAsia="宋体" w:cs="宋体"/>
                <w:color w:val="auto"/>
                <w:highlight w:val="none"/>
              </w:rPr>
              <w:t>投标文件格式</w:t>
            </w:r>
            <w:r>
              <w:rPr>
                <w:rFonts w:hint="eastAsia" w:ascii="Calibri" w:hAnsi="Calibri" w:cs="宋体"/>
                <w:color w:val="auto"/>
                <w:highlight w:val="none"/>
                <w:lang w:eastAsia="zh-CN"/>
              </w:rPr>
              <w:t>”</w:t>
            </w:r>
            <w:r>
              <w:rPr>
                <w:rFonts w:hint="eastAsia" w:ascii="Calibri" w:hAnsi="Calibri" w:eastAsia="宋体" w:cs="宋体"/>
                <w:color w:val="auto"/>
                <w:highlight w:val="none"/>
              </w:rPr>
              <w:t>提供相应的《中小企业声明函》，否则评标时不予认定。任何单位和个人不得要求投标人提供《中小企业声明函》之外的中小企业身份证明文件。</w:t>
            </w:r>
          </w:p>
        </w:tc>
      </w:tr>
      <w:tr w14:paraId="680E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394" w:type="dxa"/>
            <w:gridSpan w:val="5"/>
            <w:noWrap w:val="0"/>
            <w:vAlign w:val="center"/>
          </w:tcPr>
          <w:p w14:paraId="535C12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宋体" w:hAnsi="宋体" w:eastAsia="宋体" w:cs="Times New Roman"/>
                <w:color w:val="auto"/>
                <w:highlight w:val="none"/>
              </w:rPr>
            </w:pPr>
            <w:r>
              <w:rPr>
                <w:rFonts w:hint="eastAsia" w:ascii="Calibri" w:hAnsi="Calibri" w:eastAsia="宋体" w:cs="Times New Roman"/>
                <w:color w:val="auto"/>
                <w:highlight w:val="none"/>
              </w:rPr>
              <w:t>10.1</w:t>
            </w:r>
            <w:r>
              <w:rPr>
                <w:rFonts w:hint="default" w:ascii="Calibri" w:hAnsi="Calibri" w:eastAsia="宋体" w:cs="Times New Roman"/>
                <w:color w:val="auto"/>
                <w:highlight w:val="none"/>
              </w:rPr>
              <w:t>2</w:t>
            </w:r>
            <w:r>
              <w:rPr>
                <w:rFonts w:hint="eastAsia" w:ascii="Calibri" w:hAnsi="Calibri" w:eastAsia="宋体" w:cs="Times New Roman"/>
                <w:color w:val="auto"/>
                <w:highlight w:val="none"/>
              </w:rPr>
              <w:t>监狱企业</w:t>
            </w:r>
          </w:p>
        </w:tc>
      </w:tr>
      <w:tr w14:paraId="7DB7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54" w:type="dxa"/>
            <w:gridSpan w:val="2"/>
            <w:noWrap w:val="0"/>
            <w:vAlign w:val="center"/>
          </w:tcPr>
          <w:p w14:paraId="5F1439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40" w:type="dxa"/>
            <w:gridSpan w:val="3"/>
            <w:noWrap w:val="0"/>
            <w:vAlign w:val="center"/>
          </w:tcPr>
          <w:p w14:paraId="6353E0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cs="宋体"/>
                <w:color w:val="auto"/>
                <w:highlight w:val="none"/>
              </w:rPr>
              <w:t>1. 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2BA6A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宋体" w:hAnsi="宋体" w:eastAsia="宋体" w:cs="Times New Roman"/>
                <w:color w:val="auto"/>
                <w:highlight w:val="none"/>
              </w:rPr>
            </w:pPr>
            <w:r>
              <w:rPr>
                <w:rFonts w:hint="eastAsia" w:cs="宋体"/>
                <w:color w:val="auto"/>
                <w:highlight w:val="none"/>
              </w:rPr>
              <w:t>2. 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14:paraId="5785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394" w:type="dxa"/>
            <w:gridSpan w:val="5"/>
            <w:noWrap w:val="0"/>
            <w:vAlign w:val="center"/>
          </w:tcPr>
          <w:p w14:paraId="71B6B5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宋体" w:hAnsi="宋体" w:eastAsia="宋体" w:cs="Times New Roman"/>
                <w:color w:val="auto"/>
                <w:highlight w:val="none"/>
              </w:rPr>
            </w:pPr>
            <w:r>
              <w:rPr>
                <w:rFonts w:hint="eastAsia" w:ascii="Calibri" w:hAnsi="Calibri" w:eastAsia="宋体" w:cs="Times New Roman"/>
                <w:color w:val="auto"/>
                <w:highlight w:val="none"/>
              </w:rPr>
              <w:t>10.1</w:t>
            </w:r>
            <w:r>
              <w:rPr>
                <w:rFonts w:hint="default" w:ascii="Calibri" w:hAnsi="Calibri" w:eastAsia="宋体" w:cs="Times New Roman"/>
                <w:color w:val="auto"/>
                <w:highlight w:val="none"/>
              </w:rPr>
              <w:t>3</w:t>
            </w:r>
            <w:r>
              <w:rPr>
                <w:rFonts w:hint="eastAsia" w:ascii="Calibri" w:hAnsi="Calibri" w:eastAsia="宋体" w:cs="宋体"/>
                <w:color w:val="auto"/>
                <w:highlight w:val="none"/>
              </w:rPr>
              <w:t>残疾人福利性单位</w:t>
            </w:r>
          </w:p>
        </w:tc>
      </w:tr>
      <w:tr w14:paraId="3773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54" w:type="dxa"/>
            <w:gridSpan w:val="2"/>
            <w:noWrap w:val="0"/>
            <w:vAlign w:val="center"/>
          </w:tcPr>
          <w:p w14:paraId="40C182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40" w:type="dxa"/>
            <w:gridSpan w:val="3"/>
            <w:noWrap w:val="0"/>
            <w:vAlign w:val="center"/>
          </w:tcPr>
          <w:p w14:paraId="233F8C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cs="宋体"/>
                <w:color w:val="auto"/>
                <w:highlight w:val="none"/>
              </w:rPr>
              <w:t>1</w:t>
            </w:r>
            <w:r>
              <w:rPr>
                <w:rFonts w:hint="eastAsia" w:ascii="Calibri" w:hAnsi="Calibri" w:eastAsia="宋体" w:cs="宋体"/>
                <w:color w:val="auto"/>
                <w:highlight w:val="none"/>
              </w:rPr>
              <w:t>. 根据《关于促进残疾人就业政府采购政策的通知》（财库〔2017〕141号）的规定，享受政府采购支持政策的残疾人福利性单位应当同时满足以下条件：</w:t>
            </w:r>
          </w:p>
          <w:p w14:paraId="77B8CB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（1）安置的残疾人占本单位在职职工人数的比例不低于25%（含25%），并且安置的残疾人人数不少于10人（含10人）；</w:t>
            </w:r>
          </w:p>
          <w:p w14:paraId="63BDB9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（2）依法与安置的每位残疾人签订了一年以上（含一年）的劳动合同或服务协议；</w:t>
            </w:r>
          </w:p>
          <w:p w14:paraId="155B93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（3）为安置的每位残疾人按月足额缴纳了基本养老保险、基本医疗保险、失业保险、工伤保险和生育保险等社会保险费；</w:t>
            </w:r>
          </w:p>
          <w:p w14:paraId="6490E6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（4）通过银行等金融机构向安置的每位残疾人，按月支付了不低于单位所在区县适用的经省级人民政府批准的月最低工资标准的工资；</w:t>
            </w:r>
          </w:p>
          <w:p w14:paraId="49AD92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（5）提供本单位制造的货物、承担的工程或者服务（以下简称产品），或者提供其他残疾人福利性单位制造的货物（不包括使用非残疾人福利性单位注册商标的货物）。</w:t>
            </w:r>
          </w:p>
          <w:p w14:paraId="0E4748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Calibri" w:hAnsi="Calibri" w:eastAsia="宋体" w:cs="宋体"/>
                <w:color w:val="auto"/>
                <w:highlight w:val="none"/>
              </w:rPr>
            </w:pPr>
            <w:r>
              <w:rPr>
                <w:rFonts w:hint="eastAsia" w:ascii="Calibri" w:hAnsi="Calibri" w:eastAsia="宋体" w:cs="宋体"/>
                <w:color w:val="auto"/>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7F087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ascii="宋体" w:hAnsi="宋体" w:eastAsia="宋体" w:cs="Times New Roman"/>
                <w:color w:val="auto"/>
                <w:highlight w:val="none"/>
              </w:rPr>
            </w:pPr>
            <w:r>
              <w:rPr>
                <w:rFonts w:hint="eastAsia" w:cs="宋体"/>
                <w:color w:val="auto"/>
                <w:highlight w:val="none"/>
              </w:rPr>
              <w:t>2</w:t>
            </w:r>
            <w:r>
              <w:rPr>
                <w:rFonts w:hint="eastAsia" w:ascii="Calibri" w:hAnsi="Calibri" w:eastAsia="宋体" w:cs="宋体"/>
                <w:color w:val="auto"/>
                <w:highlight w:val="none"/>
              </w:rPr>
              <w:t>. 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r w14:paraId="7A5C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394" w:type="dxa"/>
            <w:gridSpan w:val="5"/>
            <w:noWrap w:val="0"/>
            <w:vAlign w:val="center"/>
          </w:tcPr>
          <w:p w14:paraId="41CB51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210" w:right="0" w:hanging="210" w:hangingChars="10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10.</w:t>
            </w:r>
            <w:r>
              <w:rPr>
                <w:rFonts w:hint="default" w:ascii="Calibri" w:hAnsi="Calibri" w:eastAsia="宋体" w:cs="Times New Roman"/>
                <w:color w:val="auto"/>
                <w:highlight w:val="none"/>
                <w:lang w:val="en-US"/>
              </w:rPr>
              <w:t>14</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解释权</w:t>
            </w:r>
          </w:p>
        </w:tc>
      </w:tr>
      <w:tr w14:paraId="41F6F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1254" w:type="dxa"/>
            <w:gridSpan w:val="2"/>
            <w:noWrap w:val="0"/>
            <w:vAlign w:val="center"/>
          </w:tcPr>
          <w:p w14:paraId="249D5B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p>
        </w:tc>
        <w:tc>
          <w:tcPr>
            <w:tcW w:w="8140" w:type="dxa"/>
            <w:gridSpan w:val="3"/>
            <w:noWrap w:val="0"/>
            <w:vAlign w:val="center"/>
          </w:tcPr>
          <w:p w14:paraId="34C73F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构成本招标文件的各个组成文件应互为解释，互为说明；如有不明确或不一致</w:t>
            </w:r>
            <w:r>
              <w:rPr>
                <w:rFonts w:hint="eastAsia" w:ascii="Calibri" w:hAnsi="Calibri" w:cs="宋体"/>
                <w:color w:val="auto"/>
                <w:highlight w:val="none"/>
                <w:lang w:val="en-US" w:eastAsia="zh-CN"/>
              </w:rPr>
              <w:t>的</w:t>
            </w:r>
            <w:r>
              <w:rPr>
                <w:rFonts w:hint="eastAsia" w:ascii="Calibri" w:hAnsi="Calibri" w:eastAsia="宋体" w:cs="宋体"/>
                <w:color w:val="auto"/>
                <w:highlight w:val="none"/>
              </w:rPr>
              <w:t>，招标投标阶段</w:t>
            </w:r>
            <w:r>
              <w:rPr>
                <w:rFonts w:hint="eastAsia" w:ascii="Calibri" w:hAnsi="Calibri" w:cs="宋体"/>
                <w:color w:val="auto"/>
                <w:highlight w:val="none"/>
                <w:lang w:eastAsia="zh-CN"/>
              </w:rPr>
              <w:t>（</w:t>
            </w:r>
            <w:r>
              <w:rPr>
                <w:rFonts w:hint="eastAsia" w:ascii="Calibri" w:hAnsi="Calibri" w:cs="宋体"/>
                <w:color w:val="auto"/>
                <w:highlight w:val="none"/>
                <w:lang w:val="en-US" w:eastAsia="zh-CN"/>
              </w:rPr>
              <w:t>除招标文件中有特别规定外）</w:t>
            </w:r>
            <w:r>
              <w:rPr>
                <w:rFonts w:hint="eastAsia" w:ascii="Calibri" w:hAnsi="Calibri" w:eastAsia="宋体" w:cs="宋体"/>
                <w:color w:val="auto"/>
                <w:highlight w:val="none"/>
              </w:rPr>
              <w:t>按招标文件澄清或者修改或者补遗文件、招标公告（投标邀请书）、投标人须知、评标办法、</w:t>
            </w:r>
            <w:r>
              <w:rPr>
                <w:rFonts w:hint="eastAsia" w:ascii="Calibri" w:hAnsi="Calibri" w:cs="宋体"/>
                <w:color w:val="auto"/>
                <w:highlight w:val="none"/>
                <w:lang w:val="en-US" w:eastAsia="zh-CN"/>
              </w:rPr>
              <w:t>合同条款及格式、工程量清单、图纸、危险性较大的分部分项工程清单（如有）、技术标准和要求、</w:t>
            </w:r>
            <w:r>
              <w:rPr>
                <w:rFonts w:hint="eastAsia" w:ascii="Calibri" w:hAnsi="Calibri" w:eastAsia="宋体" w:cs="宋体"/>
                <w:color w:val="auto"/>
                <w:highlight w:val="none"/>
              </w:rPr>
              <w:t>投标文件格式的先后顺序解释；同一组成文件中就同一事项的规定或约定不一致的，以编排顺序在后者为准；同一组成文件不同版本之间有不一致的，以形成时间在后者为准；澄清或者修改或者补遗文件与同步更新的招标文件不一致时以澄清或者修改或者补遗文件为准。按本款前述规定仍不能形成结论的，由招标人负责解释。</w:t>
            </w:r>
          </w:p>
        </w:tc>
      </w:tr>
      <w:tr w14:paraId="68C3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394" w:type="dxa"/>
            <w:gridSpan w:val="5"/>
            <w:noWrap w:val="0"/>
            <w:vAlign w:val="center"/>
          </w:tcPr>
          <w:p w14:paraId="260689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10.1</w:t>
            </w:r>
            <w:r>
              <w:rPr>
                <w:rFonts w:hint="eastAsia" w:ascii="Calibri" w:hAnsi="Calibri" w:eastAsia="宋体" w:cs="Times New Roman"/>
                <w:color w:val="auto"/>
                <w:highlight w:val="none"/>
                <w:lang w:val="en-US" w:eastAsia="zh-CN"/>
              </w:rPr>
              <w:t>5</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招标人补充的其他内容</w:t>
            </w:r>
          </w:p>
        </w:tc>
      </w:tr>
      <w:tr w14:paraId="127E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1387" w:hRule="atLeast"/>
          <w:jc w:val="center"/>
        </w:trPr>
        <w:tc>
          <w:tcPr>
            <w:tcW w:w="1247" w:type="dxa"/>
            <w:noWrap w:val="0"/>
            <w:vAlign w:val="center"/>
          </w:tcPr>
          <w:p w14:paraId="515940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10.1</w:t>
            </w:r>
            <w:r>
              <w:rPr>
                <w:rFonts w:hint="eastAsia" w:ascii="Calibri" w:hAnsi="Calibri" w:eastAsia="宋体" w:cs="Times New Roman"/>
                <w:color w:val="auto"/>
                <w:highlight w:val="none"/>
                <w:lang w:val="en-US" w:eastAsia="zh-CN"/>
              </w:rPr>
              <w:t>5</w:t>
            </w:r>
            <w:r>
              <w:rPr>
                <w:rFonts w:hint="default" w:ascii="Calibri" w:hAnsi="Calibri" w:eastAsia="宋体" w:cs="Times New Roman"/>
                <w:color w:val="auto"/>
                <w:highlight w:val="none"/>
              </w:rPr>
              <w:t>.1</w:t>
            </w:r>
          </w:p>
        </w:tc>
        <w:tc>
          <w:tcPr>
            <w:tcW w:w="3674" w:type="dxa"/>
            <w:gridSpan w:val="2"/>
            <w:noWrap w:val="0"/>
            <w:vAlign w:val="center"/>
          </w:tcPr>
          <w:p w14:paraId="5033C6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招标代理服务费的计算与收取</w:t>
            </w:r>
          </w:p>
        </w:tc>
        <w:tc>
          <w:tcPr>
            <w:tcW w:w="4409" w:type="dxa"/>
            <w:noWrap w:val="0"/>
            <w:vAlign w:val="center"/>
          </w:tcPr>
          <w:p w14:paraId="267FC9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□招标人支付。</w:t>
            </w:r>
          </w:p>
          <w:p w14:paraId="5B553B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cs="宋体"/>
                <w:color w:val="auto"/>
                <w:highlight w:val="none"/>
                <w:lang w:eastAsia="zh-CN"/>
              </w:rPr>
              <w:t>☑</w:t>
            </w:r>
            <w:r>
              <w:rPr>
                <w:rFonts w:hint="eastAsia" w:ascii="Calibri" w:hAnsi="Calibri" w:eastAsia="宋体" w:cs="宋体"/>
                <w:color w:val="auto"/>
                <w:highlight w:val="none"/>
              </w:rPr>
              <w:t>中标人支付。具体为：根据招标人与代理人签订的《建设工程招标代理合同》，本项目委托招标代理服务费按</w:t>
            </w:r>
            <w:r>
              <w:rPr>
                <w:rFonts w:hint="default" w:ascii="Calibri" w:hAnsi="Calibri" w:eastAsia="宋体" w:cs="Times New Roman"/>
                <w:color w:val="auto"/>
                <w:highlight w:val="none"/>
                <w:u w:val="single"/>
              </w:rPr>
              <w:t xml:space="preserve"> </w:t>
            </w:r>
            <w:bookmarkStart w:id="86" w:name="EBb4b2c6e8d5ff421f91b11f10eb342239"/>
            <w:r>
              <w:rPr>
                <w:rFonts w:hint="default" w:ascii="Calibri" w:hAnsi="Calibri" w:eastAsia="宋体" w:cs="Times New Roman"/>
                <w:color w:val="auto"/>
                <w:highlight w:val="none"/>
                <w:u w:val="single"/>
              </w:rPr>
              <w:t>原国家发展计划委员会《招标代理服务费管理暂行办法》（计价格〔2002〕1980 号）“工程类”收费标准</w:t>
            </w:r>
            <w:bookmarkEnd w:id="86"/>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计取，由中标人在领取中标通知书时，一次性向招标代理机构支付。</w:t>
            </w:r>
          </w:p>
        </w:tc>
      </w:tr>
      <w:tr w14:paraId="2EAFA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80" w:hRule="atLeast"/>
          <w:jc w:val="center"/>
        </w:trPr>
        <w:tc>
          <w:tcPr>
            <w:tcW w:w="1247" w:type="dxa"/>
            <w:noWrap w:val="0"/>
            <w:vAlign w:val="center"/>
          </w:tcPr>
          <w:p w14:paraId="123A92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10.1</w:t>
            </w:r>
            <w:r>
              <w:rPr>
                <w:rFonts w:hint="eastAsia" w:ascii="Calibri" w:hAnsi="Calibri" w:eastAsia="宋体" w:cs="Times New Roman"/>
                <w:color w:val="auto"/>
                <w:highlight w:val="none"/>
                <w:lang w:val="en-US" w:eastAsia="zh-CN"/>
              </w:rPr>
              <w:t>5</w:t>
            </w:r>
            <w:r>
              <w:rPr>
                <w:rFonts w:hint="default" w:ascii="Calibri" w:hAnsi="Calibri" w:eastAsia="宋体" w:cs="Times New Roman"/>
                <w:color w:val="auto"/>
                <w:highlight w:val="none"/>
              </w:rPr>
              <w:t>.2</w:t>
            </w:r>
          </w:p>
        </w:tc>
        <w:tc>
          <w:tcPr>
            <w:tcW w:w="8083" w:type="dxa"/>
            <w:gridSpan w:val="3"/>
            <w:noWrap w:val="0"/>
            <w:vAlign w:val="center"/>
          </w:tcPr>
          <w:p w14:paraId="04E4E2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勘察单位：</w:t>
            </w: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p w14:paraId="003CB9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设计单位：</w:t>
            </w:r>
            <w:r>
              <w:rPr>
                <w:rFonts w:hint="eastAsia" w:ascii="Calibri" w:hAnsi="Calibri" w:eastAsia="宋体" w:cs="Times New Roman"/>
                <w:color w:val="auto"/>
                <w:sz w:val="21"/>
                <w:szCs w:val="21"/>
                <w:highlight w:val="none"/>
                <w:u w:val="single"/>
              </w:rPr>
              <w:t xml:space="preserve"> </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u w:val="single"/>
                <w:lang w:eastAsia="zh-CN"/>
              </w:rPr>
              <w:t>中国能源建设集团广西电力设计研究院有限公司</w:t>
            </w:r>
            <w:r>
              <w:rPr>
                <w:rFonts w:hint="default"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p>
        </w:tc>
      </w:tr>
    </w:tbl>
    <w:p w14:paraId="34E29506">
      <w:pPr>
        <w:keepNext w:val="0"/>
        <w:keepLines w:val="0"/>
        <w:pageBreakBefore w:val="0"/>
        <w:widowControl w:val="0"/>
        <w:kinsoku/>
        <w:wordWrap/>
        <w:overflowPunct/>
        <w:topLinePunct w:val="0"/>
        <w:autoSpaceDE/>
        <w:autoSpaceDN/>
        <w:bidi w:val="0"/>
        <w:adjustRightInd/>
        <w:snapToGrid/>
        <w:spacing w:line="240" w:lineRule="auto"/>
        <w:textAlignment w:val="auto"/>
        <w:rPr>
          <w:rFonts w:eastAsia="楷体_GB2312"/>
          <w:color w:val="auto"/>
          <w:highlight w:val="none"/>
        </w:rPr>
      </w:pPr>
      <w:r>
        <w:rPr>
          <w:rFonts w:hint="eastAsia" w:eastAsia="楷体_GB2312" w:cs="楷体_GB2312"/>
          <w:color w:val="auto"/>
          <w:highlight w:val="none"/>
        </w:rPr>
        <w:t>备注：</w:t>
      </w:r>
    </w:p>
    <w:p w14:paraId="5570540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eastAsia="楷体_GB2312"/>
          <w:color w:val="auto"/>
          <w:highlight w:val="none"/>
        </w:rPr>
      </w:pPr>
      <w:r>
        <w:rPr>
          <w:rFonts w:eastAsia="楷体_GB2312"/>
          <w:color w:val="auto"/>
          <w:highlight w:val="none"/>
        </w:rPr>
        <w:t xml:space="preserve">1. </w:t>
      </w:r>
      <w:r>
        <w:rPr>
          <w:rFonts w:hint="eastAsia" w:eastAsia="楷体_GB2312"/>
          <w:color w:val="auto"/>
          <w:highlight w:val="none"/>
          <w:lang w:eastAsia="zh-CN"/>
        </w:rPr>
        <w:t>“</w:t>
      </w:r>
      <w:r>
        <w:rPr>
          <w:rFonts w:hint="eastAsia" w:eastAsia="楷体_GB2312" w:cs="楷体_GB2312"/>
          <w:color w:val="auto"/>
          <w:highlight w:val="none"/>
        </w:rPr>
        <w:t>投标人须知前附表</w:t>
      </w:r>
      <w:r>
        <w:rPr>
          <w:rFonts w:hint="eastAsia" w:eastAsia="楷体_GB2312"/>
          <w:color w:val="auto"/>
          <w:highlight w:val="none"/>
          <w:lang w:eastAsia="zh-CN"/>
        </w:rPr>
        <w:t>”</w:t>
      </w:r>
      <w:r>
        <w:rPr>
          <w:rFonts w:hint="eastAsia" w:eastAsia="楷体_GB2312" w:cs="楷体_GB2312"/>
          <w:color w:val="auto"/>
          <w:highlight w:val="none"/>
        </w:rPr>
        <w:t>中的条款名称、编列内容，招标人可根据项目实际需要进行适当的增减。</w:t>
      </w:r>
    </w:p>
    <w:p w14:paraId="0FC924EA">
      <w:pPr>
        <w:keepNext w:val="0"/>
        <w:keepLines w:val="0"/>
        <w:pageBreakBefore w:val="0"/>
        <w:widowControl w:val="0"/>
        <w:tabs>
          <w:tab w:val="left" w:pos="720"/>
        </w:tabs>
        <w:kinsoku/>
        <w:wordWrap/>
        <w:overflowPunct/>
        <w:topLinePunct w:val="0"/>
        <w:autoSpaceDE/>
        <w:autoSpaceDN/>
        <w:bidi w:val="0"/>
        <w:adjustRightInd/>
        <w:snapToGrid/>
        <w:spacing w:line="240" w:lineRule="auto"/>
        <w:ind w:firstLine="420" w:firstLineChars="200"/>
        <w:textAlignment w:val="auto"/>
        <w:rPr>
          <w:rFonts w:eastAsia="楷体_GB2312"/>
          <w:color w:val="auto"/>
          <w:highlight w:val="none"/>
        </w:rPr>
      </w:pPr>
      <w:r>
        <w:rPr>
          <w:rFonts w:eastAsia="楷体_GB2312"/>
          <w:color w:val="auto"/>
          <w:highlight w:val="none"/>
        </w:rPr>
        <w:t xml:space="preserve">2. </w:t>
      </w:r>
      <w:r>
        <w:rPr>
          <w:rFonts w:hint="eastAsia" w:eastAsia="楷体_GB2312" w:cs="楷体_GB2312"/>
          <w:color w:val="auto"/>
          <w:highlight w:val="none"/>
        </w:rPr>
        <w:t>招标人如需要对</w:t>
      </w:r>
      <w:r>
        <w:rPr>
          <w:rFonts w:hint="eastAsia" w:eastAsia="楷体_GB2312"/>
          <w:color w:val="auto"/>
          <w:highlight w:val="none"/>
          <w:lang w:eastAsia="zh-CN"/>
        </w:rPr>
        <w:t>“</w:t>
      </w:r>
      <w:r>
        <w:rPr>
          <w:rFonts w:hint="eastAsia" w:eastAsia="楷体_GB2312" w:cs="楷体_GB2312"/>
          <w:color w:val="auto"/>
          <w:highlight w:val="none"/>
        </w:rPr>
        <w:t>投标人须知</w:t>
      </w:r>
      <w:r>
        <w:rPr>
          <w:rFonts w:hint="eastAsia" w:eastAsia="楷体_GB2312"/>
          <w:color w:val="auto"/>
          <w:highlight w:val="none"/>
          <w:lang w:eastAsia="zh-CN"/>
        </w:rPr>
        <w:t>”</w:t>
      </w:r>
      <w:r>
        <w:rPr>
          <w:rFonts w:hint="eastAsia" w:eastAsia="楷体_GB2312" w:cs="楷体_GB2312"/>
          <w:color w:val="auto"/>
          <w:highlight w:val="none"/>
        </w:rPr>
        <w:t>正文条款进行细化调整的，应在</w:t>
      </w:r>
      <w:r>
        <w:rPr>
          <w:rFonts w:hint="eastAsia" w:eastAsia="楷体_GB2312"/>
          <w:color w:val="auto"/>
          <w:highlight w:val="none"/>
          <w:lang w:eastAsia="zh-CN"/>
        </w:rPr>
        <w:t>“</w:t>
      </w:r>
      <w:r>
        <w:rPr>
          <w:rFonts w:hint="eastAsia" w:eastAsia="楷体_GB2312" w:cs="楷体_GB2312"/>
          <w:color w:val="auto"/>
          <w:highlight w:val="none"/>
        </w:rPr>
        <w:t>投标人须知前附表</w:t>
      </w:r>
      <w:r>
        <w:rPr>
          <w:rFonts w:hint="eastAsia" w:eastAsia="楷体_GB2312"/>
          <w:color w:val="auto"/>
          <w:highlight w:val="none"/>
          <w:lang w:eastAsia="zh-CN"/>
        </w:rPr>
        <w:t>”</w:t>
      </w:r>
      <w:r>
        <w:rPr>
          <w:rFonts w:hint="eastAsia" w:eastAsia="楷体_GB2312" w:cs="楷体_GB2312"/>
          <w:color w:val="auto"/>
          <w:highlight w:val="none"/>
        </w:rPr>
        <w:t>中进行。</w:t>
      </w:r>
    </w:p>
    <w:p w14:paraId="79383179">
      <w:pPr>
        <w:keepNext w:val="0"/>
        <w:keepLines w:val="0"/>
        <w:pageBreakBefore w:val="0"/>
        <w:widowControl w:val="0"/>
        <w:tabs>
          <w:tab w:val="left" w:pos="720"/>
        </w:tabs>
        <w:kinsoku/>
        <w:wordWrap/>
        <w:overflowPunct/>
        <w:topLinePunct w:val="0"/>
        <w:autoSpaceDE/>
        <w:autoSpaceDN/>
        <w:bidi w:val="0"/>
        <w:adjustRightInd/>
        <w:snapToGrid/>
        <w:spacing w:line="240" w:lineRule="auto"/>
        <w:ind w:firstLine="420" w:firstLineChars="200"/>
        <w:textAlignment w:val="auto"/>
        <w:rPr>
          <w:rFonts w:eastAsia="楷体_GB2312"/>
          <w:color w:val="auto"/>
          <w:highlight w:val="none"/>
          <w:u w:val="single"/>
        </w:rPr>
      </w:pPr>
      <w:r>
        <w:rPr>
          <w:rFonts w:eastAsia="楷体_GB2312"/>
          <w:color w:val="auto"/>
          <w:highlight w:val="none"/>
        </w:rPr>
        <w:t xml:space="preserve">3. </w:t>
      </w:r>
      <w:r>
        <w:rPr>
          <w:rFonts w:hint="eastAsia" w:eastAsia="楷体_GB2312" w:cs="楷体_GB2312"/>
          <w:color w:val="auto"/>
          <w:highlight w:val="none"/>
        </w:rPr>
        <w:t>招标人派出</w:t>
      </w:r>
      <w:r>
        <w:rPr>
          <w:rFonts w:hint="eastAsia" w:eastAsia="楷体_GB2312" w:cs="楷体_GB2312"/>
          <w:color w:val="auto"/>
          <w:highlight w:val="none"/>
          <w:lang w:eastAsia="zh-CN"/>
        </w:rPr>
        <w:t>代表</w:t>
      </w:r>
      <w:r>
        <w:rPr>
          <w:rFonts w:hint="eastAsia" w:eastAsia="楷体_GB2312" w:cs="楷体_GB2312"/>
          <w:color w:val="auto"/>
          <w:highlight w:val="none"/>
        </w:rPr>
        <w:t>参加评标的，须符合以下条件之一：（1）必须是本单位或其上、下级部门（公司）（提供证明）具备与评标工程技术要求相当条件和能力水平的人员出任（被主管部门暂停评标资格期间的评标专家除外），招标人需提交符合相当条件和能力承诺书，并</w:t>
      </w:r>
      <w:r>
        <w:rPr>
          <w:rFonts w:hint="eastAsia" w:eastAsia="楷体_GB2312" w:cs="楷体_GB2312"/>
          <w:color w:val="auto"/>
          <w:highlight w:val="none"/>
          <w:lang w:eastAsia="zh-CN"/>
        </w:rPr>
        <w:t>提供</w:t>
      </w:r>
      <w:r>
        <w:rPr>
          <w:rFonts w:hint="eastAsia" w:eastAsia="楷体_GB2312" w:cs="楷体_GB2312"/>
          <w:color w:val="auto"/>
          <w:highlight w:val="none"/>
        </w:rPr>
        <w:t>投标截止时间前3个月内任意1个月（投标截止时间所在月份不计）在</w:t>
      </w:r>
      <w:r>
        <w:rPr>
          <w:rFonts w:hint="eastAsia" w:eastAsia="楷体_GB2312" w:cs="楷体_GB2312"/>
          <w:color w:val="auto"/>
          <w:highlight w:val="none"/>
          <w:lang w:eastAsia="zh-CN"/>
        </w:rPr>
        <w:t>现任职单位</w:t>
      </w:r>
      <w:r>
        <w:rPr>
          <w:rFonts w:hint="eastAsia" w:eastAsia="楷体_GB2312" w:cs="楷体_GB2312"/>
          <w:color w:val="auto"/>
          <w:highlight w:val="none"/>
        </w:rPr>
        <w:t>依法缴纳社会保险证明材料或者工作编制证明文件原件扫描件等相关材料；（2）本单位无符合上述条件的人员时，可以委托持《广西壮族自治区建设工程招标投标评标专家资格证书》，同时有与项目评审内容对应专业的中级及以上职称的人员（被主管部门暂停评标资格期间的评标专家除外）出任。持证人员已退休的，应附退休证明文件原件扫描件；持证人员在职的，应附</w:t>
      </w:r>
      <w:r>
        <w:rPr>
          <w:rFonts w:hint="eastAsia" w:eastAsia="楷体_GB2312" w:cs="楷体_GB2312"/>
          <w:color w:val="auto"/>
          <w:highlight w:val="none"/>
          <w:lang w:eastAsia="zh-CN"/>
        </w:rPr>
        <w:t>现任职单位</w:t>
      </w:r>
      <w:r>
        <w:rPr>
          <w:rFonts w:hint="eastAsia" w:eastAsia="楷体_GB2312" w:cs="楷体_GB2312"/>
          <w:color w:val="auto"/>
          <w:highlight w:val="none"/>
        </w:rPr>
        <w:t>为其缴纳的投标截止时间前3个月内任意1个月（投标截止时间所在月份不计）社会保险证明材料或者工作编制证明文件原件扫描件。（3）以上扫描件应在开标前通过全国公共资源交易平台（广西壮族自治区）成功提交并审核通过。</w:t>
      </w:r>
      <w:r>
        <w:rPr>
          <w:rFonts w:hint="eastAsia" w:eastAsia="楷体_GB2312" w:cs="楷体_GB2312"/>
          <w:color w:val="auto"/>
          <w:highlight w:val="none"/>
          <w:lang w:eastAsia="zh-CN"/>
        </w:rPr>
        <w:t>（</w:t>
      </w:r>
      <w:r>
        <w:rPr>
          <w:rFonts w:hint="eastAsia" w:eastAsia="楷体_GB2312" w:cs="楷体_GB2312"/>
          <w:color w:val="auto"/>
          <w:highlight w:val="none"/>
        </w:rPr>
        <w:t>4</w:t>
      </w:r>
      <w:r>
        <w:rPr>
          <w:rFonts w:hint="eastAsia" w:eastAsia="楷体_GB2312" w:cs="楷体_GB2312"/>
          <w:color w:val="auto"/>
          <w:highlight w:val="none"/>
          <w:lang w:eastAsia="zh-CN"/>
        </w:rPr>
        <w:t>)</w:t>
      </w:r>
      <w:r>
        <w:rPr>
          <w:rFonts w:hint="eastAsia" w:eastAsia="楷体_GB2312" w:cs="楷体_GB2312"/>
          <w:color w:val="auto"/>
          <w:highlight w:val="none"/>
          <w:u w:val="single"/>
        </w:rPr>
        <w:t xml:space="preserve">     </w:t>
      </w:r>
      <w:r>
        <w:rPr>
          <w:rFonts w:hint="eastAsia" w:eastAsia="楷体_GB2312" w:cs="楷体_GB2312"/>
          <w:color w:val="auto"/>
          <w:highlight w:val="none"/>
          <w:u w:val="single"/>
          <w:lang w:val="en-US" w:eastAsia="zh-CN"/>
        </w:rPr>
        <w:t>/</w:t>
      </w:r>
      <w:r>
        <w:rPr>
          <w:rFonts w:hint="eastAsia" w:eastAsia="楷体_GB2312" w:cs="楷体_GB2312"/>
          <w:color w:val="auto"/>
          <w:highlight w:val="none"/>
          <w:u w:val="single"/>
        </w:rPr>
        <w:t xml:space="preserve">   </w:t>
      </w:r>
    </w:p>
    <w:p w14:paraId="7BE04E1C">
      <w:pPr>
        <w:pStyle w:val="3"/>
        <w:jc w:val="center"/>
        <w:rPr>
          <w:color w:val="auto"/>
          <w:highlight w:val="none"/>
        </w:rPr>
      </w:pPr>
      <w:bookmarkStart w:id="87" w:name="_Toc407135077"/>
      <w:bookmarkStart w:id="88" w:name="_Toc5349"/>
      <w:bookmarkStart w:id="89" w:name="_Toc389065144"/>
      <w:bookmarkStart w:id="90" w:name="_Toc78449621"/>
      <w:bookmarkStart w:id="91" w:name="_Toc1178315932"/>
      <w:r>
        <w:rPr>
          <w:rFonts w:hint="eastAsia" w:cs="黑体"/>
          <w:color w:val="auto"/>
          <w:highlight w:val="none"/>
        </w:rPr>
        <w:t>投标人须知正文部分</w:t>
      </w:r>
      <w:bookmarkEnd w:id="87"/>
      <w:bookmarkEnd w:id="88"/>
      <w:bookmarkEnd w:id="89"/>
      <w:bookmarkEnd w:id="90"/>
      <w:bookmarkEnd w:id="91"/>
    </w:p>
    <w:p w14:paraId="33FF91F2">
      <w:pPr>
        <w:pStyle w:val="4"/>
        <w:rPr>
          <w:color w:val="auto"/>
          <w:highlight w:val="none"/>
        </w:rPr>
      </w:pPr>
      <w:bookmarkStart w:id="92" w:name="_Toc407135078"/>
      <w:bookmarkStart w:id="93" w:name="_Toc389065145"/>
      <w:bookmarkStart w:id="94" w:name="_Toc78449622"/>
      <w:bookmarkStart w:id="95" w:name="_Toc13483"/>
      <w:bookmarkStart w:id="96" w:name="_Toc20119670"/>
      <w:r>
        <w:rPr>
          <w:color w:val="auto"/>
          <w:highlight w:val="none"/>
        </w:rPr>
        <w:t xml:space="preserve">1 </w:t>
      </w:r>
      <w:r>
        <w:rPr>
          <w:rFonts w:hint="eastAsia" w:cs="黑体"/>
          <w:color w:val="auto"/>
          <w:highlight w:val="none"/>
        </w:rPr>
        <w:t>总则</w:t>
      </w:r>
      <w:bookmarkEnd w:id="92"/>
      <w:bookmarkEnd w:id="93"/>
      <w:bookmarkEnd w:id="94"/>
      <w:bookmarkEnd w:id="95"/>
      <w:bookmarkEnd w:id="96"/>
    </w:p>
    <w:p w14:paraId="373ECAA0">
      <w:pPr>
        <w:pStyle w:val="5"/>
        <w:rPr>
          <w:color w:val="auto"/>
          <w:highlight w:val="none"/>
        </w:rPr>
      </w:pPr>
      <w:bookmarkStart w:id="97" w:name="_Toc78449623"/>
      <w:bookmarkStart w:id="98" w:name="_Toc389065146"/>
      <w:bookmarkStart w:id="99" w:name="_Toc9107"/>
      <w:bookmarkStart w:id="100" w:name="_Toc407135079"/>
      <w:bookmarkStart w:id="101" w:name="_Toc1679181711"/>
      <w:r>
        <w:rPr>
          <w:color w:val="auto"/>
          <w:highlight w:val="none"/>
        </w:rPr>
        <w:t xml:space="preserve">1.1 </w:t>
      </w:r>
      <w:r>
        <w:rPr>
          <w:rFonts w:hint="eastAsia" w:cs="黑体"/>
          <w:color w:val="auto"/>
          <w:highlight w:val="none"/>
        </w:rPr>
        <w:t>项目概况</w:t>
      </w:r>
      <w:bookmarkEnd w:id="97"/>
      <w:bookmarkEnd w:id="98"/>
      <w:bookmarkEnd w:id="99"/>
      <w:bookmarkEnd w:id="100"/>
      <w:bookmarkEnd w:id="101"/>
    </w:p>
    <w:p w14:paraId="311B602D">
      <w:pPr>
        <w:spacing w:line="360" w:lineRule="auto"/>
        <w:ind w:firstLine="420" w:firstLineChars="200"/>
        <w:rPr>
          <w:color w:val="auto"/>
          <w:highlight w:val="none"/>
        </w:rPr>
      </w:pPr>
      <w:r>
        <w:rPr>
          <w:color w:val="auto"/>
          <w:highlight w:val="none"/>
        </w:rPr>
        <w:t xml:space="preserve">1.1.1 </w:t>
      </w:r>
      <w:r>
        <w:rPr>
          <w:rFonts w:hint="eastAsia" w:cs="宋体"/>
          <w:color w:val="auto"/>
          <w:highlight w:val="none"/>
        </w:rPr>
        <w:t>根据《中华人民共和国招标投标法》等有关</w:t>
      </w:r>
      <w:r>
        <w:rPr>
          <w:rFonts w:hint="eastAsia" w:cs="宋体"/>
          <w:color w:val="auto"/>
          <w:highlight w:val="none"/>
          <w:lang w:eastAsia="zh-CN"/>
        </w:rPr>
        <w:t>法律法规</w:t>
      </w:r>
      <w:r>
        <w:rPr>
          <w:rFonts w:hint="eastAsia" w:cs="宋体"/>
          <w:color w:val="auto"/>
          <w:highlight w:val="none"/>
        </w:rPr>
        <w:t>和规章的规定，本招标项目已具备招标条件，现对本标段施工进行招标。</w:t>
      </w:r>
    </w:p>
    <w:p w14:paraId="5B0B5A4A">
      <w:pPr>
        <w:spacing w:line="360" w:lineRule="auto"/>
        <w:ind w:firstLine="420" w:firstLineChars="200"/>
        <w:rPr>
          <w:color w:val="auto"/>
          <w:highlight w:val="none"/>
        </w:rPr>
      </w:pPr>
      <w:r>
        <w:rPr>
          <w:color w:val="auto"/>
          <w:highlight w:val="none"/>
        </w:rPr>
        <w:t xml:space="preserve">1.1.2 </w:t>
      </w:r>
      <w:r>
        <w:rPr>
          <w:rFonts w:hint="eastAsia" w:cs="宋体"/>
          <w:color w:val="auto"/>
          <w:highlight w:val="none"/>
        </w:rPr>
        <w:t>本招标项目招标人：见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25003B51">
      <w:pPr>
        <w:spacing w:line="360" w:lineRule="auto"/>
        <w:ind w:firstLine="420" w:firstLineChars="200"/>
        <w:rPr>
          <w:color w:val="auto"/>
          <w:highlight w:val="none"/>
        </w:rPr>
      </w:pPr>
      <w:r>
        <w:rPr>
          <w:color w:val="auto"/>
          <w:highlight w:val="none"/>
        </w:rPr>
        <w:t xml:space="preserve">1.1.3 </w:t>
      </w:r>
      <w:r>
        <w:rPr>
          <w:rFonts w:hint="eastAsia" w:cs="宋体"/>
          <w:color w:val="auto"/>
          <w:highlight w:val="none"/>
        </w:rPr>
        <w:t>本标段招标代理机构：见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35F43505">
      <w:pPr>
        <w:spacing w:line="360" w:lineRule="auto"/>
        <w:ind w:firstLine="420" w:firstLineChars="200"/>
        <w:rPr>
          <w:color w:val="auto"/>
          <w:highlight w:val="none"/>
        </w:rPr>
      </w:pPr>
      <w:r>
        <w:rPr>
          <w:color w:val="auto"/>
          <w:highlight w:val="none"/>
        </w:rPr>
        <w:t xml:space="preserve">1.1.4 </w:t>
      </w:r>
      <w:r>
        <w:rPr>
          <w:rFonts w:hint="eastAsia" w:cs="宋体"/>
          <w:color w:val="auto"/>
          <w:highlight w:val="none"/>
        </w:rPr>
        <w:t>本招标项目名称及</w:t>
      </w:r>
      <w:r>
        <w:rPr>
          <w:rFonts w:hint="eastAsia" w:cs="宋体"/>
          <w:color w:val="auto"/>
          <w:highlight w:val="none"/>
          <w:lang w:eastAsia="zh-CN"/>
        </w:rPr>
        <w:t>招标项目编号</w:t>
      </w:r>
      <w:r>
        <w:rPr>
          <w:rFonts w:hint="eastAsia" w:cs="宋体"/>
          <w:color w:val="auto"/>
          <w:highlight w:val="none"/>
        </w:rPr>
        <w:t>：见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5AB34C5B">
      <w:pPr>
        <w:spacing w:line="360" w:lineRule="auto"/>
        <w:ind w:firstLine="420" w:firstLineChars="200"/>
        <w:rPr>
          <w:color w:val="auto"/>
          <w:highlight w:val="none"/>
        </w:rPr>
      </w:pPr>
      <w:r>
        <w:rPr>
          <w:color w:val="auto"/>
          <w:highlight w:val="none"/>
        </w:rPr>
        <w:t xml:space="preserve">1.1.5 </w:t>
      </w:r>
      <w:r>
        <w:rPr>
          <w:rFonts w:hint="eastAsia" w:cs="宋体"/>
          <w:color w:val="auto"/>
          <w:highlight w:val="none"/>
        </w:rPr>
        <w:t>本标段建设地点：见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52365D2F">
      <w:pPr>
        <w:pStyle w:val="5"/>
        <w:rPr>
          <w:color w:val="auto"/>
          <w:highlight w:val="none"/>
        </w:rPr>
      </w:pPr>
      <w:bookmarkStart w:id="102" w:name="_Toc407135080"/>
      <w:bookmarkStart w:id="103" w:name="_Toc389065147"/>
      <w:bookmarkStart w:id="104" w:name="_Toc78449624"/>
      <w:bookmarkStart w:id="105" w:name="_Toc664574515"/>
      <w:bookmarkStart w:id="106" w:name="_Toc25565"/>
      <w:r>
        <w:rPr>
          <w:color w:val="auto"/>
          <w:highlight w:val="none"/>
        </w:rPr>
        <w:t xml:space="preserve">1.2 </w:t>
      </w:r>
      <w:bookmarkEnd w:id="102"/>
      <w:r>
        <w:rPr>
          <w:rFonts w:hint="eastAsia" w:cs="黑体"/>
          <w:color w:val="auto"/>
          <w:highlight w:val="none"/>
        </w:rPr>
        <w:t>资金来源和落实情况</w:t>
      </w:r>
      <w:bookmarkEnd w:id="103"/>
      <w:bookmarkEnd w:id="104"/>
      <w:bookmarkEnd w:id="105"/>
      <w:bookmarkEnd w:id="106"/>
    </w:p>
    <w:p w14:paraId="7C246320">
      <w:pPr>
        <w:spacing w:line="360" w:lineRule="auto"/>
        <w:ind w:firstLine="420" w:firstLineChars="200"/>
        <w:rPr>
          <w:color w:val="auto"/>
          <w:highlight w:val="none"/>
        </w:rPr>
      </w:pPr>
      <w:r>
        <w:rPr>
          <w:color w:val="auto"/>
          <w:highlight w:val="none"/>
        </w:rPr>
        <w:t xml:space="preserve">1.2.1 </w:t>
      </w:r>
      <w:r>
        <w:rPr>
          <w:rFonts w:hint="eastAsia" w:cs="宋体"/>
          <w:color w:val="auto"/>
          <w:highlight w:val="none"/>
        </w:rPr>
        <w:t>本招标项目的资金来源：见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70FD36E4">
      <w:pPr>
        <w:spacing w:line="360" w:lineRule="auto"/>
        <w:ind w:firstLine="420" w:firstLineChars="200"/>
        <w:rPr>
          <w:color w:val="auto"/>
          <w:highlight w:val="none"/>
        </w:rPr>
      </w:pPr>
      <w:r>
        <w:rPr>
          <w:color w:val="auto"/>
          <w:highlight w:val="none"/>
        </w:rPr>
        <w:t xml:space="preserve">1.2.2 </w:t>
      </w:r>
      <w:r>
        <w:rPr>
          <w:rFonts w:hint="eastAsia" w:cs="宋体"/>
          <w:color w:val="auto"/>
          <w:highlight w:val="none"/>
        </w:rPr>
        <w:t>本招标项目的出资比例：见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63A2723B">
      <w:pPr>
        <w:spacing w:line="360" w:lineRule="auto"/>
        <w:ind w:firstLine="420" w:firstLineChars="200"/>
        <w:rPr>
          <w:rFonts w:hint="eastAsia" w:cs="宋体"/>
          <w:color w:val="auto"/>
          <w:highlight w:val="none"/>
        </w:rPr>
      </w:pPr>
      <w:r>
        <w:rPr>
          <w:color w:val="auto"/>
          <w:highlight w:val="none"/>
        </w:rPr>
        <w:t xml:space="preserve">1.2.3 </w:t>
      </w:r>
      <w:r>
        <w:rPr>
          <w:rFonts w:hint="eastAsia" w:cs="宋体"/>
          <w:color w:val="auto"/>
          <w:highlight w:val="none"/>
        </w:rPr>
        <w:t>本招标项目的资金落实情况：见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5473885C">
      <w:pPr>
        <w:pStyle w:val="5"/>
        <w:rPr>
          <w:color w:val="auto"/>
          <w:highlight w:val="none"/>
        </w:rPr>
      </w:pPr>
      <w:bookmarkStart w:id="107" w:name="_Toc780160916"/>
      <w:bookmarkStart w:id="108" w:name="_Toc407135081"/>
      <w:bookmarkStart w:id="109" w:name="_Toc389065148"/>
      <w:bookmarkStart w:id="110" w:name="_Toc21740"/>
      <w:bookmarkStart w:id="111" w:name="_Toc78449625"/>
      <w:r>
        <w:rPr>
          <w:color w:val="auto"/>
          <w:highlight w:val="none"/>
        </w:rPr>
        <w:t xml:space="preserve">1.3 </w:t>
      </w:r>
      <w:r>
        <w:rPr>
          <w:rFonts w:hint="eastAsia" w:cs="黑体"/>
          <w:color w:val="auto"/>
          <w:highlight w:val="none"/>
        </w:rPr>
        <w:t>招标范围、计划工期和质量要求</w:t>
      </w:r>
      <w:bookmarkEnd w:id="107"/>
      <w:bookmarkEnd w:id="108"/>
      <w:bookmarkEnd w:id="109"/>
      <w:bookmarkEnd w:id="110"/>
      <w:bookmarkEnd w:id="111"/>
    </w:p>
    <w:p w14:paraId="166F6CAC">
      <w:pPr>
        <w:spacing w:line="360" w:lineRule="auto"/>
        <w:ind w:firstLine="420" w:firstLineChars="200"/>
        <w:rPr>
          <w:color w:val="auto"/>
          <w:highlight w:val="none"/>
        </w:rPr>
      </w:pPr>
      <w:r>
        <w:rPr>
          <w:color w:val="auto"/>
          <w:highlight w:val="none"/>
        </w:rPr>
        <w:t xml:space="preserve">1.3.1 </w:t>
      </w:r>
      <w:r>
        <w:rPr>
          <w:rFonts w:hint="eastAsia" w:cs="宋体"/>
          <w:color w:val="auto"/>
          <w:highlight w:val="none"/>
        </w:rPr>
        <w:t>本次招标范围：见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1235E718">
      <w:pPr>
        <w:spacing w:line="360" w:lineRule="auto"/>
        <w:ind w:firstLine="420" w:firstLineChars="200"/>
        <w:rPr>
          <w:color w:val="auto"/>
          <w:highlight w:val="none"/>
        </w:rPr>
      </w:pPr>
      <w:r>
        <w:rPr>
          <w:color w:val="auto"/>
          <w:highlight w:val="none"/>
        </w:rPr>
        <w:t xml:space="preserve">1.3.2 </w:t>
      </w:r>
      <w:r>
        <w:rPr>
          <w:rFonts w:hint="eastAsia" w:cs="宋体"/>
          <w:color w:val="auto"/>
          <w:highlight w:val="none"/>
        </w:rPr>
        <w:t>本标段的要求工期：见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6ED66BE2">
      <w:pPr>
        <w:spacing w:line="360" w:lineRule="auto"/>
        <w:ind w:firstLine="420" w:firstLineChars="200"/>
        <w:rPr>
          <w:color w:val="auto"/>
          <w:highlight w:val="none"/>
        </w:rPr>
      </w:pPr>
      <w:r>
        <w:rPr>
          <w:color w:val="auto"/>
          <w:highlight w:val="none"/>
        </w:rPr>
        <w:t xml:space="preserve">1.3.3 </w:t>
      </w:r>
      <w:r>
        <w:rPr>
          <w:rFonts w:hint="eastAsia" w:cs="宋体"/>
          <w:color w:val="auto"/>
          <w:highlight w:val="none"/>
        </w:rPr>
        <w:t>本标段的质量要求：见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58F8B930">
      <w:pPr>
        <w:pStyle w:val="5"/>
        <w:rPr>
          <w:color w:val="auto"/>
          <w:highlight w:val="none"/>
        </w:rPr>
      </w:pPr>
      <w:bookmarkStart w:id="112" w:name="_Toc8492"/>
      <w:bookmarkStart w:id="113" w:name="_Toc389065149"/>
      <w:bookmarkStart w:id="114" w:name="_Toc78449626"/>
      <w:bookmarkStart w:id="115" w:name="_Toc1050665652"/>
      <w:bookmarkStart w:id="116" w:name="_Toc407135082"/>
      <w:r>
        <w:rPr>
          <w:color w:val="auto"/>
          <w:highlight w:val="none"/>
        </w:rPr>
        <w:t xml:space="preserve">1.4 </w:t>
      </w:r>
      <w:r>
        <w:rPr>
          <w:rFonts w:hint="eastAsia" w:cs="黑体"/>
          <w:color w:val="auto"/>
          <w:highlight w:val="none"/>
        </w:rPr>
        <w:t>投标人资格要求</w:t>
      </w:r>
      <w:bookmarkEnd w:id="112"/>
      <w:bookmarkEnd w:id="113"/>
      <w:bookmarkEnd w:id="114"/>
      <w:bookmarkEnd w:id="115"/>
      <w:bookmarkEnd w:id="116"/>
    </w:p>
    <w:p w14:paraId="5C35BD37">
      <w:pPr>
        <w:spacing w:line="360" w:lineRule="auto"/>
        <w:ind w:firstLine="420" w:firstLineChars="200"/>
        <w:rPr>
          <w:color w:val="auto"/>
          <w:highlight w:val="none"/>
        </w:rPr>
      </w:pPr>
      <w:r>
        <w:rPr>
          <w:color w:val="auto"/>
          <w:highlight w:val="none"/>
        </w:rPr>
        <w:t xml:space="preserve">1.4.1 </w:t>
      </w:r>
      <w:r>
        <w:rPr>
          <w:rFonts w:hint="eastAsia" w:cs="宋体"/>
          <w:color w:val="auto"/>
          <w:highlight w:val="none"/>
        </w:rPr>
        <w:t>投标人应具备承担本项目施工的资质条件、能力、诚信等要求。</w:t>
      </w:r>
    </w:p>
    <w:p w14:paraId="069A395F">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）资质条件：见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5C231A52">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）财务要求：见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0745EBB8">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）业绩要求：见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0A676303">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）诚信要求：见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4000282B">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）项目经理资格：见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3E869F5D">
      <w:pPr>
        <w:spacing w:line="360" w:lineRule="auto"/>
        <w:ind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）专职安全生产管理人员要求：见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08B26C1D">
      <w:pPr>
        <w:spacing w:line="360" w:lineRule="auto"/>
        <w:ind w:firstLine="420" w:firstLineChars="200"/>
        <w:rPr>
          <w:color w:val="auto"/>
          <w:highlight w:val="none"/>
        </w:rPr>
      </w:pPr>
      <w:r>
        <w:rPr>
          <w:rFonts w:hint="eastAsia" w:cs="宋体"/>
          <w:color w:val="auto"/>
          <w:highlight w:val="none"/>
        </w:rPr>
        <w:t>（</w:t>
      </w:r>
      <w:r>
        <w:rPr>
          <w:color w:val="auto"/>
          <w:highlight w:val="none"/>
        </w:rPr>
        <w:t>7</w:t>
      </w:r>
      <w:r>
        <w:rPr>
          <w:rFonts w:hint="eastAsia" w:cs="宋体"/>
          <w:color w:val="auto"/>
          <w:highlight w:val="none"/>
        </w:rPr>
        <w:t>）其他要求：见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0A531069">
      <w:pPr>
        <w:spacing w:line="360" w:lineRule="auto"/>
        <w:ind w:firstLine="420" w:firstLineChars="200"/>
        <w:rPr>
          <w:color w:val="auto"/>
          <w:highlight w:val="none"/>
        </w:rPr>
      </w:pPr>
      <w:r>
        <w:rPr>
          <w:color w:val="auto"/>
          <w:highlight w:val="none"/>
        </w:rPr>
        <w:t xml:space="preserve">1.4.2 </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规定接受联合体投标的，除应符合本章第</w:t>
      </w:r>
      <w:r>
        <w:rPr>
          <w:color w:val="auto"/>
          <w:highlight w:val="none"/>
        </w:rPr>
        <w:t>1.4.1</w:t>
      </w:r>
      <w:r>
        <w:rPr>
          <w:rFonts w:hint="eastAsia" w:cs="宋体"/>
          <w:color w:val="auto"/>
          <w:highlight w:val="none"/>
        </w:rPr>
        <w:t>项和</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的要求外，还应遵守以下规定：</w:t>
      </w:r>
    </w:p>
    <w:p w14:paraId="7C462A58">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）联合体各方应按招标文件提供的格式签订联合体协议书，明确联合体牵头人和各方权利义务</w:t>
      </w:r>
      <w:r>
        <w:rPr>
          <w:rFonts w:hint="eastAsia" w:cs="宋体"/>
          <w:color w:val="auto"/>
          <w:highlight w:val="none"/>
          <w:lang w:eastAsia="zh-CN"/>
        </w:rPr>
        <w:t>，</w:t>
      </w:r>
      <w:r>
        <w:rPr>
          <w:rFonts w:hint="eastAsia"/>
          <w:color w:val="auto"/>
          <w:highlight w:val="none"/>
        </w:rPr>
        <w:t>其中联合体牵头人代表联合体各方成员负责投标和合同实施阶段的主办、协调工作，但联合体其他成员在投标、签约与履行合同过程中，负有连带的和各自的法律责任</w:t>
      </w:r>
      <w:r>
        <w:rPr>
          <w:rFonts w:hint="eastAsia" w:cs="宋体"/>
          <w:color w:val="auto"/>
          <w:highlight w:val="none"/>
        </w:rPr>
        <w:t>；</w:t>
      </w:r>
    </w:p>
    <w:p w14:paraId="78717F5A">
      <w:pPr>
        <w:spacing w:line="360" w:lineRule="auto"/>
        <w:ind w:firstLine="420" w:firstLineChars="200"/>
        <w:rPr>
          <w:rFonts w:hint="eastAsia" w:cs="宋体"/>
          <w:color w:val="auto"/>
          <w:highlight w:val="none"/>
        </w:rPr>
      </w:pPr>
      <w:r>
        <w:rPr>
          <w:rFonts w:hint="eastAsia" w:cs="宋体"/>
          <w:color w:val="auto"/>
          <w:highlight w:val="none"/>
        </w:rPr>
        <w:t>（</w:t>
      </w:r>
      <w:r>
        <w:rPr>
          <w:color w:val="auto"/>
          <w:highlight w:val="none"/>
        </w:rPr>
        <w:t>2</w:t>
      </w:r>
      <w:r>
        <w:rPr>
          <w:rFonts w:hint="eastAsia" w:cs="宋体"/>
          <w:color w:val="auto"/>
          <w:highlight w:val="none"/>
        </w:rPr>
        <w:t>）联合体各方不得再以自己名义单独或参加其他联合体在同一标段中投标。</w:t>
      </w:r>
    </w:p>
    <w:p w14:paraId="150AABB8">
      <w:pPr>
        <w:spacing w:line="360" w:lineRule="auto"/>
        <w:ind w:firstLine="420" w:firstLineChars="200"/>
        <w:rPr>
          <w:color w:val="auto"/>
          <w:highlight w:val="none"/>
        </w:rPr>
      </w:pPr>
      <w:r>
        <w:rPr>
          <w:color w:val="auto"/>
          <w:highlight w:val="none"/>
        </w:rPr>
        <w:t xml:space="preserve">1.4.3 </w:t>
      </w:r>
      <w:r>
        <w:rPr>
          <w:rFonts w:hint="eastAsia" w:cs="宋体"/>
          <w:color w:val="auto"/>
          <w:highlight w:val="none"/>
        </w:rPr>
        <w:t>投标人不得存在下列情形之一：</w:t>
      </w:r>
    </w:p>
    <w:p w14:paraId="7F58334C">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）与招标人存在利害关系可能影响招标公正性的法人、其他组织；</w:t>
      </w:r>
    </w:p>
    <w:p w14:paraId="38067AD6">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）为本标段前期准备提供设计或咨询服务的，但设计施工总承包的除外；</w:t>
      </w:r>
    </w:p>
    <w:p w14:paraId="67DB2A64">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）为本标段的监理人；</w:t>
      </w:r>
    </w:p>
    <w:p w14:paraId="78608B61">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）为本标段的代建人；</w:t>
      </w:r>
    </w:p>
    <w:p w14:paraId="7EEB91C9">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）为本标段提供招标代理服务的；</w:t>
      </w:r>
    </w:p>
    <w:p w14:paraId="6DCD6731">
      <w:pPr>
        <w:spacing w:line="360" w:lineRule="auto"/>
        <w:ind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）与本标段的监理人或代建人或招标代理机构同为一个法定代表人的；</w:t>
      </w:r>
    </w:p>
    <w:p w14:paraId="1390AEBD">
      <w:pPr>
        <w:spacing w:line="360" w:lineRule="auto"/>
        <w:ind w:firstLine="420" w:firstLineChars="200"/>
        <w:rPr>
          <w:color w:val="auto"/>
          <w:highlight w:val="none"/>
        </w:rPr>
      </w:pPr>
      <w:r>
        <w:rPr>
          <w:rFonts w:hint="eastAsia" w:cs="宋体"/>
          <w:color w:val="auto"/>
          <w:highlight w:val="none"/>
        </w:rPr>
        <w:t>（</w:t>
      </w:r>
      <w:r>
        <w:rPr>
          <w:color w:val="auto"/>
          <w:highlight w:val="none"/>
        </w:rPr>
        <w:t>7</w:t>
      </w:r>
      <w:r>
        <w:rPr>
          <w:rFonts w:hint="eastAsia" w:cs="宋体"/>
          <w:color w:val="auto"/>
          <w:highlight w:val="none"/>
        </w:rPr>
        <w:t>）与本标段的监理人或代建人或招标代理机构相互控股或参股的；</w:t>
      </w:r>
    </w:p>
    <w:p w14:paraId="2FE27EC4">
      <w:pPr>
        <w:spacing w:line="360" w:lineRule="auto"/>
        <w:ind w:firstLine="420" w:firstLineChars="200"/>
        <w:rPr>
          <w:color w:val="auto"/>
          <w:highlight w:val="none"/>
        </w:rPr>
      </w:pPr>
      <w:r>
        <w:rPr>
          <w:rFonts w:hint="eastAsia" w:cs="宋体"/>
          <w:color w:val="auto"/>
          <w:highlight w:val="none"/>
        </w:rPr>
        <w:t>（</w:t>
      </w:r>
      <w:r>
        <w:rPr>
          <w:color w:val="auto"/>
          <w:highlight w:val="none"/>
        </w:rPr>
        <w:t>8</w:t>
      </w:r>
      <w:r>
        <w:rPr>
          <w:rFonts w:hint="eastAsia" w:cs="宋体"/>
          <w:color w:val="auto"/>
          <w:highlight w:val="none"/>
        </w:rPr>
        <w:t>）与本标段的监理人或代建人或招标代理机构相互任职或工作的；</w:t>
      </w:r>
    </w:p>
    <w:p w14:paraId="0F9F6ECA">
      <w:pPr>
        <w:spacing w:line="360" w:lineRule="auto"/>
        <w:ind w:firstLine="420" w:firstLineChars="200"/>
        <w:rPr>
          <w:color w:val="auto"/>
          <w:highlight w:val="none"/>
        </w:rPr>
      </w:pPr>
      <w:r>
        <w:rPr>
          <w:rFonts w:hint="eastAsia" w:cs="宋体"/>
          <w:color w:val="auto"/>
          <w:highlight w:val="none"/>
        </w:rPr>
        <w:t>（9）</w:t>
      </w:r>
      <w:r>
        <w:rPr>
          <w:rFonts w:hint="eastAsia"/>
          <w:color w:val="auto"/>
          <w:highlight w:val="none"/>
        </w:rPr>
        <w:t>吊销</w:t>
      </w:r>
      <w:r>
        <w:rPr>
          <w:color w:val="auto"/>
          <w:highlight w:val="none"/>
        </w:rPr>
        <w:t>或暂扣营业执照、安全生产</w:t>
      </w:r>
      <w:r>
        <w:rPr>
          <w:rFonts w:hint="eastAsia"/>
          <w:color w:val="auto"/>
          <w:highlight w:val="none"/>
        </w:rPr>
        <w:t>许可</w:t>
      </w:r>
      <w:r>
        <w:rPr>
          <w:color w:val="auto"/>
          <w:highlight w:val="none"/>
        </w:rPr>
        <w:t>证期间</w:t>
      </w:r>
      <w:r>
        <w:rPr>
          <w:rFonts w:hint="eastAsia"/>
          <w:color w:val="auto"/>
          <w:highlight w:val="none"/>
        </w:rPr>
        <w:t>；</w:t>
      </w:r>
    </w:p>
    <w:p w14:paraId="264904D8">
      <w:pPr>
        <w:spacing w:line="360" w:lineRule="auto"/>
        <w:ind w:firstLine="420" w:firstLineChars="200"/>
        <w:rPr>
          <w:color w:val="auto"/>
          <w:highlight w:val="none"/>
        </w:rPr>
      </w:pPr>
      <w:r>
        <w:rPr>
          <w:rFonts w:hint="eastAsia" w:cs="宋体"/>
          <w:color w:val="auto"/>
          <w:highlight w:val="none"/>
        </w:rPr>
        <w:t>（</w:t>
      </w:r>
      <w:r>
        <w:rPr>
          <w:color w:val="auto"/>
          <w:highlight w:val="none"/>
        </w:rPr>
        <w:t>10</w:t>
      </w:r>
      <w:r>
        <w:rPr>
          <w:rFonts w:hint="eastAsia" w:cs="宋体"/>
          <w:color w:val="auto"/>
          <w:highlight w:val="none"/>
        </w:rPr>
        <w:t>）在本行政区域被暂停或取消投标资格的；</w:t>
      </w:r>
    </w:p>
    <w:p w14:paraId="2DF7FD32">
      <w:pPr>
        <w:spacing w:line="360" w:lineRule="auto"/>
        <w:ind w:firstLine="420" w:firstLineChars="200"/>
        <w:rPr>
          <w:color w:val="auto"/>
          <w:highlight w:val="none"/>
        </w:rPr>
      </w:pPr>
      <w:r>
        <w:rPr>
          <w:rFonts w:hint="eastAsia" w:cs="宋体"/>
          <w:color w:val="auto"/>
          <w:highlight w:val="none"/>
        </w:rPr>
        <w:t>（</w:t>
      </w:r>
      <w:r>
        <w:rPr>
          <w:color w:val="auto"/>
          <w:highlight w:val="none"/>
        </w:rPr>
        <w:t>11</w:t>
      </w:r>
      <w:r>
        <w:rPr>
          <w:rFonts w:hint="eastAsia" w:cs="宋体"/>
          <w:color w:val="auto"/>
          <w:highlight w:val="none"/>
        </w:rPr>
        <w:t>）财产被接管或基本账户被冻结的；</w:t>
      </w:r>
    </w:p>
    <w:p w14:paraId="3470F547">
      <w:pPr>
        <w:spacing w:line="360" w:lineRule="auto"/>
        <w:ind w:firstLine="420" w:firstLineChars="200"/>
        <w:rPr>
          <w:rFonts w:hint="eastAsia" w:cs="宋体"/>
          <w:color w:val="auto"/>
          <w:highlight w:val="none"/>
        </w:rPr>
      </w:pPr>
      <w:r>
        <w:rPr>
          <w:rFonts w:hint="eastAsia" w:cs="宋体"/>
          <w:color w:val="auto"/>
          <w:highlight w:val="none"/>
        </w:rPr>
        <w:t>（</w:t>
      </w:r>
      <w:r>
        <w:rPr>
          <w:color w:val="auto"/>
          <w:highlight w:val="none"/>
        </w:rPr>
        <w:t>12</w:t>
      </w:r>
      <w:r>
        <w:rPr>
          <w:rFonts w:hint="eastAsia" w:cs="宋体"/>
          <w:color w:val="auto"/>
          <w:highlight w:val="none"/>
        </w:rPr>
        <w:t>）有骗取中标或严重违约或工程质量安全问题，在本行政区域正处在停业整顿或暂停投标期间的；</w:t>
      </w:r>
    </w:p>
    <w:p w14:paraId="4CFFA37B">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13</w:t>
      </w:r>
      <w:r>
        <w:rPr>
          <w:rFonts w:hint="eastAsia" w:cs="宋体"/>
          <w:color w:val="auto"/>
          <w:highlight w:val="none"/>
        </w:rPr>
        <w:t>）被责令停业的。</w:t>
      </w:r>
    </w:p>
    <w:p w14:paraId="3F58E1C5">
      <w:pPr>
        <w:spacing w:line="360" w:lineRule="auto"/>
        <w:ind w:firstLine="420" w:firstLineChars="200"/>
        <w:rPr>
          <w:rFonts w:hint="eastAsia" w:cs="宋体"/>
          <w:color w:val="auto"/>
          <w:highlight w:val="none"/>
        </w:rPr>
      </w:pPr>
      <w:r>
        <w:rPr>
          <w:rFonts w:hint="eastAsia" w:cs="宋体"/>
          <w:color w:val="auto"/>
          <w:highlight w:val="none"/>
        </w:rPr>
        <w:t>（14）投标人（如为联合体时，联合体中有一个或一个以上成员属于失信被执行人的，联合体视为失信被执行人）、拟派项目经理</w:t>
      </w:r>
      <w:r>
        <w:rPr>
          <w:rFonts w:hint="eastAsia" w:cs="宋体"/>
          <w:color w:val="auto"/>
          <w:highlight w:val="none"/>
          <w:lang w:eastAsia="zh-CN"/>
        </w:rPr>
        <w:t>被</w:t>
      </w:r>
      <w:r>
        <w:rPr>
          <w:rFonts w:hint="eastAsia" w:cs="宋体"/>
          <w:color w:val="auto"/>
          <w:highlight w:val="none"/>
        </w:rPr>
        <w:t>列入失信被执行人名单（以评标阶段通过</w:t>
      </w:r>
      <w:r>
        <w:rPr>
          <w:rFonts w:hint="eastAsia" w:cs="宋体"/>
          <w:color w:val="auto"/>
          <w:highlight w:val="none"/>
          <w:lang w:eastAsia="zh-CN"/>
        </w:rPr>
        <w:t>“</w:t>
      </w:r>
      <w:r>
        <w:rPr>
          <w:rFonts w:hint="eastAsia" w:cs="宋体"/>
          <w:color w:val="auto"/>
          <w:highlight w:val="none"/>
        </w:rPr>
        <w:t>中国执行信息公开网</w:t>
      </w:r>
      <w:r>
        <w:rPr>
          <w:rFonts w:hint="eastAsia" w:cs="宋体"/>
          <w:color w:val="auto"/>
          <w:highlight w:val="none"/>
          <w:lang w:eastAsia="zh-CN"/>
        </w:rPr>
        <w:t>”</w:t>
      </w:r>
      <w:r>
        <w:rPr>
          <w:rFonts w:hint="eastAsia" w:cs="宋体"/>
          <w:color w:val="auto"/>
          <w:highlight w:val="none"/>
        </w:rPr>
        <w:t>（https://zxgk.court.gov.cn/shixin/）查询的结果为准）。</w:t>
      </w:r>
    </w:p>
    <w:p w14:paraId="16ED9BA0">
      <w:pPr>
        <w:spacing w:line="360" w:lineRule="auto"/>
        <w:ind w:firstLine="420" w:firstLineChars="200"/>
        <w:rPr>
          <w:rFonts w:hint="eastAsia" w:eastAsia="宋体" w:cs="宋体"/>
          <w:color w:val="auto"/>
          <w:highlight w:val="none"/>
          <w:lang w:eastAsia="zh-CN"/>
        </w:rPr>
      </w:pPr>
      <w:r>
        <w:rPr>
          <w:rFonts w:hint="eastAsia" w:cs="宋体"/>
          <w:color w:val="auto"/>
          <w:highlight w:val="none"/>
        </w:rPr>
        <w:t>（15）投标人（如为联合体时，联合体中任一个成员）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w:t>
      </w:r>
    </w:p>
    <w:p w14:paraId="3819031D">
      <w:pPr>
        <w:spacing w:line="360" w:lineRule="auto"/>
        <w:ind w:firstLine="420" w:firstLineChars="200"/>
        <w:rPr>
          <w:rFonts w:hint="eastAsia" w:cs="宋体"/>
          <w:color w:val="auto"/>
          <w:highlight w:val="none"/>
        </w:rPr>
      </w:pPr>
      <w:r>
        <w:rPr>
          <w:rFonts w:hint="eastAsia" w:cs="宋体"/>
          <w:color w:val="auto"/>
          <w:highlight w:val="none"/>
        </w:rPr>
        <w:t>（16）投标人（如为联合体时，联合体中任一个成员）、拟派项目经理被列为企业或个人诚信不良</w:t>
      </w:r>
      <w:r>
        <w:rPr>
          <w:rFonts w:hint="default" w:cs="宋体"/>
          <w:color w:val="auto"/>
          <w:highlight w:val="none"/>
          <w:lang w:val="en-US"/>
        </w:rPr>
        <w:t>、黑名单</w:t>
      </w:r>
      <w:r>
        <w:rPr>
          <w:rFonts w:hint="eastAsia" w:cs="宋体"/>
          <w:color w:val="auto"/>
          <w:highlight w:val="none"/>
        </w:rPr>
        <w:t>、失信联合惩戒的（在评标阶段通过全国建筑市场监管公共服务平台（http://jzsc.mohurd.gov.cn/home）查询）；</w:t>
      </w:r>
    </w:p>
    <w:p w14:paraId="7B0FBDBD">
      <w:pPr>
        <w:spacing w:line="360" w:lineRule="auto"/>
        <w:ind w:firstLine="420" w:firstLineChars="200"/>
        <w:rPr>
          <w:rFonts w:hint="eastAsia" w:cs="宋体"/>
          <w:color w:val="auto"/>
          <w:highlight w:val="none"/>
        </w:rPr>
      </w:pPr>
      <w:r>
        <w:rPr>
          <w:rFonts w:hint="eastAsia" w:cs="宋体"/>
          <w:color w:val="auto"/>
          <w:highlight w:val="none"/>
        </w:rPr>
        <w:t>（1</w:t>
      </w:r>
      <w:r>
        <w:rPr>
          <w:rFonts w:hint="eastAsia" w:cs="宋体"/>
          <w:color w:val="auto"/>
          <w:highlight w:val="none"/>
          <w:lang w:val="en-US" w:eastAsia="zh-CN"/>
        </w:rPr>
        <w:t>7</w:t>
      </w:r>
      <w:r>
        <w:rPr>
          <w:rFonts w:hint="eastAsia" w:cs="宋体"/>
          <w:color w:val="auto"/>
          <w:highlight w:val="none"/>
        </w:rPr>
        <w:t>）在近三年内投标人或其法定代表人有行贿犯罪行为的（以评标阶段通过</w:t>
      </w:r>
      <w:r>
        <w:rPr>
          <w:rFonts w:hint="eastAsia" w:cs="宋体"/>
          <w:color w:val="auto"/>
          <w:highlight w:val="none"/>
          <w:lang w:eastAsia="zh-CN"/>
        </w:rPr>
        <w:t>“</w:t>
      </w:r>
      <w:r>
        <w:rPr>
          <w:rFonts w:hint="eastAsia" w:cs="宋体"/>
          <w:color w:val="auto"/>
          <w:highlight w:val="none"/>
        </w:rPr>
        <w:t>中国裁判文书</w:t>
      </w:r>
      <w:r>
        <w:rPr>
          <w:rFonts w:hint="eastAsia" w:cs="宋体"/>
          <w:color w:val="auto"/>
          <w:highlight w:val="none"/>
          <w:lang w:val="en-US" w:eastAsia="zh-CN"/>
        </w:rPr>
        <w:t>网</w:t>
      </w:r>
      <w:r>
        <w:rPr>
          <w:rFonts w:hint="eastAsia" w:cs="宋体"/>
          <w:color w:val="auto"/>
          <w:highlight w:val="none"/>
          <w:lang w:eastAsia="zh-CN"/>
        </w:rPr>
        <w:t>”</w:t>
      </w:r>
      <w:r>
        <w:rPr>
          <w:rFonts w:hint="eastAsia" w:cs="宋体"/>
          <w:color w:val="auto"/>
          <w:highlight w:val="none"/>
        </w:rPr>
        <w:t>网站（http://www.cour.gov.cn/wenshu.html）查询结果为准）。</w:t>
      </w:r>
    </w:p>
    <w:p w14:paraId="7B89BC20">
      <w:pPr>
        <w:spacing w:line="360" w:lineRule="auto"/>
        <w:ind w:firstLine="420" w:firstLineChars="200"/>
        <w:rPr>
          <w:rFonts w:hint="eastAsia" w:eastAsia="宋体" w:cs="宋体"/>
          <w:color w:val="auto"/>
          <w:highlight w:val="none"/>
          <w:lang w:val="en-US" w:eastAsia="zh-CN"/>
        </w:rPr>
      </w:pPr>
      <w:r>
        <w:rPr>
          <w:rFonts w:hint="eastAsia" w:cs="宋体"/>
          <w:color w:val="auto"/>
          <w:highlight w:val="none"/>
          <w:lang w:eastAsia="zh-CN"/>
        </w:rPr>
        <w:t>（</w:t>
      </w:r>
      <w:r>
        <w:rPr>
          <w:rFonts w:hint="eastAsia" w:cs="宋体"/>
          <w:color w:val="auto"/>
          <w:highlight w:val="none"/>
          <w:lang w:val="en-US" w:eastAsia="zh-CN"/>
        </w:rPr>
        <w:t>18）投标人因生产安全事故处于暂扣、吊销安全生产许可证状态的</w:t>
      </w:r>
      <w:r>
        <w:rPr>
          <w:rFonts w:hint="eastAsia" w:cs="宋体"/>
          <w:color w:val="auto"/>
          <w:highlight w:val="none"/>
        </w:rPr>
        <w:t>（以评标阶段通过全国工程质量安全监管信息平台公共服务门户（https://zlaq.mohurd.gov.cn</w:t>
      </w:r>
      <w:r>
        <w:rPr>
          <w:rFonts w:hint="eastAsia" w:cs="宋体"/>
          <w:color w:val="auto"/>
          <w:highlight w:val="none"/>
          <w:lang w:eastAsia="zh-CN"/>
        </w:rPr>
        <w:t>）</w:t>
      </w:r>
      <w:r>
        <w:rPr>
          <w:rFonts w:hint="eastAsia" w:cs="宋体"/>
          <w:color w:val="auto"/>
          <w:highlight w:val="none"/>
        </w:rPr>
        <w:t>查询的结果为准）</w:t>
      </w:r>
      <w:r>
        <w:rPr>
          <w:rFonts w:hint="eastAsia" w:cs="宋体"/>
          <w:color w:val="auto"/>
          <w:highlight w:val="none"/>
          <w:lang w:eastAsia="zh-CN"/>
        </w:rPr>
        <w:t>。</w:t>
      </w:r>
    </w:p>
    <w:p w14:paraId="32D40BE3">
      <w:pPr>
        <w:spacing w:line="360" w:lineRule="auto"/>
        <w:ind w:firstLine="420" w:firstLineChars="200"/>
        <w:rPr>
          <w:color w:val="auto"/>
          <w:highlight w:val="none"/>
        </w:rPr>
      </w:pPr>
      <w:r>
        <w:rPr>
          <w:color w:val="auto"/>
          <w:highlight w:val="none"/>
        </w:rPr>
        <w:t xml:space="preserve">1.4.4 </w:t>
      </w:r>
      <w:r>
        <w:rPr>
          <w:rFonts w:hint="eastAsia" w:cs="宋体"/>
          <w:color w:val="auto"/>
          <w:highlight w:val="none"/>
        </w:rPr>
        <w:t>单位负责人为同一人或者存在控股、管理关系的不同单位，不得参加同一标段投标或者未划分标段的同一招标项目投标，违反本规定的，相关投标均无效。</w:t>
      </w:r>
    </w:p>
    <w:p w14:paraId="06DE1776">
      <w:pPr>
        <w:pStyle w:val="5"/>
        <w:rPr>
          <w:color w:val="auto"/>
          <w:highlight w:val="none"/>
        </w:rPr>
      </w:pPr>
      <w:bookmarkStart w:id="117" w:name="_Toc1493339611"/>
      <w:bookmarkStart w:id="118" w:name="_Toc389065150"/>
      <w:bookmarkStart w:id="119" w:name="_Toc32402"/>
      <w:bookmarkStart w:id="120" w:name="_Toc407135083"/>
      <w:bookmarkStart w:id="121" w:name="_Toc78449627"/>
      <w:r>
        <w:rPr>
          <w:color w:val="auto"/>
          <w:highlight w:val="none"/>
        </w:rPr>
        <w:t xml:space="preserve">1.5 </w:t>
      </w:r>
      <w:r>
        <w:rPr>
          <w:rFonts w:hint="eastAsia" w:cs="黑体"/>
          <w:color w:val="auto"/>
          <w:highlight w:val="none"/>
        </w:rPr>
        <w:t>费用承担</w:t>
      </w:r>
      <w:bookmarkEnd w:id="117"/>
      <w:bookmarkEnd w:id="118"/>
      <w:bookmarkEnd w:id="119"/>
      <w:bookmarkEnd w:id="120"/>
      <w:bookmarkEnd w:id="121"/>
    </w:p>
    <w:p w14:paraId="1DD1A946">
      <w:pPr>
        <w:spacing w:line="360" w:lineRule="auto"/>
        <w:ind w:firstLine="420" w:firstLineChars="200"/>
        <w:rPr>
          <w:color w:val="auto"/>
          <w:highlight w:val="none"/>
        </w:rPr>
      </w:pPr>
      <w:r>
        <w:rPr>
          <w:rFonts w:hint="eastAsia" w:cs="宋体"/>
          <w:color w:val="auto"/>
          <w:highlight w:val="none"/>
        </w:rPr>
        <w:t>投标人准备和参加投标活动发生的费用自理。</w:t>
      </w:r>
    </w:p>
    <w:p w14:paraId="09565017">
      <w:pPr>
        <w:pStyle w:val="5"/>
        <w:rPr>
          <w:color w:val="auto"/>
          <w:highlight w:val="none"/>
        </w:rPr>
      </w:pPr>
      <w:bookmarkStart w:id="122" w:name="_Toc1440522920"/>
      <w:bookmarkStart w:id="123" w:name="_Toc389065151"/>
      <w:bookmarkStart w:id="124" w:name="_Toc407135084"/>
      <w:bookmarkStart w:id="125" w:name="_Toc78449628"/>
      <w:bookmarkStart w:id="126" w:name="_Toc32409"/>
      <w:r>
        <w:rPr>
          <w:color w:val="auto"/>
          <w:highlight w:val="none"/>
        </w:rPr>
        <w:t xml:space="preserve">1.6 </w:t>
      </w:r>
      <w:r>
        <w:rPr>
          <w:rFonts w:hint="eastAsia" w:cs="黑体"/>
          <w:color w:val="auto"/>
          <w:highlight w:val="none"/>
        </w:rPr>
        <w:t>保密</w:t>
      </w:r>
      <w:bookmarkEnd w:id="122"/>
      <w:bookmarkEnd w:id="123"/>
      <w:bookmarkEnd w:id="124"/>
      <w:bookmarkEnd w:id="125"/>
      <w:bookmarkEnd w:id="126"/>
    </w:p>
    <w:p w14:paraId="22746531">
      <w:pPr>
        <w:spacing w:line="360" w:lineRule="auto"/>
        <w:ind w:firstLine="420" w:firstLineChars="200"/>
        <w:rPr>
          <w:color w:val="auto"/>
          <w:highlight w:val="none"/>
        </w:rPr>
      </w:pPr>
      <w:r>
        <w:rPr>
          <w:rFonts w:hint="eastAsia" w:cs="宋体"/>
          <w:color w:val="auto"/>
          <w:highlight w:val="none"/>
        </w:rPr>
        <w:t>参与招标投标活动的各方应对招标文件和投标文件中的商业和技术等秘密保密，违者应对由此造成的后果承担法律责任。</w:t>
      </w:r>
    </w:p>
    <w:p w14:paraId="3DB24716">
      <w:pPr>
        <w:pStyle w:val="5"/>
        <w:rPr>
          <w:color w:val="auto"/>
          <w:highlight w:val="none"/>
        </w:rPr>
      </w:pPr>
      <w:bookmarkStart w:id="127" w:name="_Toc22988"/>
      <w:bookmarkStart w:id="128" w:name="_Toc407135085"/>
      <w:bookmarkStart w:id="129" w:name="_Toc1530072868"/>
      <w:bookmarkStart w:id="130" w:name="_Toc78449629"/>
      <w:bookmarkStart w:id="131" w:name="_Toc389065152"/>
      <w:r>
        <w:rPr>
          <w:color w:val="auto"/>
          <w:highlight w:val="none"/>
        </w:rPr>
        <w:t xml:space="preserve">1.7 </w:t>
      </w:r>
      <w:r>
        <w:rPr>
          <w:rFonts w:hint="eastAsia" w:cs="黑体"/>
          <w:color w:val="auto"/>
          <w:highlight w:val="none"/>
        </w:rPr>
        <w:t>语言文字</w:t>
      </w:r>
      <w:bookmarkEnd w:id="127"/>
      <w:bookmarkEnd w:id="128"/>
      <w:bookmarkEnd w:id="129"/>
      <w:bookmarkEnd w:id="130"/>
      <w:bookmarkEnd w:id="131"/>
    </w:p>
    <w:p w14:paraId="72F1A794">
      <w:pPr>
        <w:spacing w:line="360" w:lineRule="auto"/>
        <w:ind w:firstLine="420" w:firstLineChars="200"/>
        <w:rPr>
          <w:color w:val="auto"/>
          <w:highlight w:val="none"/>
        </w:rPr>
      </w:pPr>
      <w:r>
        <w:rPr>
          <w:rFonts w:hint="eastAsia" w:cs="宋体"/>
          <w:color w:val="auto"/>
          <w:highlight w:val="none"/>
        </w:rPr>
        <w:t>除专用术语外，与招标投标有关的语言均使用中文。必要时专用术语应附有中文注释。</w:t>
      </w:r>
    </w:p>
    <w:p w14:paraId="01B8B291">
      <w:pPr>
        <w:pStyle w:val="5"/>
        <w:rPr>
          <w:color w:val="auto"/>
          <w:highlight w:val="none"/>
        </w:rPr>
      </w:pPr>
      <w:bookmarkStart w:id="132" w:name="_Toc2701"/>
      <w:bookmarkStart w:id="133" w:name="_Toc1955419092"/>
      <w:bookmarkStart w:id="134" w:name="_Toc407135086"/>
      <w:bookmarkStart w:id="135" w:name="_Toc389065153"/>
      <w:bookmarkStart w:id="136" w:name="_Toc78449630"/>
      <w:r>
        <w:rPr>
          <w:color w:val="auto"/>
          <w:highlight w:val="none"/>
        </w:rPr>
        <w:t xml:space="preserve">1.8 </w:t>
      </w:r>
      <w:r>
        <w:rPr>
          <w:rFonts w:hint="eastAsia" w:cs="黑体"/>
          <w:color w:val="auto"/>
          <w:highlight w:val="none"/>
        </w:rPr>
        <w:t>计量单位</w:t>
      </w:r>
      <w:bookmarkEnd w:id="132"/>
      <w:bookmarkEnd w:id="133"/>
      <w:bookmarkEnd w:id="134"/>
      <w:bookmarkEnd w:id="135"/>
      <w:bookmarkEnd w:id="136"/>
    </w:p>
    <w:p w14:paraId="01229237">
      <w:pPr>
        <w:spacing w:line="360" w:lineRule="auto"/>
        <w:ind w:firstLine="420" w:firstLineChars="200"/>
        <w:rPr>
          <w:color w:val="auto"/>
          <w:highlight w:val="none"/>
        </w:rPr>
      </w:pPr>
      <w:r>
        <w:rPr>
          <w:rFonts w:hint="eastAsia" w:cs="宋体"/>
          <w:color w:val="auto"/>
          <w:highlight w:val="none"/>
        </w:rPr>
        <w:t>所有计量均采用中华人民共和国法定计量单位。</w:t>
      </w:r>
    </w:p>
    <w:p w14:paraId="32530B75">
      <w:pPr>
        <w:pStyle w:val="5"/>
        <w:rPr>
          <w:color w:val="auto"/>
          <w:highlight w:val="none"/>
        </w:rPr>
      </w:pPr>
      <w:bookmarkStart w:id="137" w:name="_Toc1807317191"/>
      <w:bookmarkStart w:id="138" w:name="_Toc389065154"/>
      <w:bookmarkStart w:id="139" w:name="_Toc78449631"/>
      <w:bookmarkStart w:id="140" w:name="_Toc29869"/>
      <w:bookmarkStart w:id="141" w:name="_Toc407135087"/>
      <w:r>
        <w:rPr>
          <w:color w:val="auto"/>
          <w:highlight w:val="none"/>
        </w:rPr>
        <w:t xml:space="preserve">1.9 </w:t>
      </w:r>
      <w:r>
        <w:rPr>
          <w:rFonts w:hint="eastAsia" w:cs="黑体"/>
          <w:color w:val="auto"/>
          <w:highlight w:val="none"/>
        </w:rPr>
        <w:t>踏勘现场</w:t>
      </w:r>
      <w:bookmarkEnd w:id="137"/>
      <w:bookmarkEnd w:id="138"/>
      <w:bookmarkEnd w:id="139"/>
      <w:bookmarkEnd w:id="140"/>
      <w:bookmarkEnd w:id="141"/>
    </w:p>
    <w:p w14:paraId="4A7616E9">
      <w:pPr>
        <w:spacing w:line="360" w:lineRule="auto"/>
        <w:ind w:firstLine="420" w:firstLineChars="200"/>
        <w:rPr>
          <w:color w:val="auto"/>
          <w:highlight w:val="none"/>
        </w:rPr>
      </w:pPr>
      <w:r>
        <w:rPr>
          <w:color w:val="auto"/>
          <w:highlight w:val="none"/>
        </w:rPr>
        <w:t xml:space="preserve">1.9.1 </w:t>
      </w:r>
      <w:r>
        <w:rPr>
          <w:rFonts w:hint="eastAsia" w:cs="宋体"/>
          <w:color w:val="auto"/>
          <w:highlight w:val="none"/>
        </w:rPr>
        <w:t>投标人根据需要自行踏勘项目现场。</w:t>
      </w:r>
    </w:p>
    <w:p w14:paraId="3F049608">
      <w:pPr>
        <w:spacing w:line="360" w:lineRule="auto"/>
        <w:ind w:firstLine="420" w:firstLineChars="200"/>
        <w:rPr>
          <w:color w:val="auto"/>
          <w:highlight w:val="none"/>
        </w:rPr>
      </w:pPr>
      <w:r>
        <w:rPr>
          <w:color w:val="auto"/>
          <w:highlight w:val="none"/>
        </w:rPr>
        <w:t xml:space="preserve">1.9.2 </w:t>
      </w:r>
      <w:r>
        <w:rPr>
          <w:rFonts w:hint="eastAsia" w:cs="宋体"/>
          <w:color w:val="auto"/>
          <w:highlight w:val="none"/>
        </w:rPr>
        <w:t>投标人踏勘现场发生的费用自理。</w:t>
      </w:r>
    </w:p>
    <w:p w14:paraId="51392CD6">
      <w:pPr>
        <w:spacing w:line="360" w:lineRule="auto"/>
        <w:ind w:firstLine="420" w:firstLineChars="200"/>
        <w:rPr>
          <w:color w:val="auto"/>
          <w:highlight w:val="none"/>
        </w:rPr>
      </w:pPr>
      <w:r>
        <w:rPr>
          <w:color w:val="auto"/>
          <w:highlight w:val="none"/>
        </w:rPr>
        <w:t xml:space="preserve">1.9.3 </w:t>
      </w:r>
      <w:r>
        <w:rPr>
          <w:rFonts w:hint="eastAsia" w:cs="宋体"/>
          <w:color w:val="auto"/>
          <w:highlight w:val="none"/>
        </w:rPr>
        <w:t>投标人自行负责在踏勘现场中所发生的人员伤亡和财产损失。</w:t>
      </w:r>
    </w:p>
    <w:p w14:paraId="04158E32">
      <w:pPr>
        <w:pStyle w:val="5"/>
        <w:rPr>
          <w:color w:val="auto"/>
          <w:highlight w:val="none"/>
        </w:rPr>
      </w:pPr>
      <w:bookmarkStart w:id="142" w:name="_Toc14039"/>
      <w:bookmarkStart w:id="143" w:name="_Toc731134723"/>
      <w:bookmarkStart w:id="144" w:name="_Toc407135088"/>
      <w:bookmarkStart w:id="145" w:name="_Toc78449632"/>
      <w:bookmarkStart w:id="146" w:name="_Toc389065155"/>
      <w:r>
        <w:rPr>
          <w:color w:val="auto"/>
          <w:highlight w:val="none"/>
        </w:rPr>
        <w:t xml:space="preserve">1.10 </w:t>
      </w:r>
      <w:r>
        <w:rPr>
          <w:rFonts w:hint="eastAsia" w:cs="黑体"/>
          <w:color w:val="auto"/>
          <w:highlight w:val="none"/>
        </w:rPr>
        <w:t>投标预备会</w:t>
      </w:r>
      <w:bookmarkEnd w:id="142"/>
      <w:bookmarkEnd w:id="143"/>
      <w:bookmarkEnd w:id="144"/>
      <w:bookmarkEnd w:id="145"/>
      <w:bookmarkEnd w:id="146"/>
    </w:p>
    <w:p w14:paraId="2B20995D">
      <w:pPr>
        <w:spacing w:line="360" w:lineRule="auto"/>
        <w:ind w:firstLine="420" w:firstLineChars="200"/>
        <w:rPr>
          <w:color w:val="auto"/>
          <w:highlight w:val="none"/>
        </w:rPr>
      </w:pPr>
      <w:r>
        <w:rPr>
          <w:rFonts w:hint="eastAsia" w:cs="宋体"/>
          <w:color w:val="auto"/>
          <w:highlight w:val="none"/>
        </w:rPr>
        <w:t>不召开。</w:t>
      </w:r>
    </w:p>
    <w:p w14:paraId="1B853B9B">
      <w:pPr>
        <w:pStyle w:val="5"/>
        <w:rPr>
          <w:color w:val="auto"/>
          <w:highlight w:val="none"/>
        </w:rPr>
      </w:pPr>
      <w:bookmarkStart w:id="147" w:name="_Toc696932422"/>
      <w:bookmarkStart w:id="148" w:name="_Toc407135089"/>
      <w:bookmarkStart w:id="149" w:name="_Toc19880"/>
      <w:bookmarkStart w:id="150" w:name="_Toc78449633"/>
      <w:bookmarkStart w:id="151" w:name="_Toc389065156"/>
      <w:r>
        <w:rPr>
          <w:color w:val="auto"/>
          <w:highlight w:val="none"/>
        </w:rPr>
        <w:t xml:space="preserve">1.11 </w:t>
      </w:r>
      <w:r>
        <w:rPr>
          <w:rFonts w:hint="eastAsia" w:cs="黑体"/>
          <w:color w:val="auto"/>
          <w:highlight w:val="none"/>
        </w:rPr>
        <w:t>分包</w:t>
      </w:r>
      <w:bookmarkEnd w:id="147"/>
      <w:bookmarkEnd w:id="148"/>
      <w:bookmarkEnd w:id="149"/>
      <w:bookmarkEnd w:id="150"/>
      <w:bookmarkEnd w:id="151"/>
    </w:p>
    <w:p w14:paraId="10F44223">
      <w:pPr>
        <w:spacing w:line="360" w:lineRule="auto"/>
        <w:ind w:firstLine="420" w:firstLineChars="200"/>
        <w:rPr>
          <w:color w:val="auto"/>
          <w:highlight w:val="none"/>
        </w:rPr>
      </w:pPr>
      <w:r>
        <w:rPr>
          <w:rFonts w:hint="eastAsia" w:cs="宋体"/>
          <w:color w:val="auto"/>
          <w:highlight w:val="none"/>
        </w:rPr>
        <w:t>投标人拟在中标后将中标项目的部分非主体、非关键性工作进行分包的，应符合</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规定的分包内容、分包金额和接受分包的第三人资质要求等限制性条件。</w:t>
      </w:r>
    </w:p>
    <w:p w14:paraId="350F7BDF">
      <w:pPr>
        <w:pStyle w:val="5"/>
        <w:rPr>
          <w:rFonts w:hint="eastAsia" w:cs="黑体"/>
          <w:color w:val="auto"/>
          <w:highlight w:val="none"/>
        </w:rPr>
      </w:pPr>
      <w:bookmarkStart w:id="152" w:name="_Toc407135090"/>
      <w:bookmarkStart w:id="153" w:name="_Toc78449634"/>
      <w:bookmarkStart w:id="154" w:name="_Toc5240"/>
      <w:bookmarkStart w:id="155" w:name="_Toc2142424211"/>
      <w:bookmarkStart w:id="156" w:name="_Toc389065157"/>
      <w:r>
        <w:rPr>
          <w:color w:val="auto"/>
          <w:highlight w:val="none"/>
        </w:rPr>
        <w:t xml:space="preserve">1.12 </w:t>
      </w:r>
      <w:r>
        <w:rPr>
          <w:rFonts w:hint="eastAsia" w:cs="黑体"/>
          <w:color w:val="auto"/>
          <w:highlight w:val="none"/>
        </w:rPr>
        <w:t>偏离</w:t>
      </w:r>
      <w:bookmarkEnd w:id="152"/>
      <w:bookmarkEnd w:id="153"/>
      <w:bookmarkEnd w:id="154"/>
      <w:bookmarkEnd w:id="155"/>
      <w:bookmarkEnd w:id="156"/>
    </w:p>
    <w:p w14:paraId="5A6ADADE">
      <w:pPr>
        <w:spacing w:line="360" w:lineRule="auto"/>
        <w:ind w:firstLine="420" w:firstLineChars="200"/>
        <w:rPr>
          <w:rFonts w:hint="eastAsia" w:cs="宋体"/>
          <w:color w:val="auto"/>
          <w:highlight w:val="none"/>
        </w:rPr>
      </w:pPr>
      <w:r>
        <w:rPr>
          <w:rFonts w:hint="eastAsia" w:cs="宋体"/>
          <w:color w:val="auto"/>
          <w:highlight w:val="none"/>
        </w:rPr>
        <w:t>不允许。</w:t>
      </w:r>
      <w:bookmarkStart w:id="157" w:name="_Toc78449635"/>
      <w:bookmarkStart w:id="158" w:name="_Toc926364345"/>
      <w:bookmarkStart w:id="159" w:name="_Toc389065158"/>
      <w:bookmarkStart w:id="160" w:name="_Toc407135091"/>
    </w:p>
    <w:p w14:paraId="5BEA6162">
      <w:pPr>
        <w:pStyle w:val="4"/>
        <w:rPr>
          <w:color w:val="auto"/>
          <w:highlight w:val="none"/>
        </w:rPr>
      </w:pPr>
    </w:p>
    <w:p w14:paraId="23ABFE74">
      <w:pPr>
        <w:pStyle w:val="4"/>
        <w:rPr>
          <w:color w:val="auto"/>
          <w:highlight w:val="none"/>
        </w:rPr>
      </w:pPr>
      <w:bookmarkStart w:id="161" w:name="_Toc29871"/>
      <w:r>
        <w:rPr>
          <w:color w:val="auto"/>
          <w:highlight w:val="none"/>
        </w:rPr>
        <w:t xml:space="preserve">2 </w:t>
      </w:r>
      <w:r>
        <w:rPr>
          <w:rFonts w:hint="eastAsia" w:cs="黑体"/>
          <w:color w:val="auto"/>
          <w:highlight w:val="none"/>
        </w:rPr>
        <w:t>招标文件</w:t>
      </w:r>
      <w:bookmarkEnd w:id="157"/>
      <w:bookmarkEnd w:id="158"/>
      <w:bookmarkEnd w:id="159"/>
      <w:bookmarkEnd w:id="160"/>
      <w:bookmarkEnd w:id="161"/>
    </w:p>
    <w:p w14:paraId="1AC7D1F4">
      <w:pPr>
        <w:pStyle w:val="5"/>
        <w:rPr>
          <w:color w:val="auto"/>
          <w:highlight w:val="none"/>
        </w:rPr>
      </w:pPr>
      <w:bookmarkStart w:id="162" w:name="_Toc389065159"/>
      <w:bookmarkStart w:id="163" w:name="_Toc29381"/>
      <w:bookmarkStart w:id="164" w:name="_Toc407135092"/>
      <w:bookmarkStart w:id="165" w:name="_Toc2081801961"/>
      <w:bookmarkStart w:id="166" w:name="_Toc78449636"/>
      <w:r>
        <w:rPr>
          <w:color w:val="auto"/>
          <w:highlight w:val="none"/>
        </w:rPr>
        <w:t xml:space="preserve">2.1 </w:t>
      </w:r>
      <w:r>
        <w:rPr>
          <w:rFonts w:hint="eastAsia" w:cs="黑体"/>
          <w:color w:val="auto"/>
          <w:highlight w:val="none"/>
        </w:rPr>
        <w:t>招标文件的组成</w:t>
      </w:r>
      <w:bookmarkEnd w:id="162"/>
      <w:bookmarkEnd w:id="163"/>
      <w:bookmarkEnd w:id="164"/>
      <w:bookmarkEnd w:id="165"/>
      <w:bookmarkEnd w:id="166"/>
    </w:p>
    <w:p w14:paraId="5D2BCA22">
      <w:pPr>
        <w:spacing w:line="360" w:lineRule="auto"/>
        <w:ind w:firstLine="420" w:firstLineChars="200"/>
        <w:rPr>
          <w:color w:val="auto"/>
          <w:highlight w:val="none"/>
        </w:rPr>
      </w:pPr>
      <w:r>
        <w:rPr>
          <w:color w:val="auto"/>
          <w:highlight w:val="none"/>
        </w:rPr>
        <w:t xml:space="preserve">2.1.1 </w:t>
      </w:r>
      <w:r>
        <w:rPr>
          <w:rFonts w:hint="eastAsia" w:cs="宋体"/>
          <w:color w:val="auto"/>
          <w:highlight w:val="none"/>
        </w:rPr>
        <w:t>本招标文件包括：</w:t>
      </w:r>
    </w:p>
    <w:p w14:paraId="6D0F13B8">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）招标公告（或投标邀请书）；</w:t>
      </w:r>
    </w:p>
    <w:p w14:paraId="2960ADC4">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）投标人须知；</w:t>
      </w:r>
    </w:p>
    <w:p w14:paraId="5E16DDB8">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）评标办法；</w:t>
      </w:r>
    </w:p>
    <w:p w14:paraId="5402A16A">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）合同条款及格式；</w:t>
      </w:r>
    </w:p>
    <w:p w14:paraId="5B526E6C">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）工程量清单（电子版，后缀名</w:t>
      </w:r>
      <w:r>
        <w:rPr>
          <w:rFonts w:hint="eastAsia" w:cs="宋体"/>
          <w:color w:val="auto"/>
          <w:highlight w:val="none"/>
          <w:lang w:eastAsia="zh-CN"/>
        </w:rPr>
        <w:t>“</w:t>
      </w:r>
      <w:r>
        <w:rPr>
          <w:color w:val="auto"/>
          <w:highlight w:val="none"/>
        </w:rPr>
        <w:t>.gxzb</w:t>
      </w:r>
      <w:r>
        <w:rPr>
          <w:rFonts w:hint="eastAsia" w:cs="宋体"/>
          <w:color w:val="auto"/>
          <w:highlight w:val="none"/>
          <w:lang w:eastAsia="zh-CN"/>
        </w:rPr>
        <w:t>”</w:t>
      </w:r>
      <w:r>
        <w:rPr>
          <w:rFonts w:hint="eastAsia" w:cs="宋体"/>
          <w:color w:val="auto"/>
          <w:highlight w:val="none"/>
        </w:rPr>
        <w:t>）；</w:t>
      </w:r>
    </w:p>
    <w:p w14:paraId="5AFBE0B3">
      <w:pPr>
        <w:spacing w:line="360" w:lineRule="auto"/>
        <w:ind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w:t>
      </w:r>
      <w:r>
        <w:rPr>
          <w:rFonts w:hint="eastAsia" w:cs="宋体"/>
          <w:color w:val="auto"/>
          <w:highlight w:val="none"/>
          <w:lang w:eastAsia="zh-CN"/>
        </w:rPr>
        <w:t>最高投标限价</w:t>
      </w:r>
      <w:r>
        <w:rPr>
          <w:rFonts w:hint="eastAsia" w:cs="宋体"/>
          <w:color w:val="auto"/>
          <w:highlight w:val="none"/>
        </w:rPr>
        <w:t>；</w:t>
      </w:r>
    </w:p>
    <w:p w14:paraId="739A0608">
      <w:pPr>
        <w:spacing w:line="360" w:lineRule="auto"/>
        <w:ind w:firstLine="420" w:firstLineChars="200"/>
        <w:rPr>
          <w:rFonts w:hint="eastAsia" w:cs="宋体"/>
          <w:color w:val="auto"/>
          <w:highlight w:val="none"/>
        </w:rPr>
      </w:pPr>
      <w:r>
        <w:rPr>
          <w:rFonts w:hint="eastAsia" w:cs="宋体"/>
          <w:color w:val="auto"/>
          <w:highlight w:val="none"/>
        </w:rPr>
        <w:t>（</w:t>
      </w:r>
      <w:r>
        <w:rPr>
          <w:color w:val="auto"/>
          <w:highlight w:val="none"/>
        </w:rPr>
        <w:t>7</w:t>
      </w:r>
      <w:r>
        <w:rPr>
          <w:rFonts w:hint="eastAsia" w:cs="宋体"/>
          <w:color w:val="auto"/>
          <w:highlight w:val="none"/>
        </w:rPr>
        <w:t>）图纸（电子图，</w:t>
      </w:r>
      <w:r>
        <w:rPr>
          <w:color w:val="auto"/>
          <w:highlight w:val="none"/>
        </w:rPr>
        <w:t>RAR</w:t>
      </w:r>
      <w:r>
        <w:rPr>
          <w:rFonts w:hint="eastAsia" w:cs="宋体"/>
          <w:color w:val="auto"/>
          <w:highlight w:val="none"/>
        </w:rPr>
        <w:t>、</w:t>
      </w:r>
      <w:r>
        <w:rPr>
          <w:color w:val="auto"/>
          <w:highlight w:val="none"/>
        </w:rPr>
        <w:t>ZIP</w:t>
      </w:r>
      <w:r>
        <w:rPr>
          <w:rFonts w:hint="eastAsia" w:cs="宋体"/>
          <w:color w:val="auto"/>
          <w:highlight w:val="none"/>
        </w:rPr>
        <w:t>压缩文件）；</w:t>
      </w:r>
    </w:p>
    <w:p w14:paraId="629CA985">
      <w:pPr>
        <w:spacing w:line="360" w:lineRule="auto"/>
        <w:ind w:firstLine="420" w:firstLineChars="200"/>
        <w:rPr>
          <w:color w:val="auto"/>
          <w:highlight w:val="none"/>
        </w:rPr>
      </w:pPr>
      <w:r>
        <w:rPr>
          <w:rFonts w:hint="eastAsia" w:cs="宋体"/>
          <w:color w:val="auto"/>
          <w:highlight w:val="none"/>
        </w:rPr>
        <w:t>（8）</w:t>
      </w:r>
      <w:r>
        <w:rPr>
          <w:rFonts w:hint="eastAsia"/>
          <w:color w:val="auto"/>
          <w:highlight w:val="none"/>
        </w:rPr>
        <w:t>危险性较大的分部分项工程清单（如有）；</w:t>
      </w:r>
    </w:p>
    <w:p w14:paraId="11214BF3">
      <w:pPr>
        <w:spacing w:line="360" w:lineRule="auto"/>
        <w:ind w:firstLine="420" w:firstLineChars="200"/>
        <w:rPr>
          <w:color w:val="auto"/>
          <w:highlight w:val="none"/>
        </w:rPr>
      </w:pPr>
      <w:r>
        <w:rPr>
          <w:rFonts w:hint="eastAsia" w:cs="宋体"/>
          <w:color w:val="auto"/>
          <w:highlight w:val="none"/>
        </w:rPr>
        <w:t>（</w:t>
      </w:r>
      <w:r>
        <w:rPr>
          <w:rFonts w:hint="eastAsia"/>
          <w:color w:val="auto"/>
          <w:highlight w:val="none"/>
        </w:rPr>
        <w:t>9</w:t>
      </w:r>
      <w:r>
        <w:rPr>
          <w:rFonts w:hint="eastAsia" w:cs="宋体"/>
          <w:color w:val="auto"/>
          <w:highlight w:val="none"/>
        </w:rPr>
        <w:t>）技术标准和要求；</w:t>
      </w:r>
    </w:p>
    <w:p w14:paraId="352CACA5">
      <w:pPr>
        <w:spacing w:line="360" w:lineRule="auto"/>
        <w:ind w:firstLine="420" w:firstLineChars="200"/>
        <w:rPr>
          <w:color w:val="auto"/>
          <w:highlight w:val="none"/>
        </w:rPr>
      </w:pPr>
      <w:r>
        <w:rPr>
          <w:rFonts w:hint="eastAsia" w:cs="宋体"/>
          <w:color w:val="auto"/>
          <w:highlight w:val="none"/>
        </w:rPr>
        <w:t>（</w:t>
      </w:r>
      <w:r>
        <w:rPr>
          <w:rFonts w:hint="eastAsia"/>
          <w:color w:val="auto"/>
          <w:highlight w:val="none"/>
        </w:rPr>
        <w:t>10</w:t>
      </w:r>
      <w:r>
        <w:rPr>
          <w:rFonts w:hint="eastAsia" w:cs="宋体"/>
          <w:color w:val="auto"/>
          <w:highlight w:val="none"/>
        </w:rPr>
        <w:t>）投标文件格式；</w:t>
      </w:r>
    </w:p>
    <w:p w14:paraId="41EFBA6A">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olor w:val="auto"/>
          <w:highlight w:val="none"/>
        </w:rPr>
        <w:t>1</w:t>
      </w:r>
      <w:r>
        <w:rPr>
          <w:rFonts w:hint="eastAsia" w:cs="宋体"/>
          <w:color w:val="auto"/>
          <w:highlight w:val="none"/>
        </w:rPr>
        <w:t>）</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规定的其他材料。</w:t>
      </w:r>
    </w:p>
    <w:p w14:paraId="1A2E4947">
      <w:pPr>
        <w:spacing w:line="360" w:lineRule="auto"/>
        <w:ind w:firstLine="420" w:firstLineChars="200"/>
        <w:rPr>
          <w:color w:val="auto"/>
          <w:highlight w:val="none"/>
        </w:rPr>
      </w:pPr>
      <w:r>
        <w:rPr>
          <w:color w:val="auto"/>
          <w:highlight w:val="none"/>
        </w:rPr>
        <w:t xml:space="preserve">2.1.2 </w:t>
      </w:r>
      <w:r>
        <w:rPr>
          <w:rFonts w:hint="eastAsia" w:cs="宋体"/>
          <w:color w:val="auto"/>
          <w:highlight w:val="none"/>
        </w:rPr>
        <w:t>根据本章第</w:t>
      </w:r>
      <w:r>
        <w:rPr>
          <w:color w:val="auto"/>
          <w:highlight w:val="none"/>
        </w:rPr>
        <w:t>2.2</w:t>
      </w:r>
      <w:r>
        <w:rPr>
          <w:rFonts w:hint="eastAsia" w:cs="宋体"/>
          <w:color w:val="auto"/>
          <w:highlight w:val="none"/>
        </w:rPr>
        <w:t>款和第</w:t>
      </w:r>
      <w:r>
        <w:rPr>
          <w:color w:val="auto"/>
          <w:highlight w:val="none"/>
        </w:rPr>
        <w:t>2.3</w:t>
      </w:r>
      <w:r>
        <w:rPr>
          <w:rFonts w:hint="eastAsia" w:cs="宋体"/>
          <w:color w:val="auto"/>
          <w:highlight w:val="none"/>
        </w:rPr>
        <w:t>款对招标文件所作的澄清、修改，构成招标文件的组成部分。</w:t>
      </w:r>
      <w:r>
        <w:rPr>
          <w:rFonts w:hint="eastAsia" w:hAnsi="宋体" w:cs="宋体"/>
          <w:color w:val="auto"/>
          <w:highlight w:val="none"/>
        </w:rPr>
        <w:t>当招标文件及其澄清、修改或补充文件</w:t>
      </w:r>
      <w:r>
        <w:rPr>
          <w:rFonts w:hint="eastAsia" w:hAnsi="宋体" w:cs="宋体"/>
          <w:color w:val="auto"/>
          <w:highlight w:val="none"/>
          <w:lang w:eastAsia="zh-CN"/>
        </w:rPr>
        <w:t>对</w:t>
      </w:r>
      <w:r>
        <w:rPr>
          <w:rFonts w:hint="eastAsia" w:hAnsi="宋体" w:cs="宋体"/>
          <w:color w:val="auto"/>
          <w:highlight w:val="none"/>
        </w:rPr>
        <w:t>同一内容表述不一致时，以最后发出的书面文件为准。</w:t>
      </w:r>
    </w:p>
    <w:p w14:paraId="43869172">
      <w:pPr>
        <w:pStyle w:val="5"/>
        <w:rPr>
          <w:color w:val="auto"/>
          <w:highlight w:val="none"/>
        </w:rPr>
      </w:pPr>
      <w:bookmarkStart w:id="167" w:name="_Toc78449637"/>
      <w:bookmarkStart w:id="168" w:name="_Toc632058455"/>
      <w:bookmarkStart w:id="169" w:name="_Toc9797"/>
      <w:bookmarkStart w:id="170" w:name="_Toc389065160"/>
      <w:bookmarkStart w:id="171" w:name="_Toc407135093"/>
      <w:r>
        <w:rPr>
          <w:color w:val="auto"/>
          <w:highlight w:val="none"/>
        </w:rPr>
        <w:t xml:space="preserve">2.2 </w:t>
      </w:r>
      <w:r>
        <w:rPr>
          <w:rFonts w:hint="eastAsia" w:cs="黑体"/>
          <w:color w:val="auto"/>
          <w:highlight w:val="none"/>
        </w:rPr>
        <w:t>招标文件的澄清</w:t>
      </w:r>
      <w:bookmarkEnd w:id="167"/>
      <w:bookmarkEnd w:id="168"/>
      <w:bookmarkEnd w:id="169"/>
      <w:bookmarkEnd w:id="170"/>
      <w:bookmarkEnd w:id="171"/>
    </w:p>
    <w:p w14:paraId="44827B81">
      <w:pPr>
        <w:spacing w:line="360" w:lineRule="auto"/>
        <w:ind w:firstLine="420" w:firstLineChars="200"/>
        <w:rPr>
          <w:color w:val="auto"/>
          <w:highlight w:val="none"/>
        </w:rPr>
      </w:pPr>
      <w:r>
        <w:rPr>
          <w:color w:val="auto"/>
          <w:highlight w:val="none"/>
        </w:rPr>
        <w:t xml:space="preserve">2.2.1 </w:t>
      </w:r>
      <w:r>
        <w:rPr>
          <w:rFonts w:hint="eastAsia" w:hAnsi="宋体" w:cs="宋体"/>
          <w:color w:val="auto"/>
          <w:highlight w:val="none"/>
        </w:rPr>
        <w:t>投标人应仔细阅读和检查招标文件的全部内容，如有疑问或异议，应在投标人须知前附表规定的时间前通过全国公共资源交易平台（广西壮族自治区）</w:t>
      </w:r>
      <w:r>
        <w:rPr>
          <w:rFonts w:hint="eastAsia" w:cs="宋体"/>
          <w:color w:val="auto"/>
          <w:highlight w:val="none"/>
        </w:rPr>
        <w:t>进行网上或</w:t>
      </w:r>
      <w:r>
        <w:rPr>
          <w:rFonts w:cs="宋体"/>
          <w:color w:val="auto"/>
          <w:highlight w:val="none"/>
        </w:rPr>
        <w:t>线下</w:t>
      </w:r>
      <w:r>
        <w:rPr>
          <w:rFonts w:hint="eastAsia" w:cs="宋体"/>
          <w:color w:val="auto"/>
          <w:highlight w:val="none"/>
        </w:rPr>
        <w:t>投标询疑，</w:t>
      </w:r>
      <w:r>
        <w:rPr>
          <w:rFonts w:hint="eastAsia" w:hAnsi="宋体" w:cs="宋体"/>
          <w:color w:val="auto"/>
          <w:highlight w:val="none"/>
        </w:rPr>
        <w:t>要求招标人（招标代理）对招标文件予以澄清。</w:t>
      </w:r>
    </w:p>
    <w:p w14:paraId="60569B51">
      <w:pPr>
        <w:spacing w:line="360" w:lineRule="auto"/>
        <w:ind w:firstLine="420" w:firstLineChars="200"/>
        <w:rPr>
          <w:rFonts w:hAnsi="宋体"/>
          <w:color w:val="auto"/>
          <w:highlight w:val="none"/>
        </w:rPr>
      </w:pPr>
      <w:r>
        <w:rPr>
          <w:color w:val="auto"/>
          <w:highlight w:val="none"/>
        </w:rPr>
        <w:t xml:space="preserve">2.2.2 </w:t>
      </w:r>
      <w:r>
        <w:rPr>
          <w:rFonts w:hint="eastAsia" w:cs="宋体"/>
          <w:color w:val="auto"/>
          <w:highlight w:val="none"/>
        </w:rPr>
        <w:t>招标人对</w:t>
      </w:r>
      <w:r>
        <w:rPr>
          <w:rFonts w:hint="eastAsia" w:hAnsi="宋体" w:cs="宋体"/>
          <w:color w:val="auto"/>
          <w:highlight w:val="none"/>
        </w:rPr>
        <w:t>招标文件的澄清将在</w:t>
      </w:r>
      <w:r>
        <w:rPr>
          <w:rFonts w:hint="eastAsia" w:hAnsi="宋体" w:cs="宋体"/>
          <w:color w:val="auto"/>
          <w:highlight w:val="none"/>
          <w:lang w:eastAsia="zh-CN"/>
        </w:rPr>
        <w:t>“</w:t>
      </w:r>
      <w:r>
        <w:rPr>
          <w:rFonts w:hint="eastAsia" w:hAnsi="宋体" w:cs="宋体"/>
          <w:color w:val="auto"/>
          <w:highlight w:val="none"/>
        </w:rPr>
        <w:t>投标人须知前附表</w:t>
      </w:r>
      <w:r>
        <w:rPr>
          <w:rFonts w:hint="eastAsia" w:hAnsi="宋体" w:cs="宋体"/>
          <w:color w:val="auto"/>
          <w:highlight w:val="none"/>
          <w:lang w:eastAsia="zh-CN"/>
        </w:rPr>
        <w:t>”</w:t>
      </w:r>
      <w:r>
        <w:rPr>
          <w:rFonts w:hint="eastAsia" w:hAnsi="宋体" w:cs="宋体"/>
          <w:color w:val="auto"/>
          <w:highlight w:val="none"/>
        </w:rPr>
        <w:t>规定的投标截止时间</w:t>
      </w:r>
      <w:r>
        <w:rPr>
          <w:color w:val="auto"/>
          <w:highlight w:val="none"/>
        </w:rPr>
        <w:t>15</w:t>
      </w:r>
      <w:r>
        <w:rPr>
          <w:rFonts w:hint="eastAsia" w:hAnsi="宋体" w:cs="宋体"/>
          <w:color w:val="auto"/>
          <w:highlight w:val="none"/>
        </w:rPr>
        <w:t>日前</w:t>
      </w:r>
      <w:r>
        <w:rPr>
          <w:rFonts w:hint="eastAsia" w:cs="宋体"/>
          <w:color w:val="auto"/>
          <w:highlight w:val="none"/>
        </w:rPr>
        <w:t>（不涉及招标文件实质性内容修改的或不影响投标文件编制的除外）</w:t>
      </w:r>
      <w:r>
        <w:rPr>
          <w:rFonts w:hint="eastAsia" w:ascii="仿宋_GB2312" w:hAnsi="宋体"/>
          <w:color w:val="auto"/>
          <w:highlight w:val="none"/>
        </w:rPr>
        <w:t>以</w:t>
      </w:r>
      <w:r>
        <w:rPr>
          <w:rFonts w:hint="eastAsia" w:ascii="仿宋_GB2312" w:hAnsi="宋体"/>
          <w:color w:val="auto"/>
          <w:highlight w:val="none"/>
          <w:lang w:eastAsia="zh-CN"/>
        </w:rPr>
        <w:t>“</w:t>
      </w:r>
      <w:r>
        <w:rPr>
          <w:rFonts w:hint="eastAsia" w:ascii="仿宋_GB2312" w:hAnsi="宋体"/>
          <w:color w:val="auto"/>
          <w:highlight w:val="none"/>
        </w:rPr>
        <w:t>投标人须知前附表</w:t>
      </w:r>
      <w:r>
        <w:rPr>
          <w:rFonts w:hint="eastAsia" w:ascii="仿宋_GB2312" w:hAnsi="宋体"/>
          <w:color w:val="auto"/>
          <w:highlight w:val="none"/>
          <w:lang w:eastAsia="zh-CN"/>
        </w:rPr>
        <w:t>”</w:t>
      </w:r>
      <w:r>
        <w:rPr>
          <w:rFonts w:hint="eastAsia" w:ascii="仿宋_GB2312" w:hAnsi="宋体"/>
          <w:color w:val="auto"/>
          <w:highlight w:val="none"/>
        </w:rPr>
        <w:t>规定的方式发布，</w:t>
      </w:r>
      <w:r>
        <w:rPr>
          <w:rFonts w:hint="eastAsia" w:hAnsi="宋体" w:cs="宋体"/>
          <w:color w:val="auto"/>
          <w:highlight w:val="none"/>
        </w:rPr>
        <w:t>并提供给所有下载</w:t>
      </w:r>
      <w:r>
        <w:rPr>
          <w:rFonts w:hAnsi="宋体" w:cs="宋体"/>
          <w:color w:val="auto"/>
          <w:highlight w:val="none"/>
        </w:rPr>
        <w:t>了招标文件的</w:t>
      </w:r>
      <w:r>
        <w:rPr>
          <w:rFonts w:hint="eastAsia" w:hAnsi="宋体" w:cs="宋体"/>
          <w:color w:val="auto"/>
          <w:highlight w:val="none"/>
        </w:rPr>
        <w:t>投标人下载，但不得指明澄清问题的来源。如果澄清发出的时间距投标截止时间不足</w:t>
      </w:r>
      <w:r>
        <w:rPr>
          <w:color w:val="auto"/>
          <w:highlight w:val="none"/>
        </w:rPr>
        <w:t>15</w:t>
      </w:r>
      <w:r>
        <w:rPr>
          <w:rFonts w:hint="eastAsia" w:hAnsi="宋体" w:cs="宋体"/>
          <w:color w:val="auto"/>
          <w:highlight w:val="none"/>
        </w:rPr>
        <w:t>日，相应延长投标截止时间。</w:t>
      </w:r>
    </w:p>
    <w:p w14:paraId="64ECD675">
      <w:pPr>
        <w:spacing w:line="360" w:lineRule="auto"/>
        <w:ind w:firstLine="420" w:firstLineChars="200"/>
        <w:rPr>
          <w:color w:val="auto"/>
          <w:highlight w:val="none"/>
        </w:rPr>
      </w:pPr>
      <w:r>
        <w:rPr>
          <w:rFonts w:hAnsi="宋体"/>
          <w:color w:val="auto"/>
          <w:highlight w:val="none"/>
        </w:rPr>
        <w:t>2.2.3</w:t>
      </w:r>
      <w:r>
        <w:rPr>
          <w:rFonts w:hint="eastAsia" w:hAnsi="宋体" w:cs="宋体"/>
          <w:color w:val="auto"/>
          <w:highlight w:val="none"/>
        </w:rPr>
        <w:t>投标人确认收到澄清的方式：</w:t>
      </w:r>
      <w:r>
        <w:rPr>
          <w:rFonts w:hint="eastAsia" w:cs="宋体"/>
          <w:color w:val="auto"/>
          <w:highlight w:val="none"/>
        </w:rPr>
        <w:t>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1383A24B">
      <w:pPr>
        <w:pStyle w:val="5"/>
        <w:rPr>
          <w:color w:val="auto"/>
          <w:highlight w:val="none"/>
        </w:rPr>
      </w:pPr>
      <w:bookmarkStart w:id="172" w:name="_Toc78449638"/>
      <w:bookmarkStart w:id="173" w:name="_Toc389065161"/>
      <w:bookmarkStart w:id="174" w:name="_Toc407135094"/>
      <w:bookmarkStart w:id="175" w:name="_Toc602721129"/>
      <w:bookmarkStart w:id="176" w:name="_Toc14386"/>
      <w:r>
        <w:rPr>
          <w:color w:val="auto"/>
          <w:highlight w:val="none"/>
        </w:rPr>
        <w:t xml:space="preserve">2.3 </w:t>
      </w:r>
      <w:r>
        <w:rPr>
          <w:rFonts w:hint="eastAsia" w:cs="黑体"/>
          <w:color w:val="auto"/>
          <w:highlight w:val="none"/>
        </w:rPr>
        <w:t>招标文件的修改</w:t>
      </w:r>
      <w:bookmarkEnd w:id="172"/>
      <w:bookmarkEnd w:id="173"/>
      <w:bookmarkEnd w:id="174"/>
      <w:bookmarkEnd w:id="175"/>
      <w:bookmarkEnd w:id="176"/>
    </w:p>
    <w:p w14:paraId="3E2B7932">
      <w:pPr>
        <w:spacing w:line="360" w:lineRule="auto"/>
        <w:ind w:firstLine="420" w:firstLineChars="200"/>
        <w:rPr>
          <w:color w:val="auto"/>
          <w:highlight w:val="none"/>
        </w:rPr>
      </w:pPr>
      <w:r>
        <w:rPr>
          <w:color w:val="auto"/>
          <w:highlight w:val="none"/>
        </w:rPr>
        <w:t xml:space="preserve">2.3.1 </w:t>
      </w:r>
      <w:r>
        <w:rPr>
          <w:rFonts w:hint="eastAsia" w:hAnsi="宋体" w:cs="宋体"/>
          <w:color w:val="auto"/>
          <w:highlight w:val="none"/>
        </w:rPr>
        <w:t>在投标截止时间</w:t>
      </w:r>
      <w:r>
        <w:rPr>
          <w:color w:val="auto"/>
          <w:highlight w:val="none"/>
        </w:rPr>
        <w:t>15</w:t>
      </w:r>
      <w:r>
        <w:rPr>
          <w:rFonts w:hint="eastAsia" w:hAnsi="宋体" w:cs="宋体"/>
          <w:color w:val="auto"/>
          <w:highlight w:val="none"/>
        </w:rPr>
        <w:t>日前，招标人可以对招标文件进行修改，如修改</w:t>
      </w:r>
      <w:r>
        <w:rPr>
          <w:rFonts w:hint="eastAsia" w:cs="宋体"/>
          <w:color w:val="auto"/>
          <w:highlight w:val="none"/>
        </w:rPr>
        <w:t>涉及评标办法和投标文件格式的内容，</w:t>
      </w:r>
      <w:r>
        <w:rPr>
          <w:rFonts w:hint="eastAsia" w:hAnsi="宋体" w:cs="宋体"/>
          <w:color w:val="auto"/>
          <w:highlight w:val="none"/>
        </w:rPr>
        <w:t>招标人应将修改后的招标文件重新上传并通过全国公共资源交易平台（广西壮族自治区）通知所有下载</w:t>
      </w:r>
      <w:r>
        <w:rPr>
          <w:rFonts w:hAnsi="宋体" w:cs="宋体"/>
          <w:color w:val="auto"/>
          <w:highlight w:val="none"/>
        </w:rPr>
        <w:t>了招标文件的</w:t>
      </w:r>
      <w:r>
        <w:rPr>
          <w:rFonts w:hint="eastAsia" w:hAnsi="宋体" w:cs="宋体"/>
          <w:color w:val="auto"/>
          <w:highlight w:val="none"/>
        </w:rPr>
        <w:t>投标人，投标人应按修改后的招标文件制作投标文件。如果修改招标文件的时间距投标截止时间不足</w:t>
      </w:r>
      <w:r>
        <w:rPr>
          <w:color w:val="auto"/>
          <w:highlight w:val="none"/>
        </w:rPr>
        <w:t>15</w:t>
      </w:r>
      <w:r>
        <w:rPr>
          <w:rFonts w:hint="eastAsia" w:hAnsi="宋体" w:cs="宋体"/>
          <w:color w:val="auto"/>
          <w:highlight w:val="none"/>
        </w:rPr>
        <w:t>日，相应延长投标截止时间。</w:t>
      </w:r>
    </w:p>
    <w:p w14:paraId="599D0805">
      <w:pPr>
        <w:spacing w:line="360" w:lineRule="auto"/>
        <w:ind w:firstLine="420" w:firstLineChars="200"/>
        <w:rPr>
          <w:strike w:val="0"/>
          <w:color w:val="auto"/>
          <w:highlight w:val="none"/>
        </w:rPr>
      </w:pPr>
      <w:r>
        <w:rPr>
          <w:color w:val="auto"/>
          <w:highlight w:val="none"/>
        </w:rPr>
        <w:t>2.3.2 当招标文件、招标文件的修改、补充在同一内容表述不一致时，以最后的更正</w:t>
      </w:r>
      <w:r>
        <w:rPr>
          <w:rFonts w:hint="eastAsia"/>
          <w:color w:val="auto"/>
          <w:highlight w:val="none"/>
        </w:rPr>
        <w:t>、补遗</w:t>
      </w:r>
      <w:r>
        <w:rPr>
          <w:color w:val="auto"/>
          <w:highlight w:val="none"/>
        </w:rPr>
        <w:t>、澄清为准。未在系统发布的更正、</w:t>
      </w:r>
      <w:r>
        <w:rPr>
          <w:rFonts w:hint="eastAsia"/>
          <w:color w:val="auto"/>
          <w:highlight w:val="none"/>
        </w:rPr>
        <w:t>补遗</w:t>
      </w:r>
      <w:r>
        <w:rPr>
          <w:color w:val="auto"/>
          <w:highlight w:val="none"/>
        </w:rPr>
        <w:t>、澄清为无效更正、</w:t>
      </w:r>
      <w:r>
        <w:rPr>
          <w:rFonts w:hint="eastAsia"/>
          <w:color w:val="auto"/>
          <w:highlight w:val="none"/>
        </w:rPr>
        <w:t>补遗</w:t>
      </w:r>
      <w:r>
        <w:rPr>
          <w:color w:val="auto"/>
          <w:highlight w:val="none"/>
        </w:rPr>
        <w:t>、澄清。</w:t>
      </w:r>
      <w:r>
        <w:rPr>
          <w:strike w:val="0"/>
          <w:color w:val="auto"/>
          <w:highlight w:val="none"/>
        </w:rPr>
        <w:t>除更正、</w:t>
      </w:r>
      <w:r>
        <w:rPr>
          <w:rFonts w:hint="eastAsia"/>
          <w:strike w:val="0"/>
          <w:color w:val="auto"/>
          <w:highlight w:val="none"/>
        </w:rPr>
        <w:t>补遗</w:t>
      </w:r>
      <w:r>
        <w:rPr>
          <w:strike w:val="0"/>
          <w:color w:val="auto"/>
          <w:highlight w:val="none"/>
        </w:rPr>
        <w:t xml:space="preserve">、澄清内容外，其他内容以原招标文件为准。 </w:t>
      </w:r>
    </w:p>
    <w:p w14:paraId="508C80A8">
      <w:pPr>
        <w:pStyle w:val="151"/>
        <w:snapToGrid w:val="0"/>
        <w:spacing w:line="360" w:lineRule="auto"/>
        <w:ind w:firstLine="420" w:firstLineChars="200"/>
        <w:rPr>
          <w:rFonts w:hAnsi="宋体"/>
          <w:color w:val="auto"/>
          <w:sz w:val="21"/>
          <w:szCs w:val="21"/>
          <w:highlight w:val="none"/>
        </w:rPr>
      </w:pPr>
      <w:r>
        <w:rPr>
          <w:color w:val="auto"/>
          <w:sz w:val="21"/>
          <w:szCs w:val="21"/>
          <w:highlight w:val="none"/>
        </w:rPr>
        <w:t xml:space="preserve">2.3.3 </w:t>
      </w:r>
      <w:r>
        <w:rPr>
          <w:rFonts w:hint="eastAsia" w:hAnsi="宋体" w:cs="宋体"/>
          <w:color w:val="auto"/>
          <w:sz w:val="21"/>
          <w:szCs w:val="21"/>
          <w:highlight w:val="none"/>
        </w:rPr>
        <w:t>为使投标人在编制投标文件时有充分的时间对招标文件的修改、补充等内容进行研究并做出响应，招标人可酌情延长提交投标文件的截止时间，具体时间在招标文件的修改、补充等通知中予以明确。</w:t>
      </w:r>
      <w:r>
        <w:rPr>
          <w:rFonts w:hAnsi="宋体"/>
          <w:color w:val="auto"/>
          <w:sz w:val="21"/>
          <w:szCs w:val="21"/>
          <w:highlight w:val="none"/>
        </w:rPr>
        <w:t xml:space="preserve"> </w:t>
      </w:r>
    </w:p>
    <w:p w14:paraId="21EFDE00">
      <w:pPr>
        <w:spacing w:line="360" w:lineRule="auto"/>
        <w:ind w:firstLine="420" w:firstLineChars="200"/>
        <w:rPr>
          <w:color w:val="auto"/>
          <w:highlight w:val="none"/>
        </w:rPr>
      </w:pPr>
      <w:r>
        <w:rPr>
          <w:rFonts w:hAnsi="宋体"/>
          <w:color w:val="auto"/>
          <w:highlight w:val="none"/>
        </w:rPr>
        <w:t xml:space="preserve">2.3.4 </w:t>
      </w:r>
      <w:r>
        <w:rPr>
          <w:rFonts w:hint="eastAsia" w:hAnsi="宋体" w:cs="宋体"/>
          <w:color w:val="auto"/>
          <w:highlight w:val="none"/>
        </w:rPr>
        <w:t>招标文件的修改或补充报招标管理机构备案后，在全国公共资源交易平台（广西壮族自治区）上进行发布。招标文件的修改内容作为招标文件的组成部分，具有约束作用。</w:t>
      </w:r>
      <w:r>
        <w:rPr>
          <w:color w:val="auto"/>
          <w:highlight w:val="none"/>
        </w:rPr>
        <w:t xml:space="preserve">  </w:t>
      </w:r>
    </w:p>
    <w:p w14:paraId="7FC08E52">
      <w:pPr>
        <w:pStyle w:val="4"/>
        <w:rPr>
          <w:color w:val="auto"/>
          <w:highlight w:val="none"/>
        </w:rPr>
      </w:pPr>
      <w:bookmarkStart w:id="177" w:name="_Toc407135095"/>
      <w:bookmarkStart w:id="178" w:name="_Toc1314"/>
      <w:bookmarkStart w:id="179" w:name="_Toc1188942385"/>
      <w:bookmarkStart w:id="180" w:name="_Toc78449639"/>
      <w:bookmarkStart w:id="181" w:name="_Toc389065162"/>
      <w:r>
        <w:rPr>
          <w:color w:val="auto"/>
          <w:highlight w:val="none"/>
        </w:rPr>
        <w:t xml:space="preserve">3 </w:t>
      </w:r>
      <w:r>
        <w:rPr>
          <w:rFonts w:hint="eastAsia" w:cs="黑体"/>
          <w:color w:val="auto"/>
          <w:highlight w:val="none"/>
        </w:rPr>
        <w:t>投标文件</w:t>
      </w:r>
      <w:bookmarkEnd w:id="177"/>
      <w:bookmarkEnd w:id="178"/>
      <w:bookmarkEnd w:id="179"/>
      <w:bookmarkEnd w:id="180"/>
      <w:bookmarkEnd w:id="181"/>
    </w:p>
    <w:p w14:paraId="15250785">
      <w:pPr>
        <w:pStyle w:val="5"/>
        <w:rPr>
          <w:color w:val="auto"/>
          <w:highlight w:val="none"/>
        </w:rPr>
      </w:pPr>
      <w:bookmarkStart w:id="182" w:name="_Toc1204884710"/>
      <w:bookmarkStart w:id="183" w:name="_Toc78449640"/>
      <w:bookmarkStart w:id="184" w:name="_Toc11444"/>
      <w:bookmarkStart w:id="185" w:name="_Toc407135096"/>
      <w:bookmarkStart w:id="186" w:name="_Toc389065163"/>
      <w:r>
        <w:rPr>
          <w:color w:val="auto"/>
          <w:highlight w:val="none"/>
        </w:rPr>
        <w:t xml:space="preserve">3.1 </w:t>
      </w:r>
      <w:r>
        <w:rPr>
          <w:rFonts w:hint="eastAsia" w:cs="黑体"/>
          <w:color w:val="auto"/>
          <w:highlight w:val="none"/>
        </w:rPr>
        <w:t>投标文件的组成</w:t>
      </w:r>
      <w:bookmarkEnd w:id="182"/>
      <w:bookmarkEnd w:id="183"/>
      <w:bookmarkEnd w:id="184"/>
      <w:bookmarkEnd w:id="185"/>
      <w:bookmarkEnd w:id="186"/>
    </w:p>
    <w:p w14:paraId="678BBB9A">
      <w:pPr>
        <w:spacing w:line="360" w:lineRule="auto"/>
        <w:ind w:firstLine="420" w:firstLineChars="200"/>
        <w:rPr>
          <w:color w:val="auto"/>
          <w:highlight w:val="none"/>
        </w:rPr>
      </w:pPr>
      <w:r>
        <w:rPr>
          <w:color w:val="auto"/>
          <w:highlight w:val="none"/>
        </w:rPr>
        <w:t xml:space="preserve">3.1.1 </w:t>
      </w:r>
      <w:r>
        <w:rPr>
          <w:rFonts w:hint="eastAsia" w:cs="宋体"/>
          <w:color w:val="auto"/>
          <w:highlight w:val="none"/>
        </w:rPr>
        <w:t>投标文件应包括下列内容：</w:t>
      </w:r>
    </w:p>
    <w:p w14:paraId="3DF871E5">
      <w:pPr>
        <w:spacing w:line="360" w:lineRule="auto"/>
        <w:ind w:firstLine="420" w:firstLineChars="200"/>
        <w:rPr>
          <w:color w:val="auto"/>
          <w:highlight w:val="none"/>
        </w:rPr>
      </w:pPr>
      <w:r>
        <w:rPr>
          <w:rFonts w:hint="eastAsia" w:cs="宋体"/>
          <w:color w:val="auto"/>
          <w:highlight w:val="none"/>
        </w:rPr>
        <w:t>3.1.1.</w:t>
      </w:r>
      <w:r>
        <w:rPr>
          <w:color w:val="auto"/>
          <w:highlight w:val="none"/>
        </w:rPr>
        <w:t>1</w:t>
      </w:r>
      <w:r>
        <w:rPr>
          <w:rFonts w:hint="eastAsia" w:cs="宋体"/>
          <w:color w:val="auto"/>
          <w:highlight w:val="none"/>
        </w:rPr>
        <w:t>资格审查部分：具体材料见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0165773E">
      <w:pPr>
        <w:spacing w:line="360" w:lineRule="auto"/>
        <w:ind w:firstLine="420" w:firstLineChars="200"/>
        <w:rPr>
          <w:color w:val="auto"/>
          <w:highlight w:val="none"/>
        </w:rPr>
      </w:pPr>
      <w:r>
        <w:rPr>
          <w:rFonts w:hint="eastAsia" w:cs="宋体"/>
          <w:color w:val="auto"/>
          <w:highlight w:val="none"/>
        </w:rPr>
        <w:t>3.1.1.</w:t>
      </w:r>
      <w:r>
        <w:rPr>
          <w:color w:val="auto"/>
          <w:highlight w:val="none"/>
        </w:rPr>
        <w:t>2</w:t>
      </w:r>
      <w:r>
        <w:rPr>
          <w:rFonts w:hint="eastAsia" w:cs="宋体"/>
          <w:color w:val="auto"/>
          <w:highlight w:val="none"/>
        </w:rPr>
        <w:t>商务标部分：具体材料见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3F299B81">
      <w:pPr>
        <w:spacing w:line="360" w:lineRule="auto"/>
        <w:ind w:firstLine="420" w:firstLineChars="200"/>
        <w:rPr>
          <w:rFonts w:cs="宋体"/>
          <w:color w:val="auto"/>
          <w:highlight w:val="none"/>
        </w:rPr>
      </w:pPr>
      <w:r>
        <w:rPr>
          <w:rFonts w:hint="eastAsia" w:cs="宋体"/>
          <w:color w:val="auto"/>
          <w:highlight w:val="none"/>
        </w:rPr>
        <w:t>3.1.1.</w:t>
      </w:r>
      <w:r>
        <w:rPr>
          <w:color w:val="auto"/>
          <w:highlight w:val="none"/>
        </w:rPr>
        <w:t>3</w:t>
      </w:r>
      <w:r>
        <w:rPr>
          <w:rFonts w:hint="eastAsia" w:cs="宋体"/>
          <w:color w:val="auto"/>
          <w:highlight w:val="none"/>
        </w:rPr>
        <w:t>技术标部分：具体材料见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olor w:val="auto"/>
          <w:highlight w:val="none"/>
        </w:rPr>
        <w:t>，其中</w:t>
      </w:r>
      <w:r>
        <w:rPr>
          <w:color w:val="auto"/>
          <w:highlight w:val="none"/>
        </w:rPr>
        <w:t>施工组织</w:t>
      </w:r>
      <w:r>
        <w:rPr>
          <w:rFonts w:hint="eastAsia"/>
          <w:color w:val="auto"/>
          <w:highlight w:val="none"/>
        </w:rPr>
        <w:t>设计具体</w:t>
      </w:r>
      <w:r>
        <w:rPr>
          <w:color w:val="auto"/>
          <w:highlight w:val="none"/>
        </w:rPr>
        <w:t>内容</w:t>
      </w:r>
      <w:r>
        <w:rPr>
          <w:rFonts w:hint="eastAsia" w:cs="宋体"/>
          <w:color w:val="auto"/>
          <w:highlight w:val="none"/>
        </w:rPr>
        <w:t>如下：</w:t>
      </w:r>
    </w:p>
    <w:p w14:paraId="1758D327">
      <w:pPr>
        <w:spacing w:line="360" w:lineRule="auto"/>
        <w:ind w:firstLine="420" w:firstLineChars="200"/>
        <w:rPr>
          <w:rFonts w:hint="eastAsia" w:eastAsia="宋体"/>
          <w:color w:val="auto"/>
          <w:highlight w:val="none"/>
          <w:lang w:eastAsia="zh-CN"/>
        </w:rPr>
      </w:pPr>
      <w:r>
        <w:rPr>
          <w:rFonts w:hint="eastAsia"/>
          <w:color w:val="auto"/>
          <w:highlight w:val="none"/>
        </w:rPr>
        <w:t>（1）概述</w:t>
      </w:r>
      <w:r>
        <w:rPr>
          <w:rFonts w:hint="eastAsia"/>
          <w:color w:val="auto"/>
          <w:highlight w:val="none"/>
          <w:lang w:eastAsia="zh-CN"/>
        </w:rPr>
        <w:t>；</w:t>
      </w:r>
    </w:p>
    <w:p w14:paraId="406C6D14">
      <w:pPr>
        <w:spacing w:line="360" w:lineRule="auto"/>
        <w:ind w:firstLine="420" w:firstLineChars="200"/>
        <w:rPr>
          <w:rFonts w:hint="eastAsia"/>
          <w:color w:val="auto"/>
          <w:highlight w:val="none"/>
        </w:rPr>
      </w:pPr>
      <w:r>
        <w:rPr>
          <w:rFonts w:hint="eastAsia"/>
          <w:color w:val="auto"/>
          <w:highlight w:val="none"/>
        </w:rPr>
        <w:t>（2）主要施工方法；</w:t>
      </w:r>
    </w:p>
    <w:p w14:paraId="15277CB0">
      <w:pPr>
        <w:spacing w:line="360" w:lineRule="auto"/>
        <w:ind w:firstLine="420" w:firstLineChars="200"/>
        <w:rPr>
          <w:rFonts w:hint="eastAsia" w:eastAsia="宋体"/>
          <w:color w:val="auto"/>
          <w:highlight w:val="none"/>
          <w:lang w:eastAsia="zh-CN"/>
        </w:rPr>
      </w:pPr>
      <w:r>
        <w:rPr>
          <w:rFonts w:hint="eastAsia"/>
          <w:color w:val="auto"/>
          <w:highlight w:val="none"/>
        </w:rPr>
        <w:t>（3）拟投入的主要物资计划</w:t>
      </w:r>
      <w:r>
        <w:rPr>
          <w:rFonts w:hint="eastAsia"/>
          <w:color w:val="auto"/>
          <w:highlight w:val="none"/>
          <w:lang w:eastAsia="zh-CN"/>
        </w:rPr>
        <w:t>；</w:t>
      </w:r>
    </w:p>
    <w:p w14:paraId="0B761644">
      <w:pPr>
        <w:spacing w:line="360" w:lineRule="auto"/>
        <w:ind w:firstLine="420" w:firstLineChars="200"/>
        <w:rPr>
          <w:rFonts w:hint="eastAsia"/>
          <w:color w:val="auto"/>
          <w:highlight w:val="none"/>
        </w:rPr>
      </w:pPr>
      <w:r>
        <w:rPr>
          <w:rFonts w:hint="eastAsia"/>
          <w:color w:val="auto"/>
          <w:highlight w:val="none"/>
        </w:rPr>
        <w:t>（</w:t>
      </w:r>
      <w:r>
        <w:rPr>
          <w:color w:val="auto"/>
          <w:highlight w:val="none"/>
        </w:rPr>
        <w:t>4</w:t>
      </w:r>
      <w:r>
        <w:rPr>
          <w:rFonts w:hint="eastAsia"/>
          <w:color w:val="auto"/>
          <w:highlight w:val="none"/>
        </w:rPr>
        <w:t>）劳动力安排计划；</w:t>
      </w:r>
    </w:p>
    <w:p w14:paraId="5E4C225C">
      <w:pPr>
        <w:spacing w:line="360" w:lineRule="auto"/>
        <w:ind w:firstLine="420" w:firstLineChars="200"/>
        <w:rPr>
          <w:rFonts w:hint="eastAsia"/>
          <w:color w:val="auto"/>
          <w:highlight w:val="none"/>
        </w:rPr>
      </w:pPr>
      <w:r>
        <w:rPr>
          <w:rFonts w:hint="eastAsia"/>
          <w:color w:val="auto"/>
          <w:highlight w:val="none"/>
        </w:rPr>
        <w:t>（</w:t>
      </w:r>
      <w:r>
        <w:rPr>
          <w:color w:val="auto"/>
          <w:highlight w:val="none"/>
        </w:rPr>
        <w:t>5</w:t>
      </w:r>
      <w:r>
        <w:rPr>
          <w:rFonts w:hint="eastAsia"/>
          <w:color w:val="auto"/>
          <w:highlight w:val="none"/>
        </w:rPr>
        <w:t>）确保工程质量的技术组织措施；</w:t>
      </w:r>
    </w:p>
    <w:p w14:paraId="3EC0AEC5">
      <w:pPr>
        <w:spacing w:line="360" w:lineRule="auto"/>
        <w:ind w:firstLine="420" w:firstLineChars="200"/>
        <w:rPr>
          <w:rFonts w:hint="eastAsia"/>
          <w:color w:val="auto"/>
          <w:highlight w:val="none"/>
        </w:rPr>
      </w:pPr>
      <w:r>
        <w:rPr>
          <w:rFonts w:hint="eastAsia"/>
          <w:color w:val="auto"/>
          <w:highlight w:val="none"/>
        </w:rPr>
        <w:t>（</w:t>
      </w:r>
      <w:r>
        <w:rPr>
          <w:color w:val="auto"/>
          <w:highlight w:val="none"/>
        </w:rPr>
        <w:t>6</w:t>
      </w:r>
      <w:r>
        <w:rPr>
          <w:rFonts w:hint="eastAsia"/>
          <w:color w:val="auto"/>
          <w:highlight w:val="none"/>
        </w:rPr>
        <w:t>）确保安全生产的技术组织措施；</w:t>
      </w:r>
    </w:p>
    <w:p w14:paraId="6F8825E2">
      <w:pPr>
        <w:spacing w:line="360" w:lineRule="auto"/>
        <w:ind w:firstLine="420" w:firstLineChars="200"/>
        <w:rPr>
          <w:rFonts w:hint="eastAsia"/>
          <w:color w:val="auto"/>
          <w:highlight w:val="none"/>
        </w:rPr>
      </w:pPr>
      <w:r>
        <w:rPr>
          <w:rFonts w:hint="eastAsia"/>
          <w:color w:val="auto"/>
          <w:highlight w:val="none"/>
        </w:rPr>
        <w:t>（</w:t>
      </w:r>
      <w:r>
        <w:rPr>
          <w:color w:val="auto"/>
          <w:highlight w:val="none"/>
        </w:rPr>
        <w:t>7</w:t>
      </w:r>
      <w:r>
        <w:rPr>
          <w:rFonts w:hint="eastAsia"/>
          <w:color w:val="auto"/>
          <w:highlight w:val="none"/>
        </w:rPr>
        <w:t>）确保工期的技术组织措施；</w:t>
      </w:r>
    </w:p>
    <w:p w14:paraId="10A87DD4">
      <w:pPr>
        <w:spacing w:line="360" w:lineRule="auto"/>
        <w:ind w:firstLine="420" w:firstLineChars="200"/>
        <w:rPr>
          <w:rFonts w:hint="eastAsia"/>
          <w:color w:val="auto"/>
          <w:highlight w:val="none"/>
        </w:rPr>
      </w:pPr>
      <w:r>
        <w:rPr>
          <w:rFonts w:hint="eastAsia"/>
          <w:color w:val="auto"/>
          <w:highlight w:val="none"/>
        </w:rPr>
        <w:t>（</w:t>
      </w:r>
      <w:r>
        <w:rPr>
          <w:color w:val="auto"/>
          <w:highlight w:val="none"/>
        </w:rPr>
        <w:t>8</w:t>
      </w:r>
      <w:r>
        <w:rPr>
          <w:rFonts w:hint="eastAsia"/>
          <w:color w:val="auto"/>
          <w:highlight w:val="none"/>
        </w:rPr>
        <w:t>）确保文明施工的技术组织措施；</w:t>
      </w:r>
    </w:p>
    <w:p w14:paraId="5117F440">
      <w:pPr>
        <w:spacing w:line="360" w:lineRule="auto"/>
        <w:ind w:firstLine="420" w:firstLineChars="200"/>
        <w:rPr>
          <w:rFonts w:hint="eastAsia"/>
          <w:color w:val="auto"/>
          <w:highlight w:val="none"/>
        </w:rPr>
      </w:pPr>
      <w:r>
        <w:rPr>
          <w:rFonts w:hint="eastAsia"/>
          <w:color w:val="auto"/>
          <w:highlight w:val="none"/>
        </w:rPr>
        <w:t>（</w:t>
      </w:r>
      <w:r>
        <w:rPr>
          <w:color w:val="auto"/>
          <w:highlight w:val="none"/>
        </w:rPr>
        <w:t>9</w:t>
      </w:r>
      <w:r>
        <w:rPr>
          <w:rFonts w:hint="eastAsia"/>
          <w:color w:val="auto"/>
          <w:highlight w:val="none"/>
        </w:rPr>
        <w:t>）工程施工的重点和难点及保证措施；</w:t>
      </w:r>
    </w:p>
    <w:p w14:paraId="0E20F67D">
      <w:pPr>
        <w:spacing w:line="360" w:lineRule="auto"/>
        <w:ind w:firstLine="420" w:firstLineChars="200"/>
        <w:rPr>
          <w:color w:val="auto"/>
          <w:highlight w:val="none"/>
        </w:rPr>
      </w:pPr>
      <w:r>
        <w:rPr>
          <w:rFonts w:hint="eastAsia"/>
          <w:color w:val="auto"/>
          <w:highlight w:val="none"/>
        </w:rPr>
        <w:t>（1</w:t>
      </w:r>
      <w:r>
        <w:rPr>
          <w:color w:val="auto"/>
          <w:highlight w:val="none"/>
        </w:rPr>
        <w:t>0</w:t>
      </w:r>
      <w:r>
        <w:rPr>
          <w:rFonts w:hint="eastAsia"/>
          <w:color w:val="auto"/>
          <w:highlight w:val="none"/>
        </w:rPr>
        <w:t>）施工总平面布置图；</w:t>
      </w:r>
    </w:p>
    <w:p w14:paraId="1841F535">
      <w:pPr>
        <w:spacing w:line="360" w:lineRule="auto"/>
        <w:ind w:firstLine="420" w:firstLineChars="200"/>
        <w:rPr>
          <w:rFonts w:hint="eastAsia"/>
          <w:color w:val="auto"/>
          <w:highlight w:val="none"/>
        </w:rPr>
      </w:pPr>
      <w:r>
        <w:rPr>
          <w:rFonts w:hint="eastAsia"/>
          <w:color w:val="auto"/>
          <w:highlight w:val="none"/>
        </w:rPr>
        <w:t>（1</w:t>
      </w:r>
      <w:r>
        <w:rPr>
          <w:color w:val="auto"/>
          <w:highlight w:val="none"/>
        </w:rPr>
        <w:t>1</w:t>
      </w:r>
      <w:r>
        <w:rPr>
          <w:rFonts w:hint="eastAsia"/>
          <w:color w:val="auto"/>
          <w:highlight w:val="none"/>
        </w:rPr>
        <w:t>）其他</w:t>
      </w:r>
      <w:r>
        <w:rPr>
          <w:rFonts w:hint="eastAsia"/>
          <w:color w:val="auto"/>
          <w:highlight w:val="none"/>
          <w:lang w:eastAsia="zh-CN"/>
        </w:rPr>
        <w:t>。</w:t>
      </w:r>
      <w:r>
        <w:rPr>
          <w:rFonts w:hint="eastAsia"/>
          <w:color w:val="auto"/>
          <w:highlight w:val="none"/>
        </w:rPr>
        <w:t>（</w:t>
      </w:r>
      <w:r>
        <w:rPr>
          <w:color w:val="auto"/>
          <w:highlight w:val="none"/>
        </w:rPr>
        <w:t>如有）</w:t>
      </w:r>
      <w:r>
        <w:rPr>
          <w:rFonts w:hint="eastAsia"/>
          <w:color w:val="auto"/>
          <w:highlight w:val="none"/>
        </w:rPr>
        <w:t>（与评标</w:t>
      </w:r>
      <w:r>
        <w:rPr>
          <w:color w:val="auto"/>
          <w:highlight w:val="none"/>
        </w:rPr>
        <w:t>办法</w:t>
      </w:r>
      <w:r>
        <w:rPr>
          <w:rFonts w:hint="eastAsia"/>
          <w:color w:val="auto"/>
          <w:highlight w:val="none"/>
        </w:rPr>
        <w:t>前</w:t>
      </w:r>
      <w:r>
        <w:rPr>
          <w:color w:val="auto"/>
          <w:highlight w:val="none"/>
        </w:rPr>
        <w:t>附表技术标评分标准一致</w:t>
      </w:r>
      <w:r>
        <w:rPr>
          <w:rFonts w:hint="eastAsia"/>
          <w:color w:val="auto"/>
          <w:highlight w:val="none"/>
        </w:rPr>
        <w:t>）</w:t>
      </w:r>
    </w:p>
    <w:p w14:paraId="52BCCCFD">
      <w:pPr>
        <w:spacing w:line="360" w:lineRule="auto"/>
        <w:ind w:firstLine="420" w:firstLineChars="200"/>
        <w:rPr>
          <w:color w:val="auto"/>
          <w:highlight w:val="none"/>
        </w:rPr>
      </w:pPr>
      <w:r>
        <w:rPr>
          <w:color w:val="auto"/>
          <w:highlight w:val="none"/>
        </w:rPr>
        <w:t xml:space="preserve">3.1.2 </w:t>
      </w:r>
      <w:r>
        <w:rPr>
          <w:rFonts w:hint="eastAsia" w:cs="宋体"/>
          <w:color w:val="auto"/>
          <w:highlight w:val="none"/>
        </w:rPr>
        <w:t>招标文件</w:t>
      </w:r>
      <w:r>
        <w:rPr>
          <w:rFonts w:hint="eastAsia"/>
          <w:color w:val="auto"/>
          <w:highlight w:val="none"/>
          <w:lang w:eastAsia="zh-CN"/>
        </w:rPr>
        <w:t>“</w:t>
      </w:r>
      <w:r>
        <w:rPr>
          <w:rFonts w:hint="eastAsia" w:cs="宋体"/>
          <w:color w:val="auto"/>
          <w:highlight w:val="none"/>
        </w:rPr>
        <w:t>第九章</w:t>
      </w:r>
      <w:r>
        <w:rPr>
          <w:color w:val="auto"/>
          <w:highlight w:val="none"/>
        </w:rPr>
        <w:t xml:space="preserve"> </w:t>
      </w:r>
      <w:r>
        <w:rPr>
          <w:rFonts w:hint="eastAsia" w:cs="宋体"/>
          <w:color w:val="auto"/>
          <w:highlight w:val="none"/>
        </w:rPr>
        <w:t>投标文件格式</w:t>
      </w:r>
      <w:r>
        <w:rPr>
          <w:rFonts w:hint="eastAsia"/>
          <w:color w:val="auto"/>
          <w:highlight w:val="none"/>
          <w:lang w:eastAsia="zh-CN"/>
        </w:rPr>
        <w:t>”</w:t>
      </w:r>
      <w:r>
        <w:rPr>
          <w:rFonts w:hint="eastAsia" w:cs="宋体"/>
          <w:color w:val="auto"/>
          <w:highlight w:val="none"/>
        </w:rPr>
        <w:t>有规定格式要求的，投标人应按规定的格式填写并按要求提交相关的证明材料。</w:t>
      </w:r>
    </w:p>
    <w:p w14:paraId="3D61063C">
      <w:pPr>
        <w:spacing w:line="360" w:lineRule="auto"/>
        <w:ind w:firstLine="420" w:firstLineChars="200"/>
        <w:rPr>
          <w:color w:val="auto"/>
          <w:highlight w:val="none"/>
        </w:rPr>
      </w:pPr>
      <w:r>
        <w:rPr>
          <w:color w:val="auto"/>
          <w:highlight w:val="none"/>
        </w:rPr>
        <w:t xml:space="preserve">3.1.3 </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规定不接受联合体投标的，或投标人没有组成联合体的，投标文件不包括本章第</w:t>
      </w:r>
      <w:r>
        <w:rPr>
          <w:color w:val="auto"/>
          <w:highlight w:val="none"/>
        </w:rPr>
        <w:t>3.1.1</w:t>
      </w:r>
      <w:r>
        <w:rPr>
          <w:rFonts w:hint="eastAsia" w:cs="宋体"/>
          <w:color w:val="auto"/>
          <w:highlight w:val="none"/>
        </w:rPr>
        <w:t>.1中所指的联合体协议书。</w:t>
      </w:r>
    </w:p>
    <w:p w14:paraId="40D4AA09">
      <w:pPr>
        <w:spacing w:line="360" w:lineRule="auto"/>
        <w:ind w:firstLine="420" w:firstLineChars="200"/>
        <w:rPr>
          <w:color w:val="auto"/>
          <w:highlight w:val="none"/>
        </w:rPr>
      </w:pPr>
      <w:r>
        <w:rPr>
          <w:color w:val="auto"/>
          <w:highlight w:val="none"/>
        </w:rPr>
        <w:t xml:space="preserve">3.1.4 </w:t>
      </w:r>
      <w:r>
        <w:rPr>
          <w:rFonts w:hint="eastAsia" w:cs="宋体"/>
          <w:color w:val="auto"/>
          <w:highlight w:val="none"/>
        </w:rPr>
        <w:t>近年财务状况、完成的类似项目的年份要求：见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35720F35">
      <w:pPr>
        <w:pStyle w:val="5"/>
        <w:rPr>
          <w:color w:val="auto"/>
          <w:highlight w:val="none"/>
        </w:rPr>
      </w:pPr>
      <w:bookmarkStart w:id="187" w:name="_Toc403187174"/>
      <w:bookmarkStart w:id="188" w:name="_Toc23559"/>
      <w:bookmarkStart w:id="189" w:name="_Toc389065164"/>
      <w:bookmarkStart w:id="190" w:name="_Toc407135097"/>
      <w:bookmarkStart w:id="191" w:name="_Toc1381103467"/>
      <w:bookmarkStart w:id="192" w:name="_Toc78449641"/>
      <w:r>
        <w:rPr>
          <w:color w:val="auto"/>
          <w:highlight w:val="none"/>
        </w:rPr>
        <w:t xml:space="preserve">3.2 </w:t>
      </w:r>
      <w:r>
        <w:rPr>
          <w:rFonts w:hint="eastAsia" w:cs="黑体"/>
          <w:color w:val="auto"/>
          <w:highlight w:val="none"/>
        </w:rPr>
        <w:t>投标报价</w:t>
      </w:r>
      <w:bookmarkEnd w:id="187"/>
      <w:bookmarkEnd w:id="188"/>
      <w:bookmarkEnd w:id="189"/>
      <w:bookmarkEnd w:id="190"/>
      <w:bookmarkEnd w:id="191"/>
      <w:bookmarkEnd w:id="192"/>
    </w:p>
    <w:p w14:paraId="716DCDA4">
      <w:pPr>
        <w:spacing w:line="360" w:lineRule="auto"/>
        <w:ind w:firstLine="420" w:firstLineChars="200"/>
        <w:rPr>
          <w:color w:val="auto"/>
          <w:highlight w:val="none"/>
        </w:rPr>
      </w:pPr>
      <w:r>
        <w:rPr>
          <w:color w:val="auto"/>
          <w:highlight w:val="none"/>
        </w:rPr>
        <w:t xml:space="preserve">3.2.1 </w:t>
      </w:r>
      <w:r>
        <w:rPr>
          <w:rFonts w:hint="eastAsia" w:cs="宋体"/>
          <w:color w:val="auto"/>
          <w:highlight w:val="none"/>
        </w:rPr>
        <w:t>投标人应按第五章</w:t>
      </w:r>
      <w:r>
        <w:rPr>
          <w:rFonts w:hint="eastAsia"/>
          <w:color w:val="auto"/>
          <w:highlight w:val="none"/>
          <w:lang w:eastAsia="zh-CN"/>
        </w:rPr>
        <w:t>“</w:t>
      </w:r>
      <w:r>
        <w:rPr>
          <w:rFonts w:hint="eastAsia" w:cs="宋体"/>
          <w:color w:val="auto"/>
          <w:highlight w:val="none"/>
        </w:rPr>
        <w:t>工程量清单</w:t>
      </w:r>
      <w:r>
        <w:rPr>
          <w:rFonts w:hint="eastAsia"/>
          <w:color w:val="auto"/>
          <w:highlight w:val="none"/>
          <w:lang w:eastAsia="zh-CN"/>
        </w:rPr>
        <w:t>”</w:t>
      </w:r>
      <w:r>
        <w:rPr>
          <w:rFonts w:hint="eastAsia" w:cs="宋体"/>
          <w:color w:val="auto"/>
          <w:highlight w:val="none"/>
        </w:rPr>
        <w:t>的要求填写相应表格。</w:t>
      </w:r>
    </w:p>
    <w:p w14:paraId="68BFC47F">
      <w:pPr>
        <w:spacing w:line="360" w:lineRule="auto"/>
        <w:ind w:firstLine="420" w:firstLineChars="200"/>
        <w:rPr>
          <w:color w:val="auto"/>
          <w:highlight w:val="none"/>
        </w:rPr>
      </w:pPr>
      <w:r>
        <w:rPr>
          <w:color w:val="auto"/>
          <w:highlight w:val="none"/>
        </w:rPr>
        <w:t xml:space="preserve">3.2.2 </w:t>
      </w:r>
      <w:r>
        <w:rPr>
          <w:rFonts w:hint="eastAsia" w:cs="宋体"/>
          <w:color w:val="auto"/>
          <w:highlight w:val="none"/>
        </w:rPr>
        <w:t>投标人在投标截止时间前修改投标函中的投标总报价，应同时修改第九章</w:t>
      </w:r>
      <w:r>
        <w:rPr>
          <w:rFonts w:hint="eastAsia"/>
          <w:color w:val="auto"/>
          <w:highlight w:val="none"/>
          <w:lang w:eastAsia="zh-CN"/>
        </w:rPr>
        <w:t>“</w:t>
      </w:r>
      <w:r>
        <w:rPr>
          <w:rFonts w:hint="eastAsia" w:cs="宋体"/>
          <w:color w:val="auto"/>
          <w:highlight w:val="none"/>
        </w:rPr>
        <w:t>投标文件格式</w:t>
      </w:r>
      <w:r>
        <w:rPr>
          <w:rFonts w:hint="eastAsia"/>
          <w:color w:val="auto"/>
          <w:highlight w:val="none"/>
          <w:lang w:eastAsia="zh-CN"/>
        </w:rPr>
        <w:t>”</w:t>
      </w:r>
      <w:r>
        <w:rPr>
          <w:rFonts w:hint="eastAsia" w:cs="宋体"/>
          <w:color w:val="auto"/>
          <w:highlight w:val="none"/>
        </w:rPr>
        <w:t>中的相应报价。此修改须符合本章第</w:t>
      </w:r>
      <w:r>
        <w:rPr>
          <w:color w:val="auto"/>
          <w:highlight w:val="none"/>
        </w:rPr>
        <w:t>4.3</w:t>
      </w:r>
      <w:r>
        <w:rPr>
          <w:rFonts w:hint="eastAsia" w:cs="宋体"/>
          <w:color w:val="auto"/>
          <w:highlight w:val="none"/>
        </w:rPr>
        <w:t>款的有关要求。</w:t>
      </w:r>
    </w:p>
    <w:p w14:paraId="144F6911">
      <w:pPr>
        <w:pStyle w:val="5"/>
        <w:rPr>
          <w:color w:val="auto"/>
          <w:highlight w:val="none"/>
        </w:rPr>
      </w:pPr>
      <w:bookmarkStart w:id="193" w:name="_Toc78449642"/>
      <w:bookmarkStart w:id="194" w:name="_Toc407135098"/>
      <w:bookmarkStart w:id="195" w:name="_Toc10341"/>
      <w:bookmarkStart w:id="196" w:name="_Toc389065165"/>
      <w:bookmarkStart w:id="197" w:name="_Toc1621603167"/>
      <w:r>
        <w:rPr>
          <w:color w:val="auto"/>
          <w:highlight w:val="none"/>
        </w:rPr>
        <w:t xml:space="preserve">3.3 </w:t>
      </w:r>
      <w:r>
        <w:rPr>
          <w:rFonts w:hint="eastAsia" w:cs="黑体"/>
          <w:color w:val="auto"/>
          <w:highlight w:val="none"/>
        </w:rPr>
        <w:t>投标有效期</w:t>
      </w:r>
      <w:bookmarkEnd w:id="193"/>
      <w:bookmarkEnd w:id="194"/>
      <w:bookmarkEnd w:id="195"/>
      <w:bookmarkEnd w:id="196"/>
      <w:bookmarkEnd w:id="197"/>
    </w:p>
    <w:p w14:paraId="256A7C31">
      <w:pPr>
        <w:spacing w:line="360" w:lineRule="auto"/>
        <w:ind w:firstLine="420" w:firstLineChars="200"/>
        <w:rPr>
          <w:color w:val="auto"/>
          <w:highlight w:val="none"/>
        </w:rPr>
      </w:pPr>
      <w:r>
        <w:rPr>
          <w:color w:val="auto"/>
          <w:highlight w:val="none"/>
        </w:rPr>
        <w:t xml:space="preserve">3.3.1 </w:t>
      </w:r>
      <w:r>
        <w:rPr>
          <w:rFonts w:hint="eastAsia" w:hAnsi="宋体" w:cs="宋体"/>
          <w:color w:val="auto"/>
          <w:highlight w:val="none"/>
        </w:rPr>
        <w:t>在投标人须知前附表规定的投标有效期内，投标人不得要求撤销或修改其投标文件。</w:t>
      </w:r>
    </w:p>
    <w:p w14:paraId="3DFB95B4">
      <w:pPr>
        <w:spacing w:line="360" w:lineRule="auto"/>
        <w:ind w:firstLine="420" w:firstLineChars="200"/>
        <w:rPr>
          <w:color w:val="auto"/>
          <w:highlight w:val="none"/>
        </w:rPr>
      </w:pPr>
      <w:r>
        <w:rPr>
          <w:color w:val="auto"/>
          <w:highlight w:val="none"/>
        </w:rPr>
        <w:t xml:space="preserve">3.3.2 </w:t>
      </w:r>
      <w:r>
        <w:rPr>
          <w:rFonts w:hint="eastAsia" w:hAnsi="宋体" w:cs="宋体"/>
          <w:color w:val="auto"/>
          <w:highlight w:val="none"/>
        </w:rPr>
        <w:t>出现特殊情况需要延长投标有效期的，招标人通过全国公共资源交易平台（广西壮族自治区）通知所有投标人延长投标有效期。投标人同意延长的，应相应延长其投标保证金的有效期，但不得要求或被允许修改或撤销其投标文件；投标人拒绝延长的，其投标失效，但投标人有权收回其投标保证金。</w:t>
      </w:r>
    </w:p>
    <w:p w14:paraId="64F0127E">
      <w:pPr>
        <w:pStyle w:val="5"/>
        <w:rPr>
          <w:color w:val="auto"/>
          <w:highlight w:val="none"/>
        </w:rPr>
      </w:pPr>
      <w:bookmarkStart w:id="198" w:name="_Toc389065166"/>
      <w:bookmarkStart w:id="199" w:name="_Toc857258476"/>
      <w:bookmarkStart w:id="200" w:name="_Toc3830"/>
      <w:bookmarkStart w:id="201" w:name="_Toc407135099"/>
      <w:bookmarkStart w:id="202" w:name="_Toc78449643"/>
      <w:r>
        <w:rPr>
          <w:color w:val="auto"/>
          <w:highlight w:val="none"/>
        </w:rPr>
        <w:t xml:space="preserve">3.4 </w:t>
      </w:r>
      <w:r>
        <w:rPr>
          <w:rFonts w:hint="eastAsia" w:cs="黑体"/>
          <w:color w:val="auto"/>
          <w:highlight w:val="none"/>
        </w:rPr>
        <w:t>投标保证金</w:t>
      </w:r>
      <w:bookmarkEnd w:id="198"/>
      <w:bookmarkEnd w:id="199"/>
      <w:bookmarkEnd w:id="200"/>
      <w:bookmarkEnd w:id="201"/>
      <w:bookmarkEnd w:id="202"/>
    </w:p>
    <w:p w14:paraId="02B73D99">
      <w:pPr>
        <w:spacing w:line="360" w:lineRule="auto"/>
        <w:ind w:firstLine="420" w:firstLineChars="200"/>
        <w:rPr>
          <w:color w:val="auto"/>
          <w:highlight w:val="none"/>
        </w:rPr>
      </w:pPr>
      <w:r>
        <w:rPr>
          <w:color w:val="auto"/>
          <w:highlight w:val="none"/>
        </w:rPr>
        <w:t xml:space="preserve">3.4.1 </w:t>
      </w:r>
      <w:r>
        <w:rPr>
          <w:rFonts w:hint="eastAsia" w:cs="宋体"/>
          <w:color w:val="auto"/>
          <w:highlight w:val="none"/>
        </w:rPr>
        <w:t>投标人必须在投标截止时间前，按</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规定的金额、方式和第九章</w:t>
      </w:r>
      <w:r>
        <w:rPr>
          <w:rFonts w:hint="eastAsia"/>
          <w:color w:val="auto"/>
          <w:highlight w:val="none"/>
          <w:lang w:eastAsia="zh-CN"/>
        </w:rPr>
        <w:t>“</w:t>
      </w:r>
      <w:r>
        <w:rPr>
          <w:rFonts w:hint="eastAsia" w:cs="宋体"/>
          <w:color w:val="auto"/>
          <w:highlight w:val="none"/>
        </w:rPr>
        <w:t>投标文件格式</w:t>
      </w:r>
      <w:r>
        <w:rPr>
          <w:rFonts w:hint="eastAsia"/>
          <w:color w:val="auto"/>
          <w:highlight w:val="none"/>
          <w:lang w:eastAsia="zh-CN"/>
        </w:rPr>
        <w:t>”</w:t>
      </w:r>
      <w:r>
        <w:rPr>
          <w:rFonts w:hint="eastAsia" w:cs="宋体"/>
          <w:color w:val="auto"/>
          <w:highlight w:val="none"/>
        </w:rPr>
        <w:t>规定的投标保证金格式提交投标保证金。投标保证金的提交情况以全国公共资源交易平台（广西壮族自治区）记录为准。联合体投标的，其投标保证金由联合体的任一方提交，并应符合</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的规定。</w:t>
      </w:r>
    </w:p>
    <w:p w14:paraId="6AAC733E">
      <w:pPr>
        <w:spacing w:line="360" w:lineRule="auto"/>
        <w:ind w:firstLine="420" w:firstLineChars="200"/>
        <w:rPr>
          <w:rFonts w:hint="eastAsia"/>
          <w:color w:val="auto"/>
          <w:highlight w:val="none"/>
        </w:rPr>
      </w:pPr>
      <w:r>
        <w:rPr>
          <w:color w:val="auto"/>
          <w:highlight w:val="none"/>
        </w:rPr>
        <w:t xml:space="preserve">3.4.2 </w:t>
      </w:r>
      <w:r>
        <w:rPr>
          <w:rFonts w:hint="eastAsia" w:cs="宋体"/>
          <w:color w:val="auto"/>
          <w:highlight w:val="none"/>
        </w:rPr>
        <w:t>投标人不按本章第</w:t>
      </w:r>
      <w:r>
        <w:rPr>
          <w:color w:val="auto"/>
          <w:highlight w:val="none"/>
        </w:rPr>
        <w:t>3.4.1</w:t>
      </w:r>
      <w:r>
        <w:rPr>
          <w:rFonts w:hint="eastAsia" w:cs="宋体"/>
          <w:color w:val="auto"/>
          <w:highlight w:val="none"/>
        </w:rPr>
        <w:t>项要求提交投标保证金的，其投标文件作否决投标处理。</w:t>
      </w:r>
    </w:p>
    <w:p w14:paraId="713DE43A">
      <w:pPr>
        <w:spacing w:line="360" w:lineRule="auto"/>
        <w:ind w:firstLine="420" w:firstLineChars="200"/>
        <w:rPr>
          <w:color w:val="auto"/>
          <w:highlight w:val="none"/>
        </w:rPr>
      </w:pPr>
      <w:r>
        <w:rPr>
          <w:color w:val="auto"/>
          <w:highlight w:val="none"/>
        </w:rPr>
        <w:t xml:space="preserve">3.4.3 </w:t>
      </w:r>
      <w:r>
        <w:rPr>
          <w:rFonts w:hint="eastAsia" w:cs="宋体"/>
          <w:color w:val="auto"/>
          <w:highlight w:val="none"/>
        </w:rPr>
        <w:t>对未中标人交纳的投标保证金（保函原件）应当于中标通知书发出之日起</w:t>
      </w:r>
      <w:r>
        <w:rPr>
          <w:rFonts w:hint="eastAsia"/>
          <w:color w:val="auto"/>
          <w:highlight w:val="none"/>
        </w:rPr>
        <w:t>4</w:t>
      </w:r>
      <w:r>
        <w:rPr>
          <w:rFonts w:hint="eastAsia" w:cs="宋体"/>
          <w:color w:val="auto"/>
          <w:highlight w:val="none"/>
        </w:rPr>
        <w:t>日内自动退回；对中标人交纳的投标保证金（保函原件）应当于合同签订之日起</w:t>
      </w:r>
      <w:r>
        <w:rPr>
          <w:rFonts w:hint="eastAsia"/>
          <w:color w:val="auto"/>
          <w:highlight w:val="none"/>
        </w:rPr>
        <w:t>4</w:t>
      </w:r>
      <w:r>
        <w:rPr>
          <w:rFonts w:hint="eastAsia" w:cs="宋体"/>
          <w:color w:val="auto"/>
          <w:highlight w:val="none"/>
        </w:rPr>
        <w:t>日内自动退回。</w:t>
      </w:r>
    </w:p>
    <w:p w14:paraId="5D8792D4">
      <w:pPr>
        <w:spacing w:line="360" w:lineRule="auto"/>
        <w:ind w:firstLine="420" w:firstLineChars="200"/>
        <w:rPr>
          <w:color w:val="auto"/>
          <w:highlight w:val="none"/>
        </w:rPr>
      </w:pPr>
      <w:r>
        <w:rPr>
          <w:color w:val="auto"/>
          <w:highlight w:val="none"/>
        </w:rPr>
        <w:t xml:space="preserve">3.4.4 </w:t>
      </w:r>
      <w:r>
        <w:rPr>
          <w:rFonts w:hint="eastAsia" w:cs="宋体"/>
          <w:color w:val="auto"/>
          <w:highlight w:val="none"/>
        </w:rPr>
        <w:t>有下列情形之一的，投标保证金将不予退还：</w:t>
      </w:r>
    </w:p>
    <w:p w14:paraId="4B1D91C4">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）投标人在规定的投标有效期内撤销或修改其投标文件；</w:t>
      </w:r>
    </w:p>
    <w:p w14:paraId="1F67784E">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）中标人在收到中标通知书后，无正当理由拒签合同协议书或未按招标文件规定提交履约保证金。</w:t>
      </w:r>
    </w:p>
    <w:p w14:paraId="42362F9B">
      <w:pPr>
        <w:pStyle w:val="5"/>
        <w:rPr>
          <w:color w:val="auto"/>
          <w:highlight w:val="none"/>
        </w:rPr>
      </w:pPr>
      <w:bookmarkStart w:id="203" w:name="_Toc1750906255"/>
      <w:bookmarkStart w:id="204" w:name="_Toc10290"/>
      <w:bookmarkStart w:id="205" w:name="_Toc78449644"/>
      <w:bookmarkStart w:id="206" w:name="_Toc389065167"/>
      <w:bookmarkStart w:id="207" w:name="_Toc407135100"/>
      <w:r>
        <w:rPr>
          <w:color w:val="auto"/>
          <w:highlight w:val="none"/>
        </w:rPr>
        <w:t xml:space="preserve">3.5 </w:t>
      </w:r>
      <w:r>
        <w:rPr>
          <w:rFonts w:hint="eastAsia" w:cs="黑体"/>
          <w:color w:val="auto"/>
          <w:highlight w:val="none"/>
        </w:rPr>
        <w:t>备选投标方案</w:t>
      </w:r>
      <w:bookmarkEnd w:id="203"/>
      <w:bookmarkEnd w:id="204"/>
      <w:bookmarkEnd w:id="205"/>
      <w:bookmarkEnd w:id="206"/>
      <w:bookmarkEnd w:id="207"/>
    </w:p>
    <w:p w14:paraId="6FA2862D">
      <w:pPr>
        <w:spacing w:line="360" w:lineRule="auto"/>
        <w:ind w:firstLine="420" w:firstLineChars="200"/>
        <w:rPr>
          <w:color w:val="auto"/>
          <w:highlight w:val="none"/>
        </w:rPr>
      </w:pPr>
      <w:r>
        <w:rPr>
          <w:rFonts w:hint="eastAsia" w:cs="宋体"/>
          <w:color w:val="auto"/>
          <w:highlight w:val="none"/>
        </w:rPr>
        <w:t>除</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另有规定外，投标人不得提交备选投标方案。允许投标人提交备选投标方案的，只有中标人所提交的备选投标方案方可予以考虑。评标委员会认为中标人的备选投标方案优于其按照招标文件要求编制的投标方案的，招标人可以接受该备选投标方案。</w:t>
      </w:r>
    </w:p>
    <w:p w14:paraId="5D58AAB5">
      <w:pPr>
        <w:pStyle w:val="5"/>
        <w:rPr>
          <w:color w:val="auto"/>
          <w:highlight w:val="none"/>
        </w:rPr>
      </w:pPr>
      <w:bookmarkStart w:id="208" w:name="_Toc1545592166"/>
      <w:bookmarkStart w:id="209" w:name="_Toc407135101"/>
      <w:bookmarkStart w:id="210" w:name="_Toc389065168"/>
      <w:bookmarkStart w:id="211" w:name="_Toc9700"/>
      <w:bookmarkStart w:id="212" w:name="_Toc78449645"/>
      <w:r>
        <w:rPr>
          <w:color w:val="auto"/>
          <w:highlight w:val="none"/>
        </w:rPr>
        <w:t xml:space="preserve">3.6 </w:t>
      </w:r>
      <w:r>
        <w:rPr>
          <w:rFonts w:hint="eastAsia" w:cs="黑体"/>
          <w:color w:val="auto"/>
          <w:highlight w:val="none"/>
        </w:rPr>
        <w:t>投标文件的编制</w:t>
      </w:r>
      <w:bookmarkEnd w:id="208"/>
      <w:bookmarkEnd w:id="209"/>
      <w:bookmarkEnd w:id="210"/>
      <w:bookmarkEnd w:id="211"/>
      <w:bookmarkEnd w:id="212"/>
    </w:p>
    <w:p w14:paraId="32E464B2">
      <w:pPr>
        <w:spacing w:line="360" w:lineRule="auto"/>
        <w:ind w:firstLine="420" w:firstLineChars="200"/>
        <w:rPr>
          <w:color w:val="auto"/>
          <w:highlight w:val="none"/>
        </w:rPr>
      </w:pPr>
      <w:r>
        <w:rPr>
          <w:color w:val="auto"/>
          <w:highlight w:val="none"/>
        </w:rPr>
        <w:t xml:space="preserve">3.6.1 </w:t>
      </w:r>
      <w:r>
        <w:rPr>
          <w:rFonts w:hint="eastAsia" w:cs="宋体"/>
          <w:color w:val="auto"/>
          <w:highlight w:val="none"/>
        </w:rPr>
        <w:t>投标文件应按第九章</w:t>
      </w:r>
      <w:r>
        <w:rPr>
          <w:rFonts w:hint="eastAsia"/>
          <w:color w:val="auto"/>
          <w:highlight w:val="none"/>
          <w:lang w:eastAsia="zh-CN"/>
        </w:rPr>
        <w:t>“</w:t>
      </w:r>
      <w:r>
        <w:rPr>
          <w:rFonts w:hint="eastAsia" w:cs="宋体"/>
          <w:color w:val="auto"/>
          <w:highlight w:val="none"/>
        </w:rPr>
        <w:t>投标文件格式</w:t>
      </w:r>
      <w:r>
        <w:rPr>
          <w:rFonts w:hint="eastAsia"/>
          <w:color w:val="auto"/>
          <w:highlight w:val="none"/>
          <w:lang w:eastAsia="zh-CN"/>
        </w:rPr>
        <w:t>”</w:t>
      </w:r>
      <w:r>
        <w:rPr>
          <w:rFonts w:hint="eastAsia" w:cs="宋体"/>
          <w:color w:val="auto"/>
          <w:highlight w:val="none"/>
        </w:rPr>
        <w:t>进行编写，如有必要，可以增加附页，作为投标文件的组成部分。其中，投标函附录在满足招标文件实质性要求的基础上，可以提出比招标文件要求更有利于招标人的承诺。</w:t>
      </w:r>
    </w:p>
    <w:p w14:paraId="73E18F8E">
      <w:pPr>
        <w:spacing w:line="360" w:lineRule="auto"/>
        <w:ind w:firstLine="420" w:firstLineChars="200"/>
        <w:rPr>
          <w:color w:val="auto"/>
          <w:highlight w:val="none"/>
        </w:rPr>
      </w:pPr>
      <w:r>
        <w:rPr>
          <w:color w:val="auto"/>
          <w:highlight w:val="none"/>
        </w:rPr>
        <w:t xml:space="preserve">3.6.2 </w:t>
      </w:r>
      <w:r>
        <w:rPr>
          <w:rFonts w:hint="eastAsia" w:cs="宋体"/>
          <w:color w:val="auto"/>
          <w:highlight w:val="none"/>
        </w:rPr>
        <w:t>投标文件应当对招标文件有关工期、投标有效期、质量要求、技术标准和要求、招标范围等实质性内容作出响应。</w:t>
      </w:r>
      <w:r>
        <w:rPr>
          <w:color w:val="auto"/>
          <w:highlight w:val="none"/>
        </w:rPr>
        <w:t xml:space="preserve"> </w:t>
      </w:r>
    </w:p>
    <w:p w14:paraId="6D2F46B3">
      <w:pPr>
        <w:spacing w:line="360" w:lineRule="auto"/>
        <w:ind w:firstLine="420" w:firstLineChars="200"/>
        <w:rPr>
          <w:color w:val="auto"/>
          <w:highlight w:val="none"/>
        </w:rPr>
      </w:pPr>
      <w:r>
        <w:rPr>
          <w:color w:val="auto"/>
          <w:highlight w:val="none"/>
        </w:rPr>
        <w:t>3.6.3</w:t>
      </w:r>
      <w:r>
        <w:rPr>
          <w:rFonts w:hint="eastAsia" w:hAnsi="宋体" w:cs="宋体"/>
          <w:color w:val="auto"/>
          <w:highlight w:val="none"/>
        </w:rPr>
        <w:t>投标文件应采用全国公共资源交易平台（广西壮族自治区）兼容的投标文件制作软件制作，</w:t>
      </w:r>
      <w:r>
        <w:rPr>
          <w:rFonts w:hint="eastAsia" w:cs="宋体"/>
          <w:color w:val="auto"/>
          <w:highlight w:val="none"/>
        </w:rPr>
        <w:t>电子投标文件由投标人在招标文件规定的投标文件相关位置加盖投标人法人单位电子印章。投标文件未加盖投标人法人单位电子印章的，均作否决投标处理。</w:t>
      </w:r>
    </w:p>
    <w:p w14:paraId="1E3643B4">
      <w:pPr>
        <w:spacing w:line="360" w:lineRule="auto"/>
        <w:ind w:firstLine="420" w:firstLineChars="200"/>
        <w:rPr>
          <w:color w:val="auto"/>
          <w:highlight w:val="none"/>
        </w:rPr>
      </w:pPr>
      <w:r>
        <w:rPr>
          <w:color w:val="auto"/>
          <w:highlight w:val="none"/>
        </w:rPr>
        <w:t xml:space="preserve">3.6.4 </w:t>
      </w:r>
      <w:r>
        <w:rPr>
          <w:rFonts w:hint="eastAsia"/>
          <w:color w:val="auto"/>
          <w:highlight w:val="none"/>
        </w:rPr>
        <w:t>电子</w:t>
      </w:r>
      <w:r>
        <w:rPr>
          <w:rFonts w:hint="eastAsia" w:cs="宋体"/>
          <w:color w:val="auto"/>
          <w:highlight w:val="none"/>
        </w:rPr>
        <w:t>投标文件一份，副本份数见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2BEE895A">
      <w:pPr>
        <w:pStyle w:val="4"/>
        <w:rPr>
          <w:color w:val="auto"/>
          <w:highlight w:val="none"/>
        </w:rPr>
      </w:pPr>
      <w:bookmarkStart w:id="213" w:name="_Toc389065169"/>
      <w:bookmarkStart w:id="214" w:name="_Toc407135102"/>
      <w:bookmarkStart w:id="215" w:name="_Toc13"/>
      <w:bookmarkStart w:id="216" w:name="_Toc2024750643"/>
      <w:bookmarkStart w:id="217" w:name="_Toc78449646"/>
      <w:r>
        <w:rPr>
          <w:color w:val="auto"/>
          <w:highlight w:val="none"/>
        </w:rPr>
        <w:t xml:space="preserve">4 </w:t>
      </w:r>
      <w:r>
        <w:rPr>
          <w:rFonts w:hint="eastAsia" w:cs="黑体"/>
          <w:color w:val="auto"/>
          <w:highlight w:val="none"/>
        </w:rPr>
        <w:t>投标</w:t>
      </w:r>
      <w:bookmarkEnd w:id="213"/>
      <w:bookmarkEnd w:id="214"/>
      <w:bookmarkEnd w:id="215"/>
      <w:bookmarkEnd w:id="216"/>
      <w:bookmarkEnd w:id="217"/>
    </w:p>
    <w:p w14:paraId="33288B3F">
      <w:pPr>
        <w:pStyle w:val="5"/>
        <w:rPr>
          <w:color w:val="auto"/>
          <w:highlight w:val="none"/>
        </w:rPr>
      </w:pPr>
      <w:bookmarkStart w:id="218" w:name="_Toc10625"/>
      <w:bookmarkStart w:id="219" w:name="_Toc546265513"/>
      <w:bookmarkStart w:id="220" w:name="_Toc78449647"/>
      <w:bookmarkStart w:id="221" w:name="_Toc407135103"/>
      <w:bookmarkStart w:id="222" w:name="_Toc389065170"/>
      <w:r>
        <w:rPr>
          <w:color w:val="auto"/>
          <w:highlight w:val="none"/>
        </w:rPr>
        <w:t>4.</w:t>
      </w:r>
      <w:r>
        <w:rPr>
          <w:rFonts w:hint="eastAsia"/>
          <w:color w:val="auto"/>
          <w:highlight w:val="none"/>
        </w:rPr>
        <w:t>1</w:t>
      </w:r>
      <w:r>
        <w:rPr>
          <w:rFonts w:hint="eastAsia" w:cs="黑体"/>
          <w:color w:val="auto"/>
          <w:highlight w:val="none"/>
        </w:rPr>
        <w:t>投标文件的加密和数字证书认证</w:t>
      </w:r>
      <w:bookmarkEnd w:id="218"/>
      <w:bookmarkEnd w:id="219"/>
      <w:bookmarkEnd w:id="220"/>
    </w:p>
    <w:p w14:paraId="2D605280">
      <w:pPr>
        <w:spacing w:line="360" w:lineRule="auto"/>
        <w:ind w:firstLine="420" w:firstLineChars="200"/>
        <w:rPr>
          <w:rFonts w:hAnsi="宋体"/>
          <w:color w:val="auto"/>
          <w:highlight w:val="none"/>
        </w:rPr>
      </w:pPr>
      <w:r>
        <w:rPr>
          <w:rFonts w:hAnsi="宋体"/>
          <w:color w:val="auto"/>
          <w:highlight w:val="none"/>
        </w:rPr>
        <w:t>4.</w:t>
      </w:r>
      <w:r>
        <w:rPr>
          <w:rFonts w:hint="eastAsia" w:hAnsi="宋体"/>
          <w:color w:val="auto"/>
          <w:highlight w:val="none"/>
        </w:rPr>
        <w:t>1</w:t>
      </w:r>
      <w:r>
        <w:rPr>
          <w:rFonts w:hAnsi="宋体"/>
          <w:color w:val="auto"/>
          <w:highlight w:val="none"/>
        </w:rPr>
        <w:t xml:space="preserve">.1 </w:t>
      </w:r>
      <w:r>
        <w:rPr>
          <w:rFonts w:hint="eastAsia" w:hAnsi="宋体" w:cs="宋体"/>
          <w:color w:val="auto"/>
          <w:highlight w:val="none"/>
        </w:rPr>
        <w:t>投标文件应通过投标文件制作软件进行制作，并通过数字证书认证和加密，最终生成一份加密格式（*.GXTF）的投标文件。</w:t>
      </w:r>
    </w:p>
    <w:p w14:paraId="6877B575">
      <w:pPr>
        <w:spacing w:line="360" w:lineRule="auto"/>
        <w:ind w:firstLine="420" w:firstLineChars="200"/>
        <w:rPr>
          <w:rFonts w:hint="eastAsia" w:hAnsi="宋体"/>
          <w:color w:val="auto"/>
          <w:highlight w:val="none"/>
        </w:rPr>
      </w:pPr>
      <w:r>
        <w:rPr>
          <w:rFonts w:hAnsi="宋体"/>
          <w:color w:val="auto"/>
          <w:highlight w:val="none"/>
        </w:rPr>
        <w:t>4.</w:t>
      </w:r>
      <w:r>
        <w:rPr>
          <w:rFonts w:hint="eastAsia" w:hAnsi="宋体"/>
          <w:color w:val="auto"/>
          <w:highlight w:val="none"/>
        </w:rPr>
        <w:t>1</w:t>
      </w:r>
      <w:r>
        <w:rPr>
          <w:rFonts w:hAnsi="宋体"/>
          <w:color w:val="auto"/>
          <w:highlight w:val="none"/>
        </w:rPr>
        <w:t xml:space="preserve">.2 </w:t>
      </w:r>
      <w:r>
        <w:rPr>
          <w:rFonts w:hint="eastAsia" w:hAnsi="宋体" w:cs="宋体"/>
          <w:color w:val="auto"/>
          <w:highlight w:val="none"/>
        </w:rPr>
        <w:t>未按本章第</w:t>
      </w:r>
      <w:r>
        <w:rPr>
          <w:rFonts w:hAnsi="宋体"/>
          <w:color w:val="auto"/>
          <w:highlight w:val="none"/>
        </w:rPr>
        <w:t>4.</w:t>
      </w:r>
      <w:r>
        <w:rPr>
          <w:rFonts w:hint="eastAsia" w:hAnsi="宋体"/>
          <w:color w:val="auto"/>
          <w:highlight w:val="none"/>
        </w:rPr>
        <w:t>1</w:t>
      </w:r>
      <w:r>
        <w:rPr>
          <w:rFonts w:hAnsi="宋体"/>
          <w:color w:val="auto"/>
          <w:highlight w:val="none"/>
        </w:rPr>
        <w:t>.1</w:t>
      </w:r>
      <w:r>
        <w:rPr>
          <w:rFonts w:hint="eastAsia" w:hAnsi="宋体" w:cs="宋体"/>
          <w:color w:val="auto"/>
          <w:highlight w:val="none"/>
        </w:rPr>
        <w:t>项要求加密和数字证书认证的投标文件，为无效投标文件。</w:t>
      </w:r>
    </w:p>
    <w:p w14:paraId="1D7222F1">
      <w:pPr>
        <w:pStyle w:val="5"/>
        <w:rPr>
          <w:color w:val="auto"/>
          <w:highlight w:val="none"/>
        </w:rPr>
      </w:pPr>
      <w:bookmarkStart w:id="223" w:name="_Toc2130577406"/>
      <w:bookmarkStart w:id="224" w:name="_Toc78449648"/>
      <w:bookmarkStart w:id="225" w:name="_Toc12364"/>
      <w:r>
        <w:rPr>
          <w:color w:val="auto"/>
          <w:highlight w:val="none"/>
        </w:rPr>
        <w:t>4.</w:t>
      </w:r>
      <w:r>
        <w:rPr>
          <w:rFonts w:hint="eastAsia"/>
          <w:color w:val="auto"/>
          <w:highlight w:val="none"/>
          <w:lang w:val="en-US"/>
        </w:rPr>
        <w:t>2</w:t>
      </w:r>
      <w:r>
        <w:rPr>
          <w:color w:val="auto"/>
          <w:highlight w:val="none"/>
        </w:rPr>
        <w:t xml:space="preserve"> </w:t>
      </w:r>
      <w:r>
        <w:rPr>
          <w:rFonts w:hint="eastAsia" w:cs="黑体"/>
          <w:color w:val="auto"/>
          <w:highlight w:val="none"/>
        </w:rPr>
        <w:t>未加密的电子投标文件U盘</w:t>
      </w:r>
      <w:bookmarkEnd w:id="221"/>
      <w:bookmarkEnd w:id="222"/>
      <w:bookmarkEnd w:id="223"/>
      <w:bookmarkEnd w:id="224"/>
      <w:bookmarkEnd w:id="225"/>
    </w:p>
    <w:p w14:paraId="4D176346">
      <w:pPr>
        <w:spacing w:line="360" w:lineRule="auto"/>
        <w:ind w:firstLine="420" w:firstLineChars="200"/>
        <w:rPr>
          <w:rFonts w:hint="eastAsia"/>
          <w:color w:val="auto"/>
          <w:highlight w:val="none"/>
        </w:rPr>
      </w:pPr>
      <w:r>
        <w:rPr>
          <w:rFonts w:hint="eastAsia"/>
          <w:color w:val="auto"/>
          <w:highlight w:val="none"/>
        </w:rPr>
        <w:t>不需要</w:t>
      </w:r>
      <w:r>
        <w:rPr>
          <w:color w:val="auto"/>
          <w:highlight w:val="none"/>
        </w:rPr>
        <w:t>提供</w:t>
      </w:r>
      <w:r>
        <w:rPr>
          <w:rFonts w:hint="eastAsia"/>
          <w:color w:val="auto"/>
          <w:highlight w:val="none"/>
        </w:rPr>
        <w:t>。</w:t>
      </w:r>
    </w:p>
    <w:p w14:paraId="139D280E">
      <w:pPr>
        <w:pStyle w:val="5"/>
        <w:rPr>
          <w:color w:val="auto"/>
          <w:highlight w:val="none"/>
        </w:rPr>
      </w:pPr>
      <w:bookmarkStart w:id="226" w:name="_Toc78449649"/>
      <w:bookmarkStart w:id="227" w:name="_Toc407135104"/>
      <w:bookmarkStart w:id="228" w:name="_Toc676710179"/>
      <w:bookmarkStart w:id="229" w:name="_Toc20904"/>
      <w:bookmarkStart w:id="230" w:name="_Toc389065171"/>
      <w:r>
        <w:rPr>
          <w:color w:val="auto"/>
          <w:highlight w:val="none"/>
        </w:rPr>
        <w:t>4.</w:t>
      </w:r>
      <w:r>
        <w:rPr>
          <w:rFonts w:hint="eastAsia"/>
          <w:color w:val="auto"/>
          <w:highlight w:val="none"/>
          <w:lang w:val="en-US"/>
        </w:rPr>
        <w:t>3</w:t>
      </w:r>
      <w:r>
        <w:rPr>
          <w:color w:val="auto"/>
          <w:highlight w:val="none"/>
        </w:rPr>
        <w:t xml:space="preserve"> </w:t>
      </w:r>
      <w:r>
        <w:rPr>
          <w:rFonts w:hint="eastAsia" w:cs="黑体"/>
          <w:color w:val="auto"/>
          <w:highlight w:val="none"/>
        </w:rPr>
        <w:t>投标文件的</w:t>
      </w:r>
      <w:r>
        <w:rPr>
          <w:rFonts w:hint="eastAsia" w:cs="黑体"/>
          <w:color w:val="auto"/>
          <w:highlight w:val="none"/>
          <w:lang w:eastAsia="zh-CN"/>
        </w:rPr>
        <w:t>提</w:t>
      </w:r>
      <w:r>
        <w:rPr>
          <w:rFonts w:hint="eastAsia" w:cs="黑体"/>
          <w:color w:val="auto"/>
          <w:highlight w:val="none"/>
        </w:rPr>
        <w:t>交</w:t>
      </w:r>
      <w:bookmarkEnd w:id="226"/>
      <w:bookmarkEnd w:id="227"/>
      <w:bookmarkEnd w:id="228"/>
      <w:bookmarkEnd w:id="229"/>
      <w:bookmarkEnd w:id="230"/>
    </w:p>
    <w:p w14:paraId="479761B5">
      <w:pPr>
        <w:spacing w:line="360" w:lineRule="auto"/>
        <w:ind w:firstLine="420"/>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r>
        <w:rPr>
          <w:rFonts w:hint="default" w:ascii="Times New Roman" w:hAnsi="Times New Roman" w:eastAsia="宋体" w:cs="Times New Roman"/>
          <w:color w:val="auto"/>
          <w:highlight w:val="none"/>
        </w:rPr>
        <w:t>3</w:t>
      </w:r>
      <w:r>
        <w:rPr>
          <w:rFonts w:ascii="Times New Roman" w:hAnsi="Times New Roman" w:eastAsia="宋体" w:cs="Times New Roman"/>
          <w:color w:val="auto"/>
          <w:highlight w:val="none"/>
        </w:rPr>
        <w:t>.1</w:t>
      </w:r>
      <w:r>
        <w:rPr>
          <w:rFonts w:hint="default" w:ascii="Times New Roman" w:hAnsi="Times New Roman" w:eastAsia="宋体" w:cs="Times New Roman"/>
          <w:color w:val="auto"/>
          <w:highlight w:val="none"/>
        </w:rPr>
        <w:t>投标人应在投标人须知前附表第2.2.2项规定的投标截止时间前，向全国公共资源交易平台（广西壮族自治区）成功提交加密后的电子投标文件</w:t>
      </w:r>
      <w:r>
        <w:rPr>
          <w:rFonts w:ascii="Times New Roman" w:hAnsi="Times New Roman" w:eastAsia="宋体" w:cs="Times New Roman"/>
          <w:b w:val="0"/>
          <w:i w:val="0"/>
          <w:caps w:val="0"/>
          <w:color w:val="auto"/>
          <w:spacing w:val="0"/>
          <w:sz w:val="21"/>
          <w:szCs w:val="21"/>
          <w:highlight w:val="none"/>
          <w:shd w:val="clear" w:color="auto" w:fill="auto"/>
        </w:rPr>
        <w:t>（含弹出的输入框中需填写的专职投标员、拟投入的项目主要管理人员身份证信息）</w:t>
      </w:r>
      <w:r>
        <w:rPr>
          <w:rFonts w:hint="default" w:ascii="Times New Roman" w:hAnsi="Times New Roman" w:eastAsia="宋体" w:cs="Times New Roman"/>
          <w:color w:val="auto"/>
          <w:highlight w:val="none"/>
        </w:rPr>
        <w:t>。</w:t>
      </w:r>
    </w:p>
    <w:p w14:paraId="2C3E37AE">
      <w:pPr>
        <w:spacing w:line="360" w:lineRule="auto"/>
        <w:ind w:firstLine="420"/>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r>
        <w:rPr>
          <w:rFonts w:hint="default" w:ascii="Times New Roman" w:hAnsi="Times New Roman" w:eastAsia="宋体" w:cs="Times New Roman"/>
          <w:color w:val="auto"/>
          <w:highlight w:val="none"/>
        </w:rPr>
        <w:t>3</w:t>
      </w:r>
      <w:r>
        <w:rPr>
          <w:rFonts w:ascii="Times New Roman" w:hAnsi="Times New Roman" w:eastAsia="宋体" w:cs="Times New Roman"/>
          <w:color w:val="auto"/>
          <w:highlight w:val="none"/>
        </w:rPr>
        <w:t>.2</w:t>
      </w:r>
      <w:r>
        <w:rPr>
          <w:rFonts w:hint="default" w:ascii="Times New Roman" w:hAnsi="Times New Roman" w:eastAsia="宋体" w:cs="Times New Roman"/>
          <w:color w:val="auto"/>
          <w:highlight w:val="none"/>
        </w:rPr>
        <w:t>递交投标文件地点：见投标人须知前附表，未在开标截止时间前通过网上招投标系统提交有效</w:t>
      </w:r>
      <w:r>
        <w:rPr>
          <w:rFonts w:hint="default" w:ascii="Times New Roman" w:hAnsi="Times New Roman" w:eastAsia="宋体" w:cs="Times New Roman"/>
          <w:color w:val="auto"/>
          <w:highlight w:val="none"/>
          <w:lang w:eastAsia="zh-CN"/>
        </w:rPr>
        <w:t>加密</w:t>
      </w:r>
      <w:r>
        <w:rPr>
          <w:rFonts w:hint="default" w:ascii="Times New Roman" w:hAnsi="Times New Roman" w:eastAsia="宋体" w:cs="Times New Roman"/>
          <w:color w:val="auto"/>
          <w:highlight w:val="none"/>
        </w:rPr>
        <w:t>电子投标文件</w:t>
      </w:r>
      <w:r>
        <w:rPr>
          <w:rFonts w:ascii="Times New Roman" w:hAnsi="Times New Roman" w:eastAsia="宋体" w:cs="Times New Roman"/>
          <w:b w:val="0"/>
          <w:i w:val="0"/>
          <w:caps w:val="0"/>
          <w:color w:val="auto"/>
          <w:spacing w:val="0"/>
          <w:sz w:val="21"/>
          <w:szCs w:val="21"/>
          <w:highlight w:val="none"/>
          <w:shd w:val="clear" w:color="auto" w:fill="auto"/>
        </w:rPr>
        <w:t>（含弹出的输入框中需填写的专职投标员、拟投入的项目主要管理人员身份证信息）</w:t>
      </w:r>
      <w:r>
        <w:rPr>
          <w:rFonts w:hint="default" w:ascii="Times New Roman" w:hAnsi="Times New Roman" w:eastAsia="宋体" w:cs="Times New Roman"/>
          <w:color w:val="auto"/>
          <w:highlight w:val="none"/>
        </w:rPr>
        <w:t>的，全国公共资源交易平台（广西壮族自治区）不予接收。</w:t>
      </w:r>
      <w:r>
        <w:rPr>
          <w:rFonts w:hint="eastAsia" w:hAnsi="宋体"/>
          <w:color w:val="auto"/>
          <w:szCs w:val="21"/>
          <w:highlight w:val="none"/>
        </w:rPr>
        <w:t>投标人完成电子投标文件上传后，全国公共资源交易平台</w:t>
      </w:r>
      <w:r>
        <w:rPr>
          <w:rFonts w:hint="eastAsia" w:hAnsi="宋体"/>
          <w:color w:val="auto"/>
          <w:szCs w:val="21"/>
          <w:highlight w:val="none"/>
          <w:lang w:eastAsia="zh-CN"/>
        </w:rPr>
        <w:t>（</w:t>
      </w:r>
      <w:r>
        <w:rPr>
          <w:rFonts w:hint="eastAsia" w:hAnsi="宋体"/>
          <w:color w:val="auto"/>
          <w:szCs w:val="21"/>
          <w:highlight w:val="none"/>
        </w:rPr>
        <w:t>广西壮族自治区</w:t>
      </w:r>
      <w:r>
        <w:rPr>
          <w:rFonts w:hint="eastAsia" w:hAnsi="宋体"/>
          <w:color w:val="auto"/>
          <w:szCs w:val="21"/>
          <w:highlight w:val="none"/>
          <w:lang w:eastAsia="zh-CN"/>
        </w:rPr>
        <w:t>）</w:t>
      </w:r>
      <w:r>
        <w:rPr>
          <w:rFonts w:hint="eastAsia" w:hAnsi="宋体"/>
          <w:color w:val="auto"/>
          <w:szCs w:val="21"/>
          <w:highlight w:val="none"/>
        </w:rPr>
        <w:t>即时向投标人发出递交回执。递交时间以递交回执载明的传输完成时间为准</w:t>
      </w:r>
      <w:r>
        <w:rPr>
          <w:rFonts w:hint="eastAsia" w:hAnsi="宋体"/>
          <w:color w:val="auto"/>
          <w:szCs w:val="21"/>
          <w:highlight w:val="none"/>
          <w:lang w:eastAsia="zh-CN"/>
        </w:rPr>
        <w:t>。</w:t>
      </w:r>
      <w:r>
        <w:rPr>
          <w:rFonts w:hint="default" w:ascii="Times New Roman" w:hAnsi="Times New Roman" w:eastAsia="宋体" w:cs="Times New Roman"/>
          <w:color w:val="auto"/>
          <w:highlight w:val="none"/>
        </w:rPr>
        <w:t>逾期上传的投标文件，为无效投标文件。</w:t>
      </w:r>
    </w:p>
    <w:p w14:paraId="2E3E6977">
      <w:pPr>
        <w:spacing w:line="360" w:lineRule="auto"/>
        <w:ind w:firstLine="420" w:firstLineChars="200"/>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r>
        <w:rPr>
          <w:rFonts w:hint="default" w:ascii="Times New Roman" w:hAnsi="Times New Roman" w:eastAsia="宋体" w:cs="Times New Roman"/>
          <w:color w:val="auto"/>
          <w:highlight w:val="none"/>
        </w:rPr>
        <w:t>3</w:t>
      </w:r>
      <w:r>
        <w:rPr>
          <w:rFonts w:ascii="Times New Roman" w:hAnsi="Times New Roman" w:eastAsia="宋体" w:cs="Times New Roman"/>
          <w:color w:val="auto"/>
          <w:highlight w:val="none"/>
        </w:rPr>
        <w:t xml:space="preserve">.3 </w:t>
      </w:r>
      <w:r>
        <w:rPr>
          <w:rFonts w:hint="default" w:ascii="Times New Roman" w:hAnsi="Times New Roman" w:eastAsia="宋体" w:cs="Times New Roman"/>
          <w:color w:val="auto"/>
          <w:highlight w:val="none"/>
        </w:rPr>
        <w:t>是否退还投标文件：见投标人须知前附表。</w:t>
      </w:r>
    </w:p>
    <w:p w14:paraId="788A014D">
      <w:pPr>
        <w:pStyle w:val="5"/>
        <w:rPr>
          <w:color w:val="auto"/>
          <w:highlight w:val="none"/>
        </w:rPr>
      </w:pPr>
      <w:bookmarkStart w:id="231" w:name="_Toc78449650"/>
      <w:bookmarkStart w:id="232" w:name="_Toc1068232895"/>
      <w:bookmarkStart w:id="233" w:name="_Toc407135105"/>
      <w:bookmarkStart w:id="234" w:name="_Toc389065172"/>
      <w:bookmarkStart w:id="235" w:name="_Toc20170"/>
      <w:r>
        <w:rPr>
          <w:color w:val="auto"/>
          <w:highlight w:val="none"/>
        </w:rPr>
        <w:t>4.</w:t>
      </w:r>
      <w:r>
        <w:rPr>
          <w:rFonts w:hint="eastAsia"/>
          <w:color w:val="auto"/>
          <w:highlight w:val="none"/>
          <w:lang w:val="en-US"/>
        </w:rPr>
        <w:t>4</w:t>
      </w:r>
      <w:r>
        <w:rPr>
          <w:color w:val="auto"/>
          <w:highlight w:val="none"/>
        </w:rPr>
        <w:t xml:space="preserve"> </w:t>
      </w:r>
      <w:r>
        <w:rPr>
          <w:rFonts w:hint="eastAsia" w:cs="黑体"/>
          <w:color w:val="auto"/>
          <w:highlight w:val="none"/>
        </w:rPr>
        <w:t>投标文件的修改与撤回</w:t>
      </w:r>
      <w:bookmarkEnd w:id="231"/>
      <w:bookmarkEnd w:id="232"/>
      <w:bookmarkEnd w:id="233"/>
      <w:bookmarkEnd w:id="234"/>
      <w:bookmarkEnd w:id="235"/>
    </w:p>
    <w:p w14:paraId="194F1EA5">
      <w:pPr>
        <w:spacing w:line="360" w:lineRule="auto"/>
        <w:ind w:firstLine="420" w:firstLineChars="200"/>
        <w:rPr>
          <w:color w:val="auto"/>
          <w:highlight w:val="none"/>
        </w:rPr>
      </w:pPr>
      <w:r>
        <w:rPr>
          <w:color w:val="auto"/>
          <w:highlight w:val="none"/>
        </w:rPr>
        <w:t>4.</w:t>
      </w:r>
      <w:r>
        <w:rPr>
          <w:rFonts w:hint="eastAsia"/>
          <w:color w:val="auto"/>
          <w:highlight w:val="none"/>
        </w:rPr>
        <w:t>4</w:t>
      </w:r>
      <w:r>
        <w:rPr>
          <w:color w:val="auto"/>
          <w:highlight w:val="none"/>
        </w:rPr>
        <w:t xml:space="preserve">.1 </w:t>
      </w:r>
      <w:r>
        <w:rPr>
          <w:rFonts w:hint="eastAsia" w:hAnsi="宋体" w:cs="宋体"/>
          <w:color w:val="auto"/>
          <w:highlight w:val="none"/>
        </w:rPr>
        <w:t>在投标人须知</w:t>
      </w:r>
      <w:r>
        <w:rPr>
          <w:rFonts w:hint="eastAsia" w:ascii="仿宋_GB2312" w:hAnsi="宋体" w:cs="宋体"/>
          <w:color w:val="auto"/>
          <w:highlight w:val="none"/>
        </w:rPr>
        <w:t>前附表</w:t>
      </w:r>
      <w:r>
        <w:rPr>
          <w:rFonts w:hint="eastAsia" w:hAnsi="宋体" w:cs="宋体"/>
          <w:color w:val="auto"/>
          <w:highlight w:val="none"/>
        </w:rPr>
        <w:t>第</w:t>
      </w:r>
      <w:r>
        <w:rPr>
          <w:color w:val="auto"/>
          <w:highlight w:val="none"/>
        </w:rPr>
        <w:t>2.2.2</w:t>
      </w:r>
      <w:r>
        <w:rPr>
          <w:rFonts w:hint="eastAsia" w:hAnsi="宋体" w:cs="宋体"/>
          <w:color w:val="auto"/>
          <w:highlight w:val="none"/>
        </w:rPr>
        <w:t>项规定的投标截止时间前，投标人可以修改或撤回已提交的投标文件，最终投标文件以投标截止时间前上传至全国公共资源交易平台（广西壮族自治区）的最后一份投标文件为准。</w:t>
      </w:r>
    </w:p>
    <w:p w14:paraId="4033DA3E">
      <w:pPr>
        <w:spacing w:line="360" w:lineRule="auto"/>
        <w:ind w:firstLine="420" w:firstLineChars="200"/>
        <w:rPr>
          <w:rFonts w:hAnsi="宋体"/>
          <w:color w:val="auto"/>
          <w:highlight w:val="none"/>
        </w:rPr>
      </w:pPr>
      <w:r>
        <w:rPr>
          <w:color w:val="auto"/>
          <w:highlight w:val="none"/>
        </w:rPr>
        <w:t>4.</w:t>
      </w:r>
      <w:r>
        <w:rPr>
          <w:rFonts w:hint="eastAsia"/>
          <w:color w:val="auto"/>
          <w:highlight w:val="none"/>
        </w:rPr>
        <w:t>4</w:t>
      </w:r>
      <w:r>
        <w:rPr>
          <w:color w:val="auto"/>
          <w:highlight w:val="none"/>
        </w:rPr>
        <w:t xml:space="preserve">.2 </w:t>
      </w:r>
      <w:r>
        <w:rPr>
          <w:rFonts w:hint="eastAsia" w:hAnsi="宋体" w:cs="宋体"/>
          <w:color w:val="auto"/>
          <w:highlight w:val="none"/>
        </w:rPr>
        <w:t>修改的内容为投标文件的组成部分。</w:t>
      </w:r>
    </w:p>
    <w:p w14:paraId="67890F1C">
      <w:pPr>
        <w:pStyle w:val="4"/>
        <w:rPr>
          <w:color w:val="auto"/>
          <w:highlight w:val="none"/>
        </w:rPr>
      </w:pPr>
      <w:bookmarkStart w:id="236" w:name="_Toc27761"/>
      <w:bookmarkStart w:id="237" w:name="_Toc389065173"/>
      <w:bookmarkStart w:id="238" w:name="_Toc78449651"/>
      <w:bookmarkStart w:id="239" w:name="_Toc1752055502"/>
      <w:bookmarkStart w:id="240" w:name="_Toc407135107"/>
      <w:r>
        <w:rPr>
          <w:color w:val="auto"/>
          <w:highlight w:val="none"/>
        </w:rPr>
        <w:t xml:space="preserve">5 </w:t>
      </w:r>
      <w:r>
        <w:rPr>
          <w:rFonts w:hint="eastAsia" w:cs="黑体"/>
          <w:color w:val="auto"/>
          <w:highlight w:val="none"/>
        </w:rPr>
        <w:t>开标</w:t>
      </w:r>
      <w:bookmarkEnd w:id="236"/>
      <w:bookmarkEnd w:id="237"/>
      <w:bookmarkEnd w:id="238"/>
      <w:bookmarkEnd w:id="239"/>
      <w:bookmarkEnd w:id="240"/>
    </w:p>
    <w:p w14:paraId="61151D08">
      <w:pPr>
        <w:pStyle w:val="5"/>
        <w:rPr>
          <w:color w:val="auto"/>
          <w:highlight w:val="none"/>
        </w:rPr>
      </w:pPr>
      <w:bookmarkStart w:id="241" w:name="_Toc78449652"/>
      <w:bookmarkStart w:id="242" w:name="_Toc407135108"/>
      <w:bookmarkStart w:id="243" w:name="_Toc27207"/>
      <w:bookmarkStart w:id="244" w:name="_Toc1855026112"/>
      <w:bookmarkStart w:id="245" w:name="_Toc389065174"/>
      <w:r>
        <w:rPr>
          <w:color w:val="auto"/>
          <w:highlight w:val="none"/>
        </w:rPr>
        <w:t xml:space="preserve">5.1 </w:t>
      </w:r>
      <w:r>
        <w:rPr>
          <w:rFonts w:hint="eastAsia" w:cs="黑体"/>
          <w:color w:val="auto"/>
          <w:highlight w:val="none"/>
        </w:rPr>
        <w:t>开标时间和地点</w:t>
      </w:r>
      <w:bookmarkEnd w:id="241"/>
      <w:bookmarkEnd w:id="242"/>
      <w:bookmarkEnd w:id="243"/>
      <w:bookmarkEnd w:id="244"/>
      <w:bookmarkEnd w:id="245"/>
    </w:p>
    <w:p w14:paraId="7946F21E">
      <w:pPr>
        <w:spacing w:line="360" w:lineRule="auto"/>
        <w:ind w:firstLine="420" w:firstLineChars="200"/>
        <w:rPr>
          <w:rFonts w:cs="宋体"/>
          <w:color w:val="auto"/>
          <w:highlight w:val="none"/>
        </w:rPr>
      </w:pPr>
      <w:r>
        <w:rPr>
          <w:rFonts w:hint="eastAsia" w:cs="宋体"/>
          <w:color w:val="auto"/>
          <w:highlight w:val="none"/>
        </w:rPr>
        <w:t>招标人在本章第2.2.2款规定的投标截止时间（开标时间）和</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规定的地点公开开标。参加现场开标的投标人代表必须是法定代表人或专职投标员，必须携带专职投标员本人身份证原件</w:t>
      </w:r>
      <w:r>
        <w:rPr>
          <w:rFonts w:hint="eastAsia" w:ascii="宋体" w:hAnsi="宋体"/>
          <w:color w:val="auto"/>
          <w:szCs w:val="21"/>
          <w:highlight w:val="none"/>
        </w:rPr>
        <w:t>（</w:t>
      </w:r>
      <w:r>
        <w:rPr>
          <w:rFonts w:hint="eastAsia" w:ascii="宋体" w:hAnsi="宋体"/>
          <w:color w:val="auto"/>
          <w:szCs w:val="21"/>
          <w:highlight w:val="none"/>
          <w:lang w:eastAsia="zh-CN"/>
        </w:rPr>
        <w:t>或</w:t>
      </w:r>
      <w:r>
        <w:rPr>
          <w:rFonts w:ascii="宋体" w:hAnsi="宋体"/>
          <w:color w:val="auto"/>
          <w:szCs w:val="21"/>
          <w:highlight w:val="none"/>
        </w:rPr>
        <w:t>公安系统生成的电子身份证）</w:t>
      </w:r>
      <w:r>
        <w:rPr>
          <w:rFonts w:hint="eastAsia" w:cs="宋体"/>
          <w:color w:val="auto"/>
          <w:highlight w:val="none"/>
        </w:rPr>
        <w:t>（法定代表人参加现场开标会时，只需提供法定代表人身份证明及法定代表人身份证原件</w:t>
      </w:r>
      <w:r>
        <w:rPr>
          <w:rFonts w:hint="eastAsia" w:ascii="宋体" w:hAnsi="宋体"/>
          <w:color w:val="auto"/>
          <w:szCs w:val="21"/>
          <w:highlight w:val="none"/>
        </w:rPr>
        <w:t>（</w:t>
      </w:r>
      <w:r>
        <w:rPr>
          <w:rFonts w:hint="eastAsia" w:ascii="宋体" w:hAnsi="宋体"/>
          <w:color w:val="auto"/>
          <w:szCs w:val="21"/>
          <w:highlight w:val="none"/>
          <w:lang w:eastAsia="zh-CN"/>
        </w:rPr>
        <w:t>或</w:t>
      </w:r>
      <w:r>
        <w:rPr>
          <w:rFonts w:ascii="宋体" w:hAnsi="宋体"/>
          <w:color w:val="auto"/>
          <w:szCs w:val="21"/>
          <w:highlight w:val="none"/>
        </w:rPr>
        <w:t>公安系统生成的电子身份证）</w:t>
      </w:r>
      <w:r>
        <w:rPr>
          <w:rFonts w:hint="eastAsia" w:cs="宋体"/>
          <w:color w:val="auto"/>
          <w:highlight w:val="none"/>
        </w:rPr>
        <w:t>、专职投标员身份证复印件）和携带生成投标文件时所使用的企业</w:t>
      </w:r>
      <w:r>
        <w:rPr>
          <w:rFonts w:hint="eastAsia" w:cs="宋体"/>
          <w:color w:val="auto"/>
          <w:highlight w:val="none"/>
          <w:lang w:eastAsia="zh-CN"/>
        </w:rPr>
        <w:t>数字证书（CA）</w:t>
      </w:r>
      <w:r>
        <w:rPr>
          <w:rFonts w:hint="eastAsia" w:hAnsi="宋体" w:cs="宋体"/>
          <w:color w:val="auto"/>
          <w:highlight w:val="none"/>
        </w:rPr>
        <w:t>或</w:t>
      </w:r>
      <w:r>
        <w:rPr>
          <w:rFonts w:hint="eastAsia" w:hAnsi="宋体" w:cs="宋体"/>
          <w:color w:val="auto"/>
          <w:highlight w:val="none"/>
          <w:lang w:eastAsia="zh-CN"/>
        </w:rPr>
        <w:t>“</w:t>
      </w:r>
      <w:r>
        <w:rPr>
          <w:rFonts w:hint="eastAsia" w:hAnsi="宋体" w:cs="宋体"/>
          <w:color w:val="auto"/>
          <w:highlight w:val="none"/>
        </w:rPr>
        <w:t>桂交易移动CA</w:t>
      </w:r>
      <w:r>
        <w:rPr>
          <w:rFonts w:hint="eastAsia" w:hAnsi="宋体" w:cs="宋体"/>
          <w:color w:val="auto"/>
          <w:highlight w:val="none"/>
          <w:lang w:eastAsia="zh-CN"/>
        </w:rPr>
        <w:t>”</w:t>
      </w:r>
      <w:r>
        <w:rPr>
          <w:rFonts w:hint="eastAsia" w:cs="宋体"/>
          <w:color w:val="auto"/>
          <w:highlight w:val="none"/>
        </w:rPr>
        <w:t>参加开</w:t>
      </w:r>
      <w:r>
        <w:rPr>
          <w:rFonts w:hint="default" w:ascii="宋体" w:hAnsi="宋体" w:eastAsia="宋体" w:cs="Times New Roman"/>
          <w:color w:val="auto"/>
          <w:highlight w:val="none"/>
        </w:rPr>
        <w:t>标，</w:t>
      </w:r>
      <w:r>
        <w:rPr>
          <w:rFonts w:hint="eastAsia" w:ascii="宋体" w:hAnsi="宋体" w:eastAsia="宋体" w:cs="Times New Roman"/>
          <w:color w:val="auto"/>
          <w:highlight w:val="none"/>
          <w:lang w:eastAsia="zh-CN"/>
        </w:rPr>
        <w:t>并在进入投标文件解密环节后60分钟内</w:t>
      </w:r>
      <w:r>
        <w:rPr>
          <w:rFonts w:hint="eastAsia" w:ascii="宋体" w:hAnsi="宋体" w:eastAsia="宋体" w:cs="Times New Roman"/>
          <w:color w:val="auto"/>
          <w:highlight w:val="none"/>
          <w:lang w:val="en-US" w:eastAsia="zh-CN"/>
        </w:rPr>
        <w:t>，</w:t>
      </w:r>
      <w:r>
        <w:rPr>
          <w:rFonts w:hint="default" w:ascii="宋体" w:hAnsi="宋体" w:eastAsia="宋体" w:cs="Times New Roman"/>
          <w:color w:val="auto"/>
          <w:highlight w:val="none"/>
          <w:lang w:val="en-US" w:eastAsia="zh-CN"/>
        </w:rPr>
        <w:t>完成</w:t>
      </w:r>
      <w:r>
        <w:rPr>
          <w:rFonts w:hint="eastAsia" w:ascii="Times New Roman" w:hAnsi="Times New Roman" w:eastAsia="宋体" w:cs="Times New Roman"/>
          <w:color w:val="auto"/>
          <w:highlight w:val="none"/>
          <w:lang w:eastAsia="zh-CN"/>
        </w:rPr>
        <w:t>专职投标员个人</w:t>
      </w:r>
      <w:r>
        <w:rPr>
          <w:rFonts w:hint="default" w:ascii="Times New Roman" w:hAnsi="Times New Roman" w:cs="Times New Roman"/>
          <w:color w:val="auto"/>
          <w:highlight w:val="none"/>
        </w:rPr>
        <w:t>CA锁</w:t>
      </w:r>
      <w:r>
        <w:rPr>
          <w:rFonts w:hint="eastAsia" w:ascii="Times New Roman" w:hAnsi="Times New Roman" w:cs="Times New Roman"/>
          <w:color w:val="auto"/>
          <w:highlight w:val="none"/>
          <w:lang w:eastAsia="zh-CN"/>
        </w:rPr>
        <w:t>签到、</w:t>
      </w:r>
      <w:r>
        <w:rPr>
          <w:rFonts w:hint="default" w:ascii="宋体" w:hAnsi="宋体" w:eastAsia="宋体" w:cs="Times New Roman"/>
          <w:color w:val="auto"/>
          <w:highlight w:val="none"/>
        </w:rPr>
        <w:t>电子投标文件</w:t>
      </w:r>
      <w:r>
        <w:rPr>
          <w:rFonts w:hint="default" w:ascii="宋体" w:hAnsi="宋体" w:eastAsia="宋体" w:cs="Times New Roman"/>
          <w:color w:val="auto"/>
          <w:highlight w:val="none"/>
          <w:lang w:val="en-US" w:eastAsia="zh-CN"/>
        </w:rPr>
        <w:t>解密</w:t>
      </w:r>
      <w:r>
        <w:rPr>
          <w:rFonts w:hint="eastAsia" w:ascii="宋体" w:hAnsi="宋体" w:eastAsia="宋体" w:cs="Times New Roman"/>
          <w:color w:val="auto"/>
          <w:highlight w:val="none"/>
          <w:lang w:val="en-US" w:eastAsia="zh-CN"/>
        </w:rPr>
        <w:t>并</w:t>
      </w:r>
      <w:r>
        <w:rPr>
          <w:rFonts w:hint="default" w:ascii="宋体" w:hAnsi="宋体" w:eastAsia="宋体" w:cs="Times New Roman"/>
          <w:color w:val="auto"/>
          <w:highlight w:val="none"/>
          <w:lang w:val="en-US" w:eastAsia="zh-CN"/>
        </w:rPr>
        <w:t>验证</w:t>
      </w:r>
      <w:r>
        <w:rPr>
          <w:rFonts w:hint="eastAsia" w:ascii="宋体" w:hAnsi="宋体" w:eastAsia="宋体" w:cs="Times New Roman"/>
          <w:color w:val="auto"/>
          <w:highlight w:val="none"/>
          <w:lang w:val="en-US" w:eastAsia="zh-CN"/>
        </w:rPr>
        <w:t>有效</w:t>
      </w:r>
      <w:r>
        <w:rPr>
          <w:rFonts w:hint="default" w:ascii="宋体" w:hAnsi="宋体" w:eastAsia="宋体" w:cs="Times New Roman"/>
          <w:color w:val="auto"/>
          <w:highlight w:val="none"/>
        </w:rPr>
        <w:t>；参加网上开标的投标人由专职投标</w:t>
      </w:r>
      <w:r>
        <w:rPr>
          <w:rFonts w:hint="eastAsia" w:cs="宋体"/>
          <w:color w:val="auto"/>
          <w:highlight w:val="none"/>
        </w:rPr>
        <w:t>员登录</w:t>
      </w:r>
      <w:r>
        <w:rPr>
          <w:rFonts w:hint="eastAsia" w:ascii="宋体" w:hAnsi="宋体" w:cs="宋体"/>
          <w:color w:val="auto"/>
          <w:kern w:val="0"/>
          <w:highlight w:val="none"/>
        </w:rPr>
        <w:t>广西壮族自治区网上开标子系统</w:t>
      </w:r>
      <w:r>
        <w:rPr>
          <w:rFonts w:hint="eastAsia" w:cs="宋体"/>
          <w:color w:val="auto"/>
          <w:highlight w:val="none"/>
        </w:rPr>
        <w:t>网上开标室</w:t>
      </w:r>
      <w:r>
        <w:rPr>
          <w:rFonts w:hint="eastAsia" w:cs="宋体"/>
          <w:color w:val="auto"/>
          <w:highlight w:val="none"/>
          <w:lang w:eastAsia="zh-CN"/>
        </w:rPr>
        <w:t>，在进入投标文件解密环节后60分钟内</w:t>
      </w:r>
      <w:r>
        <w:rPr>
          <w:rFonts w:hint="eastAsia" w:cs="宋体"/>
          <w:color w:val="auto"/>
          <w:highlight w:val="none"/>
        </w:rPr>
        <w:t>，通过</w:t>
      </w:r>
      <w:r>
        <w:rPr>
          <w:rFonts w:hint="eastAsia" w:ascii="宋体" w:hAnsi="宋体" w:cs="宋体"/>
          <w:color w:val="auto"/>
          <w:kern w:val="0"/>
          <w:highlight w:val="none"/>
        </w:rPr>
        <w:t>广西壮族自治区网上开标子系统</w:t>
      </w:r>
      <w:r>
        <w:rPr>
          <w:rFonts w:hint="default" w:ascii="宋体" w:hAnsi="宋体" w:eastAsia="宋体" w:cs="Times New Roman"/>
          <w:color w:val="auto"/>
          <w:highlight w:val="none"/>
          <w:lang w:val="en-US" w:eastAsia="zh-CN"/>
        </w:rPr>
        <w:t>完成专职投标员个人CA锁签到、</w:t>
      </w:r>
      <w:r>
        <w:rPr>
          <w:rFonts w:hint="default" w:ascii="宋体" w:hAnsi="宋体" w:eastAsia="宋体" w:cs="Times New Roman"/>
          <w:color w:val="auto"/>
          <w:highlight w:val="none"/>
        </w:rPr>
        <w:t>电子投标文件</w:t>
      </w:r>
      <w:r>
        <w:rPr>
          <w:rFonts w:hint="default" w:ascii="宋体" w:hAnsi="宋体" w:eastAsia="宋体" w:cs="Times New Roman"/>
          <w:color w:val="auto"/>
          <w:highlight w:val="none"/>
          <w:lang w:val="en-US" w:eastAsia="zh-CN"/>
        </w:rPr>
        <w:t>解密</w:t>
      </w:r>
      <w:r>
        <w:rPr>
          <w:rFonts w:hint="eastAsia" w:ascii="宋体" w:hAnsi="宋体" w:eastAsia="宋体" w:cs="Times New Roman"/>
          <w:color w:val="auto"/>
          <w:highlight w:val="none"/>
          <w:lang w:val="en-US" w:eastAsia="zh-CN"/>
        </w:rPr>
        <w:t>并</w:t>
      </w:r>
      <w:r>
        <w:rPr>
          <w:rFonts w:hint="default" w:ascii="宋体" w:hAnsi="宋体" w:eastAsia="宋体" w:cs="Times New Roman"/>
          <w:color w:val="auto"/>
          <w:highlight w:val="none"/>
          <w:lang w:val="en-US" w:eastAsia="zh-CN"/>
        </w:rPr>
        <w:t>验证</w:t>
      </w:r>
      <w:r>
        <w:rPr>
          <w:rFonts w:hint="eastAsia" w:ascii="宋体" w:hAnsi="宋体" w:eastAsia="宋体" w:cs="Times New Roman"/>
          <w:color w:val="auto"/>
          <w:highlight w:val="none"/>
          <w:lang w:val="en-US" w:eastAsia="zh-CN"/>
        </w:rPr>
        <w:t>有效</w:t>
      </w:r>
      <w:r>
        <w:rPr>
          <w:rFonts w:hint="eastAsia" w:cs="宋体"/>
          <w:color w:val="auto"/>
          <w:highlight w:val="none"/>
        </w:rPr>
        <w:t>，</w:t>
      </w:r>
      <w:r>
        <w:rPr>
          <w:rFonts w:hint="eastAsia" w:cs="宋体"/>
          <w:color w:val="auto"/>
          <w:highlight w:val="none"/>
          <w:lang w:eastAsia="zh-CN"/>
        </w:rPr>
        <w:t>否则，</w:t>
      </w:r>
      <w:r>
        <w:rPr>
          <w:rFonts w:hint="eastAsia" w:ascii="Arial" w:hAnsi="Arial" w:cs="宋体"/>
          <w:color w:val="auto"/>
          <w:highlight w:val="none"/>
          <w:shd w:val="clear" w:color="auto" w:fill="FFFFFF"/>
        </w:rPr>
        <w:t>视为</w:t>
      </w:r>
      <w:r>
        <w:rPr>
          <w:rFonts w:hint="eastAsia" w:hAnsi="宋体" w:cs="宋体"/>
          <w:color w:val="auto"/>
          <w:highlight w:val="none"/>
        </w:rPr>
        <w:t>投标人</w:t>
      </w:r>
      <w:r>
        <w:rPr>
          <w:rFonts w:hint="eastAsia" w:ascii="Arial" w:hAnsi="Arial" w:cs="宋体"/>
          <w:color w:val="auto"/>
          <w:highlight w:val="none"/>
          <w:shd w:val="clear" w:color="auto" w:fill="FFFFFF"/>
        </w:rPr>
        <w:t>撤销其投标文件</w:t>
      </w:r>
      <w:r>
        <w:rPr>
          <w:rFonts w:hint="eastAsia" w:cs="宋体"/>
          <w:color w:val="auto"/>
          <w:highlight w:val="none"/>
        </w:rPr>
        <w:t>。</w:t>
      </w:r>
    </w:p>
    <w:p w14:paraId="76477784">
      <w:pPr>
        <w:spacing w:line="360" w:lineRule="auto"/>
        <w:ind w:firstLine="420" w:firstLineChars="200"/>
        <w:rPr>
          <w:color w:val="auto"/>
          <w:highlight w:val="none"/>
        </w:rPr>
      </w:pPr>
      <w:r>
        <w:rPr>
          <w:rFonts w:hint="eastAsia" w:cs="宋体"/>
          <w:color w:val="auto"/>
          <w:highlight w:val="none"/>
        </w:rPr>
        <w:t>招标代理机构的招标代理员必须到场，并向招标人</w:t>
      </w:r>
      <w:r>
        <w:rPr>
          <w:rFonts w:hint="eastAsia" w:cs="宋体"/>
          <w:color w:val="auto"/>
          <w:highlight w:val="none"/>
          <w:lang w:eastAsia="zh-CN"/>
        </w:rPr>
        <w:t>、交易中心</w:t>
      </w:r>
      <w:r>
        <w:rPr>
          <w:rFonts w:hint="eastAsia" w:cs="宋体"/>
          <w:color w:val="auto"/>
          <w:highlight w:val="none"/>
        </w:rPr>
        <w:t>出示本人身份证原件</w:t>
      </w:r>
      <w:r>
        <w:rPr>
          <w:rFonts w:hint="eastAsia" w:ascii="宋体" w:hAnsi="宋体"/>
          <w:color w:val="auto"/>
          <w:szCs w:val="21"/>
          <w:highlight w:val="none"/>
        </w:rPr>
        <w:t>（</w:t>
      </w:r>
      <w:r>
        <w:rPr>
          <w:rFonts w:hint="eastAsia" w:ascii="宋体" w:hAnsi="宋体"/>
          <w:color w:val="auto"/>
          <w:szCs w:val="21"/>
          <w:highlight w:val="none"/>
          <w:lang w:eastAsia="zh-CN"/>
        </w:rPr>
        <w:t>或</w:t>
      </w:r>
      <w:r>
        <w:rPr>
          <w:rFonts w:ascii="宋体" w:hAnsi="宋体"/>
          <w:color w:val="auto"/>
          <w:szCs w:val="21"/>
          <w:highlight w:val="none"/>
        </w:rPr>
        <w:t>公安系统生成的电子身份证）</w:t>
      </w:r>
      <w:r>
        <w:rPr>
          <w:rFonts w:hint="eastAsia" w:ascii="宋体" w:hAnsi="宋体"/>
          <w:color w:val="auto"/>
          <w:szCs w:val="21"/>
          <w:highlight w:val="none"/>
          <w:lang w:eastAsia="zh-CN"/>
        </w:rPr>
        <w:t>，</w:t>
      </w:r>
      <w:r>
        <w:rPr>
          <w:rFonts w:hint="eastAsia"/>
          <w:color w:val="auto"/>
          <w:highlight w:val="none"/>
        </w:rPr>
        <w:t>并</w:t>
      </w:r>
      <w:r>
        <w:rPr>
          <w:rFonts w:hint="eastAsia"/>
          <w:color w:val="auto"/>
          <w:highlight w:val="none"/>
          <w:lang w:eastAsia="zh-CN"/>
        </w:rPr>
        <w:t>在</w:t>
      </w:r>
      <w:r>
        <w:rPr>
          <w:rFonts w:hint="eastAsia" w:ascii="宋体" w:hAnsi="宋体" w:cs="宋体"/>
          <w:color w:val="auto"/>
          <w:kern w:val="0"/>
          <w:highlight w:val="none"/>
        </w:rPr>
        <w:t>广西壮族自治区网上开标子系统</w:t>
      </w:r>
      <w:r>
        <w:rPr>
          <w:rFonts w:hint="eastAsia"/>
          <w:color w:val="auto"/>
          <w:highlight w:val="none"/>
          <w:lang w:eastAsia="zh-CN"/>
        </w:rPr>
        <w:t>内</w:t>
      </w:r>
      <w:r>
        <w:rPr>
          <w:rFonts w:hint="eastAsia"/>
          <w:color w:val="auto"/>
          <w:highlight w:val="none"/>
        </w:rPr>
        <w:t>验证</w:t>
      </w:r>
      <w:r>
        <w:rPr>
          <w:rFonts w:hint="eastAsia"/>
          <w:color w:val="auto"/>
          <w:highlight w:val="none"/>
          <w:lang w:eastAsia="zh-CN"/>
        </w:rPr>
        <w:t>有效，否则不予以开标</w:t>
      </w:r>
      <w:r>
        <w:rPr>
          <w:rFonts w:hint="eastAsia" w:cs="宋体"/>
          <w:color w:val="auto"/>
          <w:highlight w:val="none"/>
        </w:rPr>
        <w:t>。</w:t>
      </w:r>
    </w:p>
    <w:p w14:paraId="0CF5F4FC">
      <w:pPr>
        <w:spacing w:line="360" w:lineRule="auto"/>
        <w:ind w:firstLine="420" w:firstLineChars="200"/>
        <w:rPr>
          <w:color w:val="auto"/>
          <w:highlight w:val="none"/>
        </w:rPr>
      </w:pPr>
      <w:r>
        <w:rPr>
          <w:rFonts w:hint="eastAsia" w:cs="宋体"/>
          <w:color w:val="auto"/>
          <w:highlight w:val="none"/>
        </w:rPr>
        <w:t>开标会由招标人或其委托的招标代理机构主持。</w:t>
      </w:r>
    </w:p>
    <w:p w14:paraId="3ED646A6">
      <w:pPr>
        <w:pStyle w:val="5"/>
        <w:rPr>
          <w:color w:val="auto"/>
          <w:highlight w:val="none"/>
        </w:rPr>
      </w:pPr>
      <w:bookmarkStart w:id="246" w:name="_Toc78449653"/>
      <w:bookmarkStart w:id="247" w:name="_Toc389065175"/>
      <w:bookmarkStart w:id="248" w:name="_Toc1088352565"/>
      <w:bookmarkStart w:id="249" w:name="_Toc407135109"/>
      <w:bookmarkStart w:id="250" w:name="_Toc27288"/>
      <w:r>
        <w:rPr>
          <w:color w:val="auto"/>
          <w:highlight w:val="none"/>
        </w:rPr>
        <w:t xml:space="preserve">5.2 </w:t>
      </w:r>
      <w:r>
        <w:rPr>
          <w:rFonts w:hint="eastAsia" w:cs="黑体"/>
          <w:color w:val="auto"/>
          <w:highlight w:val="none"/>
        </w:rPr>
        <w:t>开标程序</w:t>
      </w:r>
      <w:bookmarkEnd w:id="246"/>
      <w:bookmarkEnd w:id="247"/>
      <w:bookmarkEnd w:id="248"/>
      <w:bookmarkEnd w:id="249"/>
      <w:bookmarkEnd w:id="250"/>
    </w:p>
    <w:p w14:paraId="294E4745">
      <w:pPr>
        <w:spacing w:line="360" w:lineRule="auto"/>
        <w:ind w:firstLine="420" w:firstLineChars="200"/>
        <w:rPr>
          <w:color w:val="auto"/>
          <w:highlight w:val="none"/>
        </w:rPr>
      </w:pPr>
      <w:bookmarkStart w:id="251" w:name="_Toc389065176"/>
      <w:r>
        <w:rPr>
          <w:rFonts w:hint="eastAsia" w:cs="宋体"/>
          <w:color w:val="auto"/>
          <w:highlight w:val="none"/>
        </w:rPr>
        <w:t>主持人按以下程序进行开标：</w:t>
      </w:r>
    </w:p>
    <w:p w14:paraId="3739C708">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w:t>
      </w:r>
      <w:r>
        <w:rPr>
          <w:rFonts w:hint="eastAsia" w:hAnsi="宋体" w:cs="宋体"/>
          <w:color w:val="auto"/>
          <w:highlight w:val="none"/>
        </w:rPr>
        <w:t>宣布开标纪律；</w:t>
      </w:r>
    </w:p>
    <w:p w14:paraId="45A4669D">
      <w:pPr>
        <w:spacing w:line="360" w:lineRule="auto"/>
        <w:ind w:firstLine="420" w:firstLineChars="200"/>
        <w:rPr>
          <w:strike w:val="0"/>
          <w:color w:val="auto"/>
          <w:highlight w:val="none"/>
        </w:rPr>
      </w:pPr>
      <w:r>
        <w:rPr>
          <w:rFonts w:hint="eastAsia" w:cs="宋体"/>
          <w:strike w:val="0"/>
          <w:color w:val="auto"/>
          <w:highlight w:val="none"/>
        </w:rPr>
        <w:t>（</w:t>
      </w:r>
      <w:r>
        <w:rPr>
          <w:strike w:val="0"/>
          <w:color w:val="auto"/>
          <w:highlight w:val="none"/>
        </w:rPr>
        <w:t>2</w:t>
      </w:r>
      <w:r>
        <w:rPr>
          <w:rFonts w:hint="eastAsia" w:cs="宋体"/>
          <w:strike w:val="0"/>
          <w:color w:val="auto"/>
          <w:highlight w:val="none"/>
        </w:rPr>
        <w:t>）</w:t>
      </w:r>
      <w:r>
        <w:rPr>
          <w:rFonts w:hint="eastAsia" w:hAnsi="宋体" w:cs="宋体"/>
          <w:strike w:val="0"/>
          <w:color w:val="auto"/>
          <w:highlight w:val="none"/>
        </w:rPr>
        <w:t>宣布开标人、唱标人、记录人等有关人员名单；</w:t>
      </w:r>
    </w:p>
    <w:p w14:paraId="324C3A90">
      <w:pPr>
        <w:spacing w:line="360" w:lineRule="auto"/>
        <w:ind w:firstLine="420" w:firstLineChars="200"/>
        <w:rPr>
          <w:rFonts w:hAnsi="宋体"/>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r>
        <w:rPr>
          <w:rFonts w:hint="eastAsia" w:hAnsi="宋体" w:cs="宋体"/>
          <w:color w:val="auto"/>
          <w:highlight w:val="none"/>
        </w:rPr>
        <w:t>公布在投标截止时间前递交投标文件的投标人名称情况；</w:t>
      </w:r>
    </w:p>
    <w:p w14:paraId="07C54DB6">
      <w:pPr>
        <w:spacing w:line="360" w:lineRule="auto"/>
        <w:ind w:firstLine="420" w:firstLineChars="200"/>
        <w:rPr>
          <w:rFonts w:hint="eastAsia" w:eastAsia="宋体"/>
          <w:color w:val="auto"/>
          <w:highlight w:val="none"/>
          <w:lang w:eastAsia="zh-CN"/>
        </w:rPr>
      </w:pPr>
      <w:r>
        <w:rPr>
          <w:rFonts w:hint="eastAsia" w:cs="宋体"/>
          <w:color w:val="auto"/>
          <w:highlight w:val="none"/>
        </w:rPr>
        <w:t>（</w:t>
      </w:r>
      <w:r>
        <w:rPr>
          <w:color w:val="auto"/>
          <w:highlight w:val="none"/>
        </w:rPr>
        <w:t>4</w:t>
      </w:r>
      <w:r>
        <w:rPr>
          <w:rFonts w:hint="eastAsia" w:cs="宋体"/>
          <w:color w:val="auto"/>
          <w:highlight w:val="none"/>
        </w:rPr>
        <w:t>）</w:t>
      </w:r>
      <w:r>
        <w:rPr>
          <w:rFonts w:hint="default" w:ascii="Times New Roman" w:hAnsi="Times New Roman" w:cs="Times New Roman"/>
          <w:color w:val="auto"/>
          <w:highlight w:val="none"/>
          <w:lang w:eastAsia="zh-CN"/>
        </w:rPr>
        <w:t>招标代理机构点击进入投标文件解密环节，解密时间为60分钟。在解密时间结束前投标人须通过广西壮族自治区网上开标子系统使用专职投标员个人</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lang w:eastAsia="zh-CN"/>
        </w:rPr>
        <w:t>签到，使用加密投标文件的</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lang w:eastAsia="zh-CN"/>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进行网上签到、解密），并通过广西壮族自治区网上开标子系统自动验证有效，否则，视为投标人撤销其投标文件。（</w:t>
      </w:r>
      <w:r>
        <w:rPr>
          <w:rFonts w:hint="eastAsia" w:ascii="方正楷体_GB2312" w:hAnsi="方正楷体_GB2312" w:eastAsia="方正楷体_GB2312" w:cs="方正楷体_GB2312"/>
          <w:color w:val="auto"/>
          <w:highlight w:val="none"/>
          <w:lang w:eastAsia="zh-CN"/>
        </w:rPr>
        <w:t>注：投标单位在制作电子投标文件过程中，须在弹出的输入框中填写专职投标员及拟投入的项目主要管理人员身份证信息并仔细确认</w:t>
      </w:r>
      <w:r>
        <w:rPr>
          <w:rFonts w:hint="default" w:ascii="Times New Roman" w:hAnsi="Times New Roman" w:cs="Times New Roman"/>
          <w:color w:val="auto"/>
          <w:highlight w:val="none"/>
          <w:lang w:eastAsia="zh-CN"/>
        </w:rPr>
        <w:t>）</w:t>
      </w:r>
      <w:r>
        <w:rPr>
          <w:rFonts w:hint="eastAsia" w:cs="宋体"/>
          <w:color w:val="auto"/>
          <w:highlight w:val="none"/>
        </w:rPr>
        <w:t>；</w:t>
      </w:r>
    </w:p>
    <w:p w14:paraId="70EE765C">
      <w:pPr>
        <w:spacing w:line="360" w:lineRule="auto"/>
        <w:ind w:firstLine="420" w:firstLineChars="200"/>
        <w:rPr>
          <w:rFonts w:hAnsi="宋体" w:cs="宋体"/>
          <w:color w:val="auto"/>
          <w:highlight w:val="none"/>
        </w:rPr>
      </w:pPr>
      <w:r>
        <w:rPr>
          <w:rFonts w:hint="eastAsia" w:cs="宋体"/>
          <w:color w:val="auto"/>
          <w:highlight w:val="none"/>
        </w:rPr>
        <w:t>（</w:t>
      </w:r>
      <w:r>
        <w:rPr>
          <w:color w:val="auto"/>
          <w:highlight w:val="none"/>
        </w:rPr>
        <w:t>5</w:t>
      </w:r>
      <w:r>
        <w:rPr>
          <w:rFonts w:hint="eastAsia" w:cs="宋体"/>
          <w:color w:val="auto"/>
          <w:highlight w:val="none"/>
        </w:rPr>
        <w:t>）</w:t>
      </w:r>
      <w:r>
        <w:rPr>
          <w:rFonts w:hint="eastAsia" w:hAnsi="宋体" w:cs="宋体"/>
          <w:color w:val="auto"/>
          <w:highlight w:val="none"/>
        </w:rPr>
        <w:t>公布解密情况（解密是否成功、投标人名称、</w:t>
      </w:r>
      <w:r>
        <w:rPr>
          <w:rFonts w:hint="eastAsia" w:hAnsi="宋体" w:cs="宋体"/>
          <w:color w:val="auto"/>
          <w:highlight w:val="none"/>
          <w:lang w:eastAsia="zh-CN"/>
        </w:rPr>
        <w:t>专职投标员、</w:t>
      </w:r>
      <w:r>
        <w:rPr>
          <w:rFonts w:hint="eastAsia" w:hAnsi="宋体" w:cs="宋体"/>
          <w:color w:val="auto"/>
          <w:highlight w:val="none"/>
        </w:rPr>
        <w:t>拟投入的项目经理和所有专职安全生产管理人员是否通过系统验证、投标家数等情况）；</w:t>
      </w:r>
    </w:p>
    <w:p w14:paraId="54E195F4">
      <w:pPr>
        <w:spacing w:line="360" w:lineRule="auto"/>
        <w:ind w:firstLine="420" w:firstLineChars="200"/>
        <w:rPr>
          <w:rFonts w:hint="eastAsia" w:ascii="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6</w:t>
      </w:r>
      <w:r>
        <w:rPr>
          <w:rFonts w:hint="eastAsia" w:ascii="宋体" w:hAnsi="宋体" w:cs="宋体"/>
          <w:color w:val="auto"/>
          <w:highlight w:val="none"/>
        </w:rPr>
        <w:t>）招标人代表随机抽取</w:t>
      </w:r>
      <w:r>
        <w:rPr>
          <w:rFonts w:ascii="宋体" w:hAnsi="宋体" w:cs="宋体"/>
          <w:color w:val="auto"/>
          <w:highlight w:val="none"/>
        </w:rPr>
        <w:t>K</w:t>
      </w:r>
      <w:r>
        <w:rPr>
          <w:rFonts w:hint="eastAsia" w:ascii="宋体" w:hAnsi="宋体" w:cs="宋体"/>
          <w:color w:val="auto"/>
          <w:highlight w:val="none"/>
        </w:rPr>
        <w:t>值</w:t>
      </w:r>
      <w:r>
        <w:rPr>
          <w:rFonts w:hint="eastAsia" w:ascii="宋体" w:hAnsi="宋体" w:cs="宋体"/>
          <w:color w:val="auto"/>
          <w:highlight w:val="none"/>
          <w:lang w:eastAsia="zh-CN"/>
        </w:rPr>
        <w:t>（选用经评审的合理低价法时需要抽取）</w:t>
      </w:r>
      <w:r>
        <w:rPr>
          <w:rFonts w:hint="eastAsia" w:ascii="宋体" w:hAnsi="宋体" w:cs="宋体"/>
          <w:color w:val="auto"/>
          <w:highlight w:val="none"/>
        </w:rPr>
        <w:t>；</w:t>
      </w:r>
    </w:p>
    <w:p w14:paraId="121C9326">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w:t>
      </w:r>
      <w:r>
        <w:rPr>
          <w:rFonts w:hint="eastAsia" w:ascii="Times New Roman" w:hAnsi="Times New Roman" w:eastAsia="宋体" w:cs="宋体"/>
          <w:color w:val="auto"/>
          <w:highlight w:val="none"/>
          <w:lang w:val="en-US" w:eastAsia="zh-CN"/>
        </w:rPr>
        <w:t>7</w:t>
      </w:r>
      <w:r>
        <w:rPr>
          <w:rFonts w:hint="eastAsia" w:ascii="Times New Roman" w:hAnsi="Times New Roman" w:eastAsia="宋体" w:cs="宋体"/>
          <w:color w:val="auto"/>
          <w:highlight w:val="none"/>
        </w:rPr>
        <w:t>）公布投标人名称、标段名称、投标保证金的提交情况、投标报价、质量目标、工期及其他内容；</w:t>
      </w:r>
    </w:p>
    <w:p w14:paraId="34135D94">
      <w:pPr>
        <w:spacing w:line="360" w:lineRule="auto"/>
        <w:ind w:firstLine="420" w:firstLineChars="200"/>
        <w:rPr>
          <w:rFonts w:hAnsi="宋体" w:cs="宋体"/>
          <w:color w:val="auto"/>
          <w:highlight w:val="none"/>
        </w:rPr>
      </w:pPr>
      <w:r>
        <w:rPr>
          <w:rFonts w:hint="eastAsia" w:cs="宋体"/>
          <w:color w:val="auto"/>
          <w:highlight w:val="none"/>
        </w:rPr>
        <w:t>（</w:t>
      </w:r>
      <w:r>
        <w:rPr>
          <w:rFonts w:hint="eastAsia"/>
          <w:color w:val="auto"/>
          <w:highlight w:val="none"/>
          <w:lang w:val="en-US" w:eastAsia="zh-CN"/>
        </w:rPr>
        <w:t>8</w:t>
      </w:r>
      <w:r>
        <w:rPr>
          <w:rFonts w:hint="eastAsia" w:hAnsi="宋体" w:cs="宋体"/>
          <w:color w:val="auto"/>
          <w:highlight w:val="none"/>
        </w:rPr>
        <w:t>）公布</w:t>
      </w:r>
      <w:r>
        <w:rPr>
          <w:rFonts w:hint="eastAsia" w:hAnsi="宋体" w:cs="宋体"/>
          <w:color w:val="auto"/>
          <w:highlight w:val="none"/>
          <w:lang w:eastAsia="zh-CN"/>
        </w:rPr>
        <w:t>最高投标限价</w:t>
      </w:r>
      <w:r>
        <w:rPr>
          <w:rFonts w:hint="eastAsia" w:hAnsi="宋体" w:cs="宋体"/>
          <w:color w:val="auto"/>
          <w:highlight w:val="none"/>
        </w:rPr>
        <w:t>及相关内容</w:t>
      </w:r>
      <w:r>
        <w:rPr>
          <w:rFonts w:hint="eastAsia" w:ascii="宋体" w:hAnsi="宋体" w:cs="宋体"/>
          <w:color w:val="auto"/>
          <w:highlight w:val="none"/>
        </w:rPr>
        <w:t>。</w:t>
      </w:r>
    </w:p>
    <w:p w14:paraId="0EFCEBE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9</w:t>
      </w:r>
      <w:r>
        <w:rPr>
          <w:rFonts w:hint="eastAsia" w:ascii="宋体" w:hAnsi="宋体" w:cs="宋体"/>
          <w:color w:val="auto"/>
          <w:highlight w:val="none"/>
        </w:rPr>
        <w:t>）开标过程</w:t>
      </w:r>
      <w:r>
        <w:rPr>
          <w:rFonts w:ascii="宋体" w:hAnsi="宋体" w:cs="宋体"/>
          <w:color w:val="auto"/>
          <w:highlight w:val="none"/>
        </w:rPr>
        <w:t>，</w:t>
      </w:r>
      <w:r>
        <w:rPr>
          <w:rFonts w:hint="eastAsia" w:ascii="宋体" w:hAnsi="宋体" w:cs="宋体"/>
          <w:color w:val="auto"/>
          <w:highlight w:val="none"/>
        </w:rPr>
        <w:t>采用不见面开标的，</w:t>
      </w:r>
      <w:r>
        <w:rPr>
          <w:rFonts w:hint="eastAsia" w:ascii="宋体" w:hAnsi="宋体" w:cs="宋体"/>
          <w:color w:val="auto"/>
          <w:kern w:val="2"/>
          <w:highlight w:val="none"/>
        </w:rPr>
        <w:t>投标人代表可在广西壮族自治区网上开标子系统对开标过程提出异议</w:t>
      </w:r>
      <w:r>
        <w:rPr>
          <w:rFonts w:hint="eastAsia" w:ascii="宋体" w:hAnsi="宋体" w:cs="宋体"/>
          <w:color w:val="auto"/>
          <w:highlight w:val="none"/>
        </w:rPr>
        <w:t>，参与</w:t>
      </w:r>
      <w:r>
        <w:rPr>
          <w:rFonts w:ascii="宋体" w:hAnsi="宋体" w:cs="宋体"/>
          <w:color w:val="auto"/>
          <w:highlight w:val="none"/>
        </w:rPr>
        <w:t>现场</w:t>
      </w:r>
      <w:r>
        <w:rPr>
          <w:rFonts w:hint="eastAsia" w:ascii="宋体" w:hAnsi="宋体" w:cs="宋体"/>
          <w:color w:val="auto"/>
          <w:highlight w:val="none"/>
        </w:rPr>
        <w:t>开标</w:t>
      </w:r>
      <w:r>
        <w:rPr>
          <w:rFonts w:ascii="宋体" w:hAnsi="宋体" w:cs="宋体"/>
          <w:color w:val="auto"/>
          <w:highlight w:val="none"/>
        </w:rPr>
        <w:t>的可以现场提出异议</w:t>
      </w:r>
      <w:r>
        <w:rPr>
          <w:rFonts w:hint="eastAsia" w:ascii="宋体" w:hAnsi="宋体" w:cs="宋体"/>
          <w:color w:val="auto"/>
          <w:kern w:val="2"/>
          <w:highlight w:val="none"/>
        </w:rPr>
        <w:t>；</w:t>
      </w:r>
    </w:p>
    <w:p w14:paraId="6992C6A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lang w:val="en-US" w:eastAsia="zh-CN"/>
        </w:rPr>
        <w:t>0</w:t>
      </w:r>
      <w:r>
        <w:rPr>
          <w:rFonts w:hint="eastAsia" w:ascii="宋体" w:hAnsi="宋体" w:cs="宋体"/>
          <w:color w:val="auto"/>
          <w:highlight w:val="none"/>
        </w:rPr>
        <w:t>）招标人代表、记录人等有关人员在开标记录</w:t>
      </w:r>
      <w:r>
        <w:rPr>
          <w:rFonts w:hint="eastAsia" w:ascii="宋体" w:hAnsi="宋体" w:cs="宋体"/>
          <w:color w:val="auto"/>
          <w:highlight w:val="none"/>
          <w:lang w:eastAsia="zh-CN"/>
        </w:rPr>
        <w:t>表</w:t>
      </w:r>
      <w:r>
        <w:rPr>
          <w:rFonts w:hint="eastAsia" w:ascii="宋体" w:hAnsi="宋体" w:eastAsia="宋体" w:cs="宋体"/>
          <w:color w:val="auto"/>
          <w:highlight w:val="none"/>
          <w:lang w:eastAsia="zh-CN"/>
        </w:rPr>
        <w:t>和</w:t>
      </w:r>
      <w:r>
        <w:rPr>
          <w:rFonts w:hint="eastAsia" w:ascii="宋体" w:hAnsi="宋体" w:eastAsia="宋体" w:cs="宋体"/>
          <w:color w:val="auto"/>
          <w:sz w:val="21"/>
          <w:szCs w:val="21"/>
          <w:highlight w:val="none"/>
        </w:rPr>
        <w:t>投标单位人员诚信状态核查情况记录表</w:t>
      </w:r>
      <w:r>
        <w:rPr>
          <w:rFonts w:hint="eastAsia" w:ascii="宋体" w:hAnsi="宋体" w:cs="宋体"/>
          <w:color w:val="auto"/>
          <w:highlight w:val="none"/>
        </w:rPr>
        <w:t>上签字确认；如采用</w:t>
      </w:r>
      <w:r>
        <w:rPr>
          <w:rFonts w:hint="eastAsia" w:ascii="宋体" w:hAnsi="宋体" w:cs="宋体"/>
          <w:color w:val="auto"/>
          <w:highlight w:val="none"/>
          <w:lang w:eastAsia="zh-CN"/>
        </w:rPr>
        <w:t>网上</w:t>
      </w:r>
      <w:r>
        <w:rPr>
          <w:rFonts w:hint="eastAsia" w:ascii="宋体" w:hAnsi="宋体" w:cs="宋体"/>
          <w:color w:val="auto"/>
          <w:highlight w:val="none"/>
        </w:rPr>
        <w:t>不见面开标方式的，各投标人使用单位个人</w:t>
      </w:r>
      <w:r>
        <w:rPr>
          <w:rFonts w:hint="eastAsia" w:ascii="宋体" w:hAnsi="宋体" w:eastAsia="宋体" w:cs="宋体"/>
          <w:color w:val="auto"/>
          <w:highlight w:val="none"/>
          <w:lang w:eastAsia="zh-CN"/>
        </w:rPr>
        <w:t>数字证书（CA）</w:t>
      </w:r>
      <w:r>
        <w:rPr>
          <w:rFonts w:hint="eastAsia" w:ascii="宋体" w:hAnsi="宋体" w:eastAsia="宋体" w:cs="宋体"/>
          <w:color w:val="auto"/>
          <w:highlight w:val="none"/>
        </w:rPr>
        <w:t>或</w:t>
      </w:r>
      <w:r>
        <w:rPr>
          <w:rFonts w:hint="eastAsia" w:ascii="宋体" w:hAnsi="宋体" w:cs="宋体"/>
          <w:color w:val="auto"/>
          <w:highlight w:val="none"/>
          <w:lang w:eastAsia="zh-CN"/>
        </w:rPr>
        <w:t>“</w:t>
      </w:r>
      <w:r>
        <w:rPr>
          <w:rFonts w:hint="eastAsia" w:ascii="宋体" w:hAnsi="宋体" w:eastAsia="宋体" w:cs="宋体"/>
          <w:color w:val="auto"/>
          <w:highlight w:val="none"/>
        </w:rPr>
        <w:t>桂交易移动CA</w:t>
      </w:r>
      <w:r>
        <w:rPr>
          <w:rFonts w:hint="eastAsia" w:ascii="宋体" w:hAnsi="宋体" w:cs="宋体"/>
          <w:color w:val="auto"/>
          <w:highlight w:val="none"/>
          <w:lang w:eastAsia="zh-CN"/>
        </w:rPr>
        <w:t>”</w:t>
      </w:r>
      <w:r>
        <w:rPr>
          <w:rFonts w:hint="eastAsia" w:ascii="宋体" w:hAnsi="宋体" w:eastAsia="宋体" w:cs="宋体"/>
          <w:color w:val="auto"/>
          <w:highlight w:val="none"/>
        </w:rPr>
        <w:t>在开标记录表</w:t>
      </w:r>
      <w:r>
        <w:rPr>
          <w:rFonts w:hint="eastAsia" w:ascii="宋体" w:hAnsi="宋体" w:eastAsia="宋体" w:cs="宋体"/>
          <w:color w:val="auto"/>
          <w:highlight w:val="none"/>
          <w:lang w:eastAsia="zh-CN"/>
        </w:rPr>
        <w:t>、</w:t>
      </w:r>
      <w:r>
        <w:rPr>
          <w:rFonts w:hint="eastAsia" w:ascii="宋体" w:hAnsi="宋体" w:eastAsia="宋体" w:cs="宋体"/>
          <w:color w:val="auto"/>
          <w:sz w:val="21"/>
          <w:szCs w:val="21"/>
          <w:highlight w:val="none"/>
        </w:rPr>
        <w:t>投标单位人员诚信状态核查情况记录表</w:t>
      </w:r>
      <w:r>
        <w:rPr>
          <w:rFonts w:hint="eastAsia" w:ascii="宋体" w:hAnsi="宋体" w:eastAsia="宋体" w:cs="宋体"/>
          <w:color w:val="auto"/>
          <w:highlight w:val="none"/>
        </w:rPr>
        <w:t>上</w:t>
      </w:r>
      <w:r>
        <w:rPr>
          <w:rFonts w:hint="eastAsia" w:ascii="宋体" w:hAnsi="宋体" w:cs="宋体"/>
          <w:color w:val="auto"/>
          <w:highlight w:val="none"/>
        </w:rPr>
        <w:t>签章确认，超过10分钟没有进行签</w:t>
      </w:r>
      <w:r>
        <w:rPr>
          <w:rFonts w:hint="eastAsia" w:ascii="宋体" w:hAnsi="宋体" w:eastAsia="宋体" w:cs="宋体"/>
          <w:color w:val="auto"/>
          <w:highlight w:val="none"/>
        </w:rPr>
        <w:t>章，视为认可开标记录表</w:t>
      </w:r>
      <w:r>
        <w:rPr>
          <w:rFonts w:hint="eastAsia" w:ascii="宋体" w:hAnsi="宋体" w:eastAsia="宋体" w:cs="宋体"/>
          <w:color w:val="auto"/>
          <w:highlight w:val="none"/>
          <w:lang w:eastAsia="zh-CN"/>
        </w:rPr>
        <w:t>和</w:t>
      </w:r>
      <w:r>
        <w:rPr>
          <w:rFonts w:hint="eastAsia" w:ascii="宋体" w:hAnsi="宋体" w:eastAsia="宋体" w:cs="宋体"/>
          <w:color w:val="auto"/>
          <w:sz w:val="21"/>
          <w:szCs w:val="21"/>
          <w:highlight w:val="none"/>
        </w:rPr>
        <w:t>投标单位人员诚信状态核查情况记录表</w:t>
      </w:r>
      <w:r>
        <w:rPr>
          <w:rFonts w:hint="eastAsia" w:ascii="宋体" w:hAnsi="宋体" w:eastAsia="宋体" w:cs="宋体"/>
          <w:color w:val="auto"/>
          <w:highlight w:val="none"/>
        </w:rPr>
        <w:t>的内容，招标人</w:t>
      </w:r>
      <w:r>
        <w:rPr>
          <w:rFonts w:hint="eastAsia" w:ascii="宋体" w:hAnsi="宋体" w:cs="宋体"/>
          <w:color w:val="auto"/>
          <w:highlight w:val="none"/>
        </w:rPr>
        <w:t>代表、记录人等有关人员在开标记录</w:t>
      </w:r>
      <w:r>
        <w:rPr>
          <w:rFonts w:hint="eastAsia" w:ascii="宋体" w:hAnsi="宋体" w:cs="宋体"/>
          <w:color w:val="auto"/>
          <w:highlight w:val="none"/>
          <w:lang w:eastAsia="zh-CN"/>
        </w:rPr>
        <w:t>表</w:t>
      </w:r>
      <w:r>
        <w:rPr>
          <w:rFonts w:hint="eastAsia" w:ascii="宋体" w:hAnsi="宋体" w:eastAsia="宋体" w:cs="宋体"/>
          <w:color w:val="auto"/>
          <w:highlight w:val="none"/>
          <w:lang w:eastAsia="zh-CN"/>
        </w:rPr>
        <w:t>和</w:t>
      </w:r>
      <w:r>
        <w:rPr>
          <w:rFonts w:hint="eastAsia" w:ascii="宋体" w:hAnsi="宋体" w:eastAsia="宋体" w:cs="宋体"/>
          <w:color w:val="auto"/>
          <w:sz w:val="21"/>
          <w:szCs w:val="21"/>
          <w:highlight w:val="none"/>
        </w:rPr>
        <w:t>投标单位人员诚信状态核查情况记录表</w:t>
      </w:r>
      <w:r>
        <w:rPr>
          <w:rFonts w:hint="eastAsia" w:ascii="宋体" w:hAnsi="宋体" w:cs="宋体"/>
          <w:color w:val="auto"/>
          <w:highlight w:val="none"/>
        </w:rPr>
        <w:t>上签字确认。</w:t>
      </w:r>
    </w:p>
    <w:p w14:paraId="120DF5A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lang w:val="en-US" w:eastAsia="zh-CN"/>
        </w:rPr>
        <w:t>1</w:t>
      </w:r>
      <w:r>
        <w:rPr>
          <w:rFonts w:hint="eastAsia" w:ascii="宋体" w:hAnsi="宋体" w:cs="宋体"/>
          <w:color w:val="auto"/>
          <w:highlight w:val="none"/>
        </w:rPr>
        <w:t>）开标结束。</w:t>
      </w:r>
    </w:p>
    <w:p w14:paraId="1018136F">
      <w:pPr>
        <w:pStyle w:val="5"/>
        <w:rPr>
          <w:rFonts w:hAnsi="宋体"/>
          <w:color w:val="auto"/>
          <w:highlight w:val="none"/>
        </w:rPr>
      </w:pPr>
      <w:bookmarkStart w:id="252" w:name="_Toc407135110"/>
      <w:bookmarkStart w:id="253" w:name="_Toc16796"/>
      <w:bookmarkStart w:id="254" w:name="_Toc78449654"/>
      <w:bookmarkStart w:id="255" w:name="_Toc1283753565"/>
      <w:r>
        <w:rPr>
          <w:color w:val="auto"/>
          <w:highlight w:val="none"/>
        </w:rPr>
        <w:t>5.3</w:t>
      </w:r>
      <w:r>
        <w:rPr>
          <w:rFonts w:hint="eastAsia" w:hAnsi="宋体" w:cs="黑体"/>
          <w:color w:val="auto"/>
          <w:highlight w:val="none"/>
        </w:rPr>
        <w:t>电子开标的应急措施</w:t>
      </w:r>
      <w:bookmarkEnd w:id="252"/>
      <w:bookmarkEnd w:id="253"/>
      <w:bookmarkEnd w:id="254"/>
      <w:bookmarkEnd w:id="255"/>
    </w:p>
    <w:p w14:paraId="6147AF9B">
      <w:pPr>
        <w:spacing w:line="360" w:lineRule="auto"/>
        <w:ind w:firstLine="525" w:firstLineChars="250"/>
        <w:rPr>
          <w:rFonts w:hAnsi="宋体"/>
          <w:color w:val="auto"/>
          <w:highlight w:val="none"/>
        </w:rPr>
      </w:pPr>
      <w:r>
        <w:rPr>
          <w:rFonts w:hAnsi="宋体"/>
          <w:color w:val="auto"/>
          <w:highlight w:val="none"/>
        </w:rPr>
        <w:t>5.3.1</w:t>
      </w:r>
      <w:r>
        <w:rPr>
          <w:rFonts w:hint="eastAsia" w:hAnsi="宋体" w:cs="宋体"/>
          <w:color w:val="auto"/>
          <w:highlight w:val="none"/>
        </w:rPr>
        <w:t>电子开标如出现下列原因，导致系统无法正常运行，或者无法保证招投标过程的公平、公正和信息安全时，招标人、招标监管部门和公共资源交易平台运行服务机构应采取应急措施。</w:t>
      </w:r>
    </w:p>
    <w:p w14:paraId="515A3311">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）系统服务器发生故障或停电等情况，无法访问或无法使用系统；</w:t>
      </w:r>
      <w:r>
        <w:rPr>
          <w:rFonts w:hAnsi="宋体"/>
          <w:color w:val="auto"/>
          <w:highlight w:val="none"/>
        </w:rPr>
        <w:t xml:space="preserve"> </w:t>
      </w:r>
    </w:p>
    <w:p w14:paraId="257D6C41">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2</w:t>
      </w:r>
      <w:r>
        <w:rPr>
          <w:rFonts w:hint="eastAsia" w:hAnsi="宋体" w:cs="宋体"/>
          <w:color w:val="auto"/>
          <w:highlight w:val="none"/>
        </w:rPr>
        <w:t>）系统的软件或数据库出现错误，不能进行正常操作；</w:t>
      </w:r>
      <w:r>
        <w:rPr>
          <w:rFonts w:hAnsi="宋体"/>
          <w:color w:val="auto"/>
          <w:highlight w:val="none"/>
        </w:rPr>
        <w:t xml:space="preserve"> </w:t>
      </w:r>
    </w:p>
    <w:p w14:paraId="3B9E9530">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3</w:t>
      </w:r>
      <w:r>
        <w:rPr>
          <w:rFonts w:hint="eastAsia" w:hAnsi="宋体" w:cs="宋体"/>
          <w:color w:val="auto"/>
          <w:highlight w:val="none"/>
        </w:rPr>
        <w:t>）系统发现有安全漏洞，有潜在的泄密危险；</w:t>
      </w:r>
      <w:r>
        <w:rPr>
          <w:rFonts w:hAnsi="宋体"/>
          <w:color w:val="auto"/>
          <w:highlight w:val="none"/>
        </w:rPr>
        <w:t xml:space="preserve"> </w:t>
      </w:r>
    </w:p>
    <w:p w14:paraId="02907A46">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4</w:t>
      </w:r>
      <w:r>
        <w:rPr>
          <w:rFonts w:hint="eastAsia" w:hAnsi="宋体" w:cs="宋体"/>
          <w:color w:val="auto"/>
          <w:highlight w:val="none"/>
        </w:rPr>
        <w:t>）病毒发作或受到外来的攻击；</w:t>
      </w:r>
      <w:r>
        <w:rPr>
          <w:rFonts w:hAnsi="宋体"/>
          <w:color w:val="auto"/>
          <w:highlight w:val="none"/>
        </w:rPr>
        <w:t xml:space="preserve"> </w:t>
      </w:r>
    </w:p>
    <w:p w14:paraId="278E435E">
      <w:pPr>
        <w:spacing w:line="360" w:lineRule="auto"/>
        <w:ind w:firstLine="525" w:firstLineChars="250"/>
        <w:rPr>
          <w:rFonts w:hAnsi="宋体"/>
          <w:color w:val="auto"/>
          <w:highlight w:val="none"/>
        </w:rPr>
      </w:pPr>
      <w:r>
        <w:rPr>
          <w:rFonts w:hint="eastAsia" w:hAnsi="宋体" w:cs="宋体"/>
          <w:color w:val="auto"/>
          <w:highlight w:val="none"/>
        </w:rPr>
        <w:t>（</w:t>
      </w:r>
      <w:r>
        <w:rPr>
          <w:rFonts w:hAnsi="宋体"/>
          <w:color w:val="auto"/>
          <w:highlight w:val="none"/>
        </w:rPr>
        <w:t>5</w:t>
      </w:r>
      <w:r>
        <w:rPr>
          <w:rFonts w:hint="eastAsia" w:hAnsi="宋体" w:cs="宋体"/>
          <w:color w:val="auto"/>
          <w:highlight w:val="none"/>
        </w:rPr>
        <w:t>）其他无法保证招投标过程公平、公正和信息安全的情形。</w:t>
      </w:r>
      <w:r>
        <w:rPr>
          <w:rFonts w:hAnsi="宋体"/>
          <w:color w:val="auto"/>
          <w:highlight w:val="none"/>
        </w:rPr>
        <w:t xml:space="preserve"> </w:t>
      </w:r>
    </w:p>
    <w:p w14:paraId="219041AD">
      <w:pPr>
        <w:spacing w:line="360" w:lineRule="auto"/>
        <w:ind w:firstLine="525" w:firstLineChars="250"/>
        <w:rPr>
          <w:rFonts w:hAnsi="宋体"/>
          <w:color w:val="auto"/>
          <w:highlight w:val="none"/>
        </w:rPr>
      </w:pPr>
      <w:r>
        <w:rPr>
          <w:rFonts w:hint="eastAsia" w:hAnsi="宋体" w:cs="宋体"/>
          <w:color w:val="auto"/>
          <w:highlight w:val="none"/>
        </w:rPr>
        <w:t>出现上述情况时，应对未开标的暂停开标。已在系统内开标的立即停止。对原有资料及信息作出保密处理，或等待系统恢复正常后再组织进行开标。</w:t>
      </w:r>
    </w:p>
    <w:p w14:paraId="35C5A9F5">
      <w:pPr>
        <w:spacing w:line="360" w:lineRule="auto"/>
        <w:ind w:firstLine="525" w:firstLineChars="250"/>
        <w:rPr>
          <w:rFonts w:hAnsi="宋体"/>
          <w:color w:val="auto"/>
          <w:highlight w:val="none"/>
        </w:rPr>
      </w:pPr>
      <w:r>
        <w:rPr>
          <w:rFonts w:hAnsi="宋体"/>
          <w:color w:val="auto"/>
          <w:highlight w:val="none"/>
        </w:rPr>
        <w:t xml:space="preserve">5.3.2 </w:t>
      </w:r>
      <w:r>
        <w:rPr>
          <w:rFonts w:hint="eastAsia" w:hAnsi="宋体" w:cs="宋体"/>
          <w:color w:val="auto"/>
          <w:highlight w:val="none"/>
        </w:rPr>
        <w:t>投标人在</w:t>
      </w:r>
      <w:r>
        <w:rPr>
          <w:rFonts w:hint="eastAsia" w:hAnsi="宋体" w:cs="宋体"/>
          <w:color w:val="auto"/>
          <w:highlight w:val="none"/>
          <w:lang w:val="en-US" w:eastAsia="zh-CN"/>
        </w:rPr>
        <w:t>进入投标文件解密环节后</w:t>
      </w:r>
      <w:r>
        <w:rPr>
          <w:rFonts w:hint="eastAsia" w:hAnsi="宋体"/>
          <w:color w:val="auto"/>
          <w:highlight w:val="none"/>
          <w:lang w:val="en-US" w:eastAsia="zh-CN"/>
        </w:rPr>
        <w:t>6</w:t>
      </w:r>
      <w:r>
        <w:rPr>
          <w:rFonts w:hAnsi="宋体"/>
          <w:color w:val="auto"/>
          <w:highlight w:val="none"/>
        </w:rPr>
        <w:t>0</w:t>
      </w:r>
      <w:r>
        <w:rPr>
          <w:rFonts w:hint="eastAsia" w:hAnsi="宋体" w:cs="宋体"/>
          <w:color w:val="auto"/>
          <w:highlight w:val="none"/>
        </w:rPr>
        <w:t>分钟内完成投标文件解密</w:t>
      </w:r>
      <w:r>
        <w:rPr>
          <w:rFonts w:hint="eastAsia" w:hAnsi="宋体" w:cs="宋体"/>
          <w:color w:val="auto"/>
          <w:highlight w:val="none"/>
          <w:lang w:eastAsia="zh-CN"/>
        </w:rPr>
        <w:t>、验证</w:t>
      </w:r>
      <w:r>
        <w:rPr>
          <w:rFonts w:hint="eastAsia" w:hAnsi="宋体" w:cs="宋体"/>
          <w:color w:val="auto"/>
          <w:highlight w:val="none"/>
        </w:rPr>
        <w:t>工作（以</w:t>
      </w:r>
      <w:r>
        <w:rPr>
          <w:rFonts w:hint="eastAsia" w:ascii="宋体" w:hAnsi="宋体" w:cs="宋体"/>
          <w:color w:val="auto"/>
          <w:kern w:val="0"/>
          <w:highlight w:val="none"/>
        </w:rPr>
        <w:t>广西壮族自治区网上开标子系统</w:t>
      </w:r>
      <w:r>
        <w:rPr>
          <w:rFonts w:hint="eastAsia" w:hAnsi="宋体" w:cs="宋体"/>
          <w:color w:val="auto"/>
          <w:highlight w:val="none"/>
        </w:rPr>
        <w:t>解密倒计时为准）。</w:t>
      </w:r>
      <w:r>
        <w:rPr>
          <w:rFonts w:hint="eastAsia" w:ascii="Arial" w:hAnsi="Arial" w:cs="宋体"/>
          <w:color w:val="auto"/>
          <w:highlight w:val="none"/>
          <w:shd w:val="clear" w:color="auto" w:fill="FFFFFF"/>
        </w:rPr>
        <w:t>因投标人原因造成投标文件</w:t>
      </w:r>
      <w:r>
        <w:rPr>
          <w:rFonts w:hint="eastAsia" w:ascii="Arial" w:hAnsi="Arial" w:cs="宋体"/>
          <w:color w:val="auto"/>
          <w:highlight w:val="none"/>
          <w:shd w:val="clear" w:color="auto" w:fill="FFFFFF"/>
          <w:lang w:val="en-US" w:eastAsia="zh-CN"/>
        </w:rPr>
        <w:t>未</w:t>
      </w:r>
      <w:r>
        <w:rPr>
          <w:rFonts w:hint="eastAsia" w:hAnsi="宋体" w:cs="宋体"/>
          <w:color w:val="auto"/>
          <w:highlight w:val="none"/>
        </w:rPr>
        <w:t>在规定时间内</w:t>
      </w:r>
      <w:r>
        <w:rPr>
          <w:rFonts w:hint="eastAsia" w:ascii="Arial" w:hAnsi="Arial" w:cs="宋体"/>
          <w:color w:val="auto"/>
          <w:highlight w:val="none"/>
          <w:shd w:val="clear" w:color="auto" w:fill="FFFFFF"/>
        </w:rPr>
        <w:t>解密</w:t>
      </w:r>
      <w:r>
        <w:rPr>
          <w:rFonts w:hint="eastAsia" w:hAnsi="宋体" w:cs="宋体"/>
          <w:color w:val="auto"/>
          <w:highlight w:val="none"/>
          <w:lang w:eastAsia="zh-CN"/>
        </w:rPr>
        <w:t>且验证有效</w:t>
      </w:r>
      <w:r>
        <w:rPr>
          <w:rFonts w:hint="eastAsia" w:ascii="Arial" w:hAnsi="Arial" w:cs="宋体"/>
          <w:color w:val="auto"/>
          <w:highlight w:val="none"/>
          <w:shd w:val="clear" w:color="auto" w:fill="FFFFFF"/>
        </w:rPr>
        <w:t>的，视为</w:t>
      </w:r>
      <w:r>
        <w:rPr>
          <w:rFonts w:hint="eastAsia" w:hAnsi="宋体" w:cs="宋体"/>
          <w:color w:val="auto"/>
          <w:highlight w:val="none"/>
        </w:rPr>
        <w:t>投标人</w:t>
      </w:r>
      <w:r>
        <w:rPr>
          <w:rFonts w:hint="eastAsia" w:ascii="Arial" w:hAnsi="Arial" w:cs="宋体"/>
          <w:color w:val="auto"/>
          <w:highlight w:val="none"/>
          <w:shd w:val="clear" w:color="auto" w:fill="FFFFFF"/>
        </w:rPr>
        <w:t>撤销其投标文件</w:t>
      </w:r>
      <w:r>
        <w:rPr>
          <w:rFonts w:hint="eastAsia" w:hAnsi="宋体" w:cs="宋体"/>
          <w:color w:val="auto"/>
          <w:highlight w:val="none"/>
        </w:rPr>
        <w:t>。</w:t>
      </w:r>
    </w:p>
    <w:p w14:paraId="1309EC3B">
      <w:pPr>
        <w:spacing w:line="360" w:lineRule="auto"/>
        <w:ind w:firstLine="525" w:firstLineChars="250"/>
        <w:rPr>
          <w:rFonts w:hAnsi="宋体"/>
          <w:color w:val="auto"/>
          <w:highlight w:val="none"/>
        </w:rPr>
      </w:pPr>
      <w:r>
        <w:rPr>
          <w:rFonts w:hAnsi="宋体"/>
          <w:color w:val="auto"/>
          <w:highlight w:val="none"/>
        </w:rPr>
        <w:t>5.3.</w:t>
      </w:r>
      <w:r>
        <w:rPr>
          <w:rFonts w:hint="eastAsia" w:hAnsi="宋体"/>
          <w:color w:val="auto"/>
          <w:highlight w:val="none"/>
        </w:rPr>
        <w:t>3</w:t>
      </w:r>
      <w:r>
        <w:rPr>
          <w:rFonts w:hint="eastAsia" w:hAnsi="宋体" w:cs="宋体"/>
          <w:color w:val="auto"/>
          <w:highlight w:val="none"/>
        </w:rPr>
        <w:t>因网络问题或者</w:t>
      </w:r>
      <w:r>
        <w:rPr>
          <w:rFonts w:hint="eastAsia" w:hAnsi="宋体" w:cs="宋体"/>
          <w:color w:val="auto"/>
          <w:highlight w:val="none"/>
          <w:lang w:eastAsia="zh-CN"/>
        </w:rPr>
        <w:t>“</w:t>
      </w:r>
      <w:r>
        <w:rPr>
          <w:rFonts w:hint="eastAsia" w:hAnsi="宋体" w:cs="宋体"/>
          <w:color w:val="auto"/>
          <w:highlight w:val="none"/>
        </w:rPr>
        <w:t>桂</w:t>
      </w:r>
      <w:r>
        <w:rPr>
          <w:rFonts w:hAnsi="宋体" w:cs="宋体"/>
          <w:color w:val="auto"/>
          <w:highlight w:val="none"/>
        </w:rPr>
        <w:t>建云</w:t>
      </w:r>
      <w:r>
        <w:rPr>
          <w:rFonts w:hint="eastAsia" w:hAnsi="宋体" w:cs="宋体"/>
          <w:color w:val="auto"/>
          <w:highlight w:val="none"/>
          <w:lang w:eastAsia="zh-CN"/>
        </w:rPr>
        <w:t>”</w:t>
      </w:r>
      <w:r>
        <w:rPr>
          <w:rFonts w:hint="eastAsia" w:hAnsi="宋体" w:cs="宋体"/>
          <w:color w:val="auto"/>
          <w:highlight w:val="none"/>
        </w:rPr>
        <w:t>系统问题导致电子开标系统无法正常访问</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进行身份证验证时，</w:t>
      </w:r>
      <w:r>
        <w:rPr>
          <w:rFonts w:hint="eastAsia" w:ascii="Arial" w:hAnsi="Arial" w:cs="宋体"/>
          <w:color w:val="auto"/>
          <w:highlight w:val="none"/>
          <w:shd w:val="clear" w:color="auto" w:fill="FFFFFF"/>
        </w:rPr>
        <w:t>经招标监督部门</w:t>
      </w:r>
      <w:r>
        <w:rPr>
          <w:rFonts w:hint="eastAsia" w:ascii="Arial" w:hAnsi="Arial" w:cs="宋体"/>
          <w:color w:val="auto"/>
          <w:highlight w:val="none"/>
          <w:shd w:val="clear" w:color="auto" w:fill="FFFFFF"/>
          <w:lang w:val="en-US" w:eastAsia="zh-CN"/>
        </w:rPr>
        <w:t>同意</w:t>
      </w:r>
      <w:r>
        <w:rPr>
          <w:rFonts w:hint="eastAsia" w:ascii="Arial" w:hAnsi="Arial" w:cs="宋体"/>
          <w:color w:val="auto"/>
          <w:highlight w:val="none"/>
          <w:shd w:val="clear" w:color="auto" w:fill="FFFFFF"/>
        </w:rPr>
        <w:t>并经招标人</w:t>
      </w:r>
      <w:r>
        <w:rPr>
          <w:rFonts w:hint="eastAsia" w:ascii="Arial" w:hAnsi="Arial" w:cs="宋体"/>
          <w:color w:val="auto"/>
          <w:highlight w:val="none"/>
          <w:shd w:val="clear" w:color="auto" w:fill="FFFFFF"/>
          <w:lang w:val="en-US" w:eastAsia="zh-CN"/>
        </w:rPr>
        <w:t>确认</w:t>
      </w:r>
      <w:r>
        <w:rPr>
          <w:rFonts w:hint="eastAsia" w:ascii="Arial" w:hAnsi="Arial" w:cs="宋体"/>
          <w:color w:val="auto"/>
          <w:highlight w:val="none"/>
          <w:shd w:val="clear" w:color="auto" w:fill="FFFFFF"/>
        </w:rPr>
        <w:t>后</w:t>
      </w:r>
      <w:r>
        <w:rPr>
          <w:rFonts w:hint="eastAsia" w:hAnsi="宋体" w:cs="宋体"/>
          <w:color w:val="auto"/>
          <w:highlight w:val="none"/>
        </w:rPr>
        <w:t>，可暂停开标，等待网络或者</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恢复访问时再进行身份证验证。</w:t>
      </w:r>
    </w:p>
    <w:p w14:paraId="2E82907C">
      <w:pPr>
        <w:spacing w:line="360" w:lineRule="auto"/>
        <w:ind w:firstLine="525" w:firstLineChars="250"/>
        <w:rPr>
          <w:rFonts w:hAnsi="宋体"/>
          <w:color w:val="auto"/>
          <w:highlight w:val="none"/>
        </w:rPr>
      </w:pPr>
      <w:r>
        <w:rPr>
          <w:rFonts w:hAnsi="宋体"/>
          <w:color w:val="auto"/>
          <w:highlight w:val="none"/>
        </w:rPr>
        <w:t>5.3.</w:t>
      </w:r>
      <w:r>
        <w:rPr>
          <w:rFonts w:hint="eastAsia" w:hAnsi="宋体"/>
          <w:color w:val="auto"/>
          <w:highlight w:val="none"/>
        </w:rPr>
        <w:t>4</w:t>
      </w:r>
      <w:r>
        <w:rPr>
          <w:rFonts w:hAnsi="宋体"/>
          <w:color w:val="auto"/>
          <w:highlight w:val="none"/>
        </w:rPr>
        <w:t xml:space="preserve"> </w:t>
      </w:r>
      <w:r>
        <w:rPr>
          <w:rFonts w:hint="eastAsia" w:hAnsi="宋体" w:cs="宋体"/>
          <w:color w:val="auto"/>
          <w:highlight w:val="none"/>
        </w:rPr>
        <w:t>开标时显示保证金状态为未提交时，应通过当地交易中心、系统维护方以及银行核实原因。如果是因为投标人提交保证金的账号与</w:t>
      </w:r>
      <w:r>
        <w:rPr>
          <w:rFonts w:hint="eastAsia" w:hAnsi="宋体" w:cs="宋体"/>
          <w:color w:val="auto"/>
          <w:highlight w:val="none"/>
          <w:lang w:eastAsia="zh-CN"/>
        </w:rPr>
        <w:t>“</w:t>
      </w:r>
      <w:r>
        <w:rPr>
          <w:rFonts w:hint="eastAsia" w:hAnsi="宋体" w:cs="宋体"/>
          <w:color w:val="auto"/>
          <w:highlight w:val="none"/>
        </w:rPr>
        <w:t>桂建云</w:t>
      </w:r>
      <w:r>
        <w:rPr>
          <w:rFonts w:hint="eastAsia" w:hAnsi="宋体" w:cs="宋体"/>
          <w:color w:val="auto"/>
          <w:highlight w:val="none"/>
          <w:lang w:eastAsia="zh-CN"/>
        </w:rPr>
        <w:t>”</w:t>
      </w:r>
      <w:r>
        <w:rPr>
          <w:rFonts w:hint="eastAsia" w:hAnsi="宋体" w:cs="宋体"/>
          <w:color w:val="auto"/>
          <w:highlight w:val="none"/>
        </w:rPr>
        <w:t>备案的企业基本户不一致的，或者投标人提交的保证金金额少于招标文件要求的，经过招标监督部门确认后，</w:t>
      </w:r>
      <w:r>
        <w:rPr>
          <w:rFonts w:hint="eastAsia" w:cs="宋体"/>
          <w:color w:val="auto"/>
          <w:highlight w:val="none"/>
        </w:rPr>
        <w:t>招标人在开标时当场拒收其投标</w:t>
      </w:r>
      <w:r>
        <w:rPr>
          <w:rFonts w:hint="eastAsia" w:cs="宋体"/>
          <w:color w:val="auto"/>
          <w:highlight w:val="none"/>
          <w:lang w:eastAsia="zh-CN"/>
        </w:rPr>
        <w:t>文件</w:t>
      </w:r>
      <w:r>
        <w:rPr>
          <w:rFonts w:hint="eastAsia" w:cs="宋体"/>
          <w:color w:val="auto"/>
          <w:highlight w:val="none"/>
        </w:rPr>
        <w:t>，不得进入评标。</w:t>
      </w:r>
      <w:r>
        <w:rPr>
          <w:rFonts w:hint="eastAsia" w:cs="宋体"/>
          <w:color w:val="auto"/>
          <w:highlight w:val="none"/>
          <w:lang w:eastAsia="zh-CN"/>
        </w:rPr>
        <w:t>如果是网络原因或者</w:t>
      </w:r>
      <w:r>
        <w:rPr>
          <w:rFonts w:hint="eastAsia" w:ascii="宋体" w:hAnsi="宋体" w:cs="宋体"/>
          <w:color w:val="auto"/>
          <w:kern w:val="0"/>
          <w:highlight w:val="none"/>
        </w:rPr>
        <w:t>广西壮族自治区网上开标子系统</w:t>
      </w:r>
      <w:r>
        <w:rPr>
          <w:rFonts w:hint="eastAsia" w:cs="宋体"/>
          <w:color w:val="auto"/>
          <w:highlight w:val="none"/>
        </w:rPr>
        <w:t>、银行系统原因导致的，并且银行最终确认投标人已按时足额提交了保证金的，可以进入评标。</w:t>
      </w:r>
    </w:p>
    <w:p w14:paraId="6ED648D0">
      <w:pPr>
        <w:pStyle w:val="5"/>
        <w:rPr>
          <w:color w:val="auto"/>
          <w:highlight w:val="none"/>
        </w:rPr>
      </w:pPr>
      <w:bookmarkStart w:id="256" w:name="_Toc407135111"/>
      <w:bookmarkStart w:id="257" w:name="_Toc78449655"/>
      <w:bookmarkStart w:id="258" w:name="_Toc9304"/>
      <w:bookmarkStart w:id="259" w:name="_Toc372116979"/>
      <w:r>
        <w:rPr>
          <w:color w:val="auto"/>
          <w:highlight w:val="none"/>
        </w:rPr>
        <w:t xml:space="preserve">5.4 </w:t>
      </w:r>
      <w:r>
        <w:rPr>
          <w:rFonts w:hint="eastAsia" w:cs="黑体"/>
          <w:color w:val="auto"/>
          <w:highlight w:val="none"/>
        </w:rPr>
        <w:t>不予开标</w:t>
      </w:r>
      <w:bookmarkEnd w:id="251"/>
      <w:bookmarkEnd w:id="256"/>
      <w:bookmarkEnd w:id="257"/>
      <w:bookmarkEnd w:id="258"/>
      <w:bookmarkEnd w:id="259"/>
    </w:p>
    <w:p w14:paraId="5D4DB850">
      <w:pPr>
        <w:spacing w:line="360" w:lineRule="auto"/>
        <w:ind w:firstLine="420" w:firstLineChars="200"/>
        <w:rPr>
          <w:color w:val="auto"/>
          <w:highlight w:val="none"/>
        </w:rPr>
      </w:pPr>
      <w:r>
        <w:rPr>
          <w:rFonts w:hint="eastAsia" w:cs="宋体"/>
          <w:color w:val="auto"/>
          <w:highlight w:val="none"/>
        </w:rPr>
        <w:t>符合下列情况之一的投标，招标人拒绝受理其投标，不得进入评标：</w:t>
      </w:r>
    </w:p>
    <w:p w14:paraId="250BC1B0">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（1）加密的电子投标文件</w:t>
      </w:r>
      <w:r>
        <w:rPr>
          <w:rFonts w:hint="eastAsia" w:ascii="Times New Roman" w:hAnsi="Times New Roman" w:eastAsia="宋体" w:cs="宋体"/>
          <w:b w:val="0"/>
          <w:i w:val="0"/>
          <w:caps w:val="0"/>
          <w:color w:val="auto"/>
          <w:spacing w:val="0"/>
          <w:sz w:val="21"/>
          <w:szCs w:val="21"/>
          <w:highlight w:val="none"/>
          <w:shd w:val="clear" w:color="auto" w:fill="auto"/>
        </w:rPr>
        <w:t>（含弹出的输入框中需填写的专职投标员、拟投入的项目主要管理人员身份证信息）</w:t>
      </w:r>
      <w:r>
        <w:rPr>
          <w:rFonts w:hint="eastAsia" w:ascii="Times New Roman" w:hAnsi="Times New Roman" w:eastAsia="宋体" w:cs="宋体"/>
          <w:color w:val="auto"/>
          <w:highlight w:val="none"/>
        </w:rPr>
        <w:t>未能在投标截止时间前成功上传的；</w:t>
      </w:r>
    </w:p>
    <w:p w14:paraId="543062A9">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（2）由于投标人原因，投标文件不能在</w:t>
      </w:r>
      <w:r>
        <w:rPr>
          <w:rFonts w:hint="eastAsia" w:hAnsi="宋体" w:cs="宋体"/>
          <w:color w:val="auto"/>
          <w:highlight w:val="none"/>
          <w:lang w:val="en-US" w:eastAsia="zh-CN"/>
        </w:rPr>
        <w:t>进入投标文件解密环节后60分钟内完成投标文件的解密（以广西壮族自治区网上开标子系统解密倒计时为准）</w:t>
      </w:r>
      <w:r>
        <w:rPr>
          <w:rFonts w:hint="eastAsia" w:ascii="Times New Roman" w:hAnsi="Times New Roman" w:eastAsia="宋体" w:cs="宋体"/>
          <w:color w:val="auto"/>
          <w:highlight w:val="none"/>
        </w:rPr>
        <w:t>；</w:t>
      </w:r>
    </w:p>
    <w:p w14:paraId="0EFF235B">
      <w:pPr>
        <w:spacing w:line="360" w:lineRule="auto"/>
        <w:ind w:firstLine="420" w:firstLineChars="200"/>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rPr>
        <w:t>（3）由于投标人原因，投标人不能在</w:t>
      </w:r>
      <w:r>
        <w:rPr>
          <w:rFonts w:hint="eastAsia" w:hAnsi="宋体" w:cs="宋体"/>
          <w:color w:val="auto"/>
          <w:highlight w:val="none"/>
          <w:lang w:val="en-US" w:eastAsia="zh-CN"/>
        </w:rPr>
        <w:t>进入投标文件解密环节后</w:t>
      </w:r>
      <w:r>
        <w:rPr>
          <w:rFonts w:hint="eastAsia" w:ascii="Times New Roman" w:hAnsi="Times New Roman" w:eastAsia="宋体" w:cs="宋体"/>
          <w:color w:val="auto"/>
          <w:highlight w:val="none"/>
          <w:lang w:val="en-US" w:eastAsia="zh-CN"/>
        </w:rPr>
        <w:t>6</w:t>
      </w:r>
      <w:r>
        <w:rPr>
          <w:rFonts w:hint="eastAsia" w:ascii="Times New Roman" w:hAnsi="Times New Roman" w:eastAsia="宋体" w:cs="宋体"/>
          <w:color w:val="auto"/>
          <w:highlight w:val="none"/>
        </w:rPr>
        <w:t>0分钟内通过</w:t>
      </w:r>
      <w:r>
        <w:rPr>
          <w:rFonts w:hint="eastAsia" w:ascii="Times New Roman" w:hAnsi="Times New Roman" w:eastAsia="宋体" w:cs="宋体"/>
          <w:b w:val="0"/>
          <w:i w:val="0"/>
          <w:caps w:val="0"/>
          <w:color w:val="auto"/>
          <w:spacing w:val="0"/>
          <w:sz w:val="21"/>
          <w:szCs w:val="21"/>
          <w:highlight w:val="none"/>
          <w:shd w:val="clear" w:color="auto" w:fill="auto"/>
        </w:rPr>
        <w:t>专职投标员、拟投入的</w:t>
      </w:r>
      <w:r>
        <w:rPr>
          <w:rFonts w:hint="eastAsia" w:ascii="Times New Roman" w:hAnsi="Times New Roman" w:eastAsia="宋体" w:cs="宋体"/>
          <w:color w:val="auto"/>
          <w:highlight w:val="none"/>
        </w:rPr>
        <w:t>施工项目经理、专职安全生产管理人员</w:t>
      </w:r>
      <w:r>
        <w:rPr>
          <w:rFonts w:hint="eastAsia" w:ascii="Times New Roman" w:hAnsi="Times New Roman" w:eastAsia="宋体" w:cs="宋体"/>
          <w:color w:val="auto"/>
          <w:highlight w:val="none"/>
          <w:lang w:eastAsia="zh-CN"/>
        </w:rPr>
        <w:t>验证有效的</w:t>
      </w:r>
      <w:r>
        <w:rPr>
          <w:rFonts w:hint="eastAsia" w:ascii="Times New Roman" w:hAnsi="Times New Roman" w:eastAsia="宋体" w:cs="宋体"/>
          <w:color w:val="auto"/>
          <w:highlight w:val="none"/>
        </w:rPr>
        <w:t>（以</w:t>
      </w:r>
      <w:r>
        <w:rPr>
          <w:rFonts w:hint="eastAsia" w:ascii="Times New Roman" w:hAnsi="Times New Roman" w:eastAsia="宋体" w:cs="宋体"/>
          <w:color w:val="auto"/>
          <w:kern w:val="2"/>
          <w:highlight w:val="none"/>
        </w:rPr>
        <w:t>广西壮族自治区网上开标子系统</w:t>
      </w:r>
      <w:r>
        <w:rPr>
          <w:rFonts w:hint="eastAsia" w:ascii="Times New Roman" w:hAnsi="Times New Roman" w:eastAsia="宋体" w:cs="宋体"/>
          <w:color w:val="auto"/>
          <w:highlight w:val="none"/>
        </w:rPr>
        <w:t>解密倒计时为准）</w:t>
      </w:r>
      <w:r>
        <w:rPr>
          <w:rFonts w:hint="eastAsia" w:ascii="Times New Roman" w:hAnsi="Times New Roman" w:eastAsia="宋体" w:cs="宋体"/>
          <w:color w:val="auto"/>
          <w:highlight w:val="none"/>
          <w:lang w:eastAsia="zh-CN"/>
        </w:rPr>
        <w:t>；</w:t>
      </w:r>
    </w:p>
    <w:p w14:paraId="305B8E44">
      <w:pPr>
        <w:spacing w:line="360" w:lineRule="auto"/>
        <w:ind w:firstLine="420" w:firstLineChars="200"/>
        <w:rPr>
          <w:rFonts w:hint="eastAsia" w:cs="宋体"/>
          <w:color w:val="auto"/>
          <w:highlight w:val="none"/>
        </w:rPr>
      </w:pPr>
      <w:r>
        <w:rPr>
          <w:rFonts w:hint="eastAsia" w:cs="宋体"/>
          <w:color w:val="auto"/>
          <w:highlight w:val="none"/>
        </w:rPr>
        <w:t>（</w:t>
      </w:r>
      <w:r>
        <w:rPr>
          <w:rFonts w:cs="宋体"/>
          <w:color w:val="auto"/>
          <w:highlight w:val="none"/>
        </w:rPr>
        <w:t>4</w:t>
      </w:r>
      <w:r>
        <w:rPr>
          <w:rFonts w:hint="eastAsia" w:cs="宋体"/>
          <w:color w:val="auto"/>
          <w:highlight w:val="none"/>
        </w:rPr>
        <w:t>）参加开标的专职投标员与投标文件内专职投标员非同一人的。</w:t>
      </w:r>
    </w:p>
    <w:p w14:paraId="39649786">
      <w:pPr>
        <w:pStyle w:val="5"/>
        <w:rPr>
          <w:b w:val="0"/>
          <w:bCs w:val="0"/>
          <w:color w:val="auto"/>
          <w:highlight w:val="none"/>
        </w:rPr>
      </w:pPr>
      <w:bookmarkStart w:id="260" w:name="_Toc465114769"/>
      <w:bookmarkStart w:id="261" w:name="_Toc13758"/>
      <w:bookmarkStart w:id="262" w:name="_Toc78449656"/>
      <w:bookmarkStart w:id="263" w:name="_Toc1868513482"/>
      <w:r>
        <w:rPr>
          <w:color w:val="auto"/>
          <w:highlight w:val="none"/>
        </w:rPr>
        <w:t>5.</w:t>
      </w:r>
      <w:r>
        <w:rPr>
          <w:color w:val="auto"/>
          <w:highlight w:val="none"/>
          <w:lang w:val="en-US"/>
        </w:rPr>
        <w:t>5</w:t>
      </w:r>
      <w:r>
        <w:rPr>
          <w:color w:val="auto"/>
          <w:highlight w:val="none"/>
        </w:rPr>
        <w:t xml:space="preserve"> </w:t>
      </w:r>
      <w:r>
        <w:rPr>
          <w:rFonts w:hint="eastAsia" w:cs="黑体"/>
          <w:color w:val="auto"/>
          <w:highlight w:val="none"/>
        </w:rPr>
        <w:t>开标异议</w:t>
      </w:r>
      <w:bookmarkEnd w:id="260"/>
      <w:bookmarkEnd w:id="261"/>
      <w:bookmarkEnd w:id="262"/>
      <w:bookmarkEnd w:id="263"/>
      <w:r>
        <w:rPr>
          <w:color w:val="auto"/>
          <w:highlight w:val="none"/>
        </w:rPr>
        <w:t xml:space="preserve">  </w:t>
      </w:r>
    </w:p>
    <w:p w14:paraId="2A0413F1">
      <w:pPr>
        <w:spacing w:line="360" w:lineRule="auto"/>
        <w:ind w:left="0"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kern w:val="2"/>
          <w:highlight w:val="none"/>
        </w:rPr>
        <w:t>投标人对开标有异议的，应当在开标现场</w:t>
      </w:r>
      <w:r>
        <w:rPr>
          <w:rFonts w:hint="eastAsia" w:ascii="Times New Roman" w:hAnsi="Times New Roman" w:eastAsia="宋体" w:cs="宋体"/>
          <w:color w:val="auto"/>
          <w:kern w:val="2"/>
          <w:highlight w:val="none"/>
          <w:lang w:eastAsia="zh-CN"/>
        </w:rPr>
        <w:t>或者在网上开标室</w:t>
      </w:r>
      <w:r>
        <w:rPr>
          <w:rFonts w:hint="eastAsia" w:ascii="Times New Roman" w:hAnsi="Times New Roman" w:eastAsia="宋体" w:cs="宋体"/>
          <w:color w:val="auto"/>
          <w:kern w:val="2"/>
          <w:highlight w:val="none"/>
        </w:rPr>
        <w:t>提出异议，招标人应当</w:t>
      </w:r>
      <w:r>
        <w:rPr>
          <w:rFonts w:hint="eastAsia" w:ascii="Times New Roman" w:hAnsi="Times New Roman" w:eastAsia="宋体" w:cs="宋体"/>
          <w:color w:val="auto"/>
          <w:kern w:val="2"/>
          <w:highlight w:val="none"/>
          <w:lang w:eastAsia="zh-CN"/>
        </w:rPr>
        <w:t>在开标</w:t>
      </w:r>
      <w:r>
        <w:rPr>
          <w:rFonts w:hint="eastAsia" w:ascii="Times New Roman" w:hAnsi="Times New Roman" w:eastAsia="宋体" w:cs="宋体"/>
          <w:color w:val="auto"/>
          <w:kern w:val="2"/>
          <w:highlight w:val="none"/>
        </w:rPr>
        <w:t>过程</w:t>
      </w:r>
      <w:r>
        <w:rPr>
          <w:rFonts w:hint="eastAsia" w:cs="Times New Roman"/>
          <w:color w:val="auto"/>
          <w:kern w:val="2"/>
          <w:highlight w:val="none"/>
          <w:lang w:val="en-US" w:eastAsia="zh-CN"/>
        </w:rPr>
        <w:t>中</w:t>
      </w:r>
      <w:r>
        <w:rPr>
          <w:rFonts w:hint="eastAsia" w:ascii="Times New Roman" w:hAnsi="Times New Roman" w:eastAsia="宋体" w:cs="宋体"/>
          <w:color w:val="auto"/>
          <w:kern w:val="2"/>
          <w:highlight w:val="none"/>
        </w:rPr>
        <w:t>作出答复，并制作记录。</w:t>
      </w:r>
    </w:p>
    <w:p w14:paraId="5BD886A6">
      <w:pPr>
        <w:pStyle w:val="4"/>
        <w:rPr>
          <w:color w:val="auto"/>
          <w:highlight w:val="none"/>
        </w:rPr>
      </w:pPr>
      <w:bookmarkStart w:id="264" w:name="_Toc186935569"/>
      <w:bookmarkStart w:id="265" w:name="_Toc407135112"/>
      <w:bookmarkStart w:id="266" w:name="_Toc389065177"/>
      <w:bookmarkStart w:id="267" w:name="_Toc16878"/>
      <w:bookmarkStart w:id="268" w:name="_Toc78449657"/>
      <w:r>
        <w:rPr>
          <w:color w:val="auto"/>
          <w:highlight w:val="none"/>
        </w:rPr>
        <w:t xml:space="preserve">6 </w:t>
      </w:r>
      <w:r>
        <w:rPr>
          <w:rFonts w:hint="eastAsia" w:cs="黑体"/>
          <w:color w:val="auto"/>
          <w:highlight w:val="none"/>
        </w:rPr>
        <w:t>评标</w:t>
      </w:r>
      <w:bookmarkEnd w:id="264"/>
      <w:bookmarkEnd w:id="265"/>
      <w:bookmarkEnd w:id="266"/>
      <w:bookmarkEnd w:id="267"/>
      <w:bookmarkEnd w:id="268"/>
    </w:p>
    <w:p w14:paraId="32EBB5ED">
      <w:pPr>
        <w:pStyle w:val="5"/>
        <w:rPr>
          <w:color w:val="auto"/>
          <w:highlight w:val="none"/>
        </w:rPr>
      </w:pPr>
      <w:bookmarkStart w:id="269" w:name="_Toc78449658"/>
      <w:bookmarkStart w:id="270" w:name="_Toc389065178"/>
      <w:bookmarkStart w:id="271" w:name="_Toc21669"/>
      <w:bookmarkStart w:id="272" w:name="_Toc1865456590"/>
      <w:bookmarkStart w:id="273" w:name="_Toc407135113"/>
      <w:r>
        <w:rPr>
          <w:color w:val="auto"/>
          <w:highlight w:val="none"/>
        </w:rPr>
        <w:t xml:space="preserve">6.1 </w:t>
      </w:r>
      <w:r>
        <w:rPr>
          <w:rFonts w:hint="eastAsia" w:cs="黑体"/>
          <w:color w:val="auto"/>
          <w:highlight w:val="none"/>
        </w:rPr>
        <w:t>评标委员会</w:t>
      </w:r>
      <w:bookmarkEnd w:id="269"/>
      <w:bookmarkEnd w:id="270"/>
      <w:bookmarkEnd w:id="271"/>
      <w:bookmarkEnd w:id="272"/>
      <w:bookmarkEnd w:id="273"/>
    </w:p>
    <w:p w14:paraId="2EB31B15">
      <w:pPr>
        <w:spacing w:line="360" w:lineRule="auto"/>
        <w:ind w:firstLine="420" w:firstLineChars="200"/>
        <w:rPr>
          <w:color w:val="auto"/>
          <w:highlight w:val="none"/>
        </w:rPr>
      </w:pPr>
      <w:r>
        <w:rPr>
          <w:color w:val="auto"/>
          <w:highlight w:val="none"/>
        </w:rPr>
        <w:t xml:space="preserve">6.1.1 </w:t>
      </w:r>
      <w:r>
        <w:rPr>
          <w:rFonts w:hint="eastAsia" w:cs="宋体"/>
          <w:color w:val="auto"/>
          <w:highlight w:val="none"/>
        </w:rPr>
        <w:t>评标由招标人依法组建的评标委员会负责。评标委员会由招标人或其委托的招标代理机构熟悉相关业务的代表，以及有关技术、经济等方面的专家组成。技术、经济等方面专家的确定方式见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。截标前，招标人应就评委会组成情况通过全国公共资源交易平台（广西壮族自治区）向招标监督部门提交申请。</w:t>
      </w:r>
    </w:p>
    <w:p w14:paraId="33DDBB2D">
      <w:pPr>
        <w:spacing w:line="360" w:lineRule="auto"/>
        <w:ind w:firstLine="420" w:firstLineChars="200"/>
        <w:rPr>
          <w:color w:val="auto"/>
          <w:highlight w:val="none"/>
        </w:rPr>
      </w:pPr>
      <w:r>
        <w:rPr>
          <w:color w:val="auto"/>
          <w:highlight w:val="none"/>
        </w:rPr>
        <w:t xml:space="preserve">6.1.2 </w:t>
      </w:r>
      <w:r>
        <w:rPr>
          <w:rFonts w:hint="eastAsia" w:cs="宋体"/>
          <w:color w:val="auto"/>
          <w:highlight w:val="none"/>
        </w:rPr>
        <w:t>评标委员会成员有下列情形之一的，应当回避：</w:t>
      </w:r>
      <w:bookmarkStart w:id="274" w:name="_Toc389065179"/>
    </w:p>
    <w:p w14:paraId="21FEA123">
      <w:pPr>
        <w:spacing w:line="360" w:lineRule="auto"/>
        <w:ind w:firstLine="420" w:firstLineChars="200"/>
        <w:rPr>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w:t>
      </w:r>
      <w:r>
        <w:rPr>
          <w:rFonts w:hint="eastAsia" w:ascii="宋体" w:hAnsi="宋体" w:cs="宋体"/>
          <w:color w:val="auto"/>
          <w:highlight w:val="none"/>
          <w:shd w:val="clear" w:color="auto" w:fill="FFFFFF"/>
        </w:rPr>
        <w:t>投标人或者投标人主要负责人的近亲属</w:t>
      </w:r>
      <w:r>
        <w:rPr>
          <w:rFonts w:hint="eastAsia" w:hAnsi="宋体" w:cs="宋体"/>
          <w:color w:val="auto"/>
          <w:highlight w:val="none"/>
        </w:rPr>
        <w:t>；</w:t>
      </w:r>
    </w:p>
    <w:p w14:paraId="41240EE2">
      <w:pPr>
        <w:spacing w:line="360" w:lineRule="auto"/>
        <w:ind w:firstLine="420" w:firstLineChars="200"/>
        <w:rPr>
          <w:color w:val="auto"/>
          <w:highlight w:val="none"/>
        </w:rPr>
      </w:pPr>
      <w:r>
        <w:rPr>
          <w:rFonts w:hint="eastAsia" w:hAnsi="宋体" w:cs="宋体"/>
          <w:color w:val="auto"/>
          <w:highlight w:val="none"/>
        </w:rPr>
        <w:t>（</w:t>
      </w:r>
      <w:r>
        <w:rPr>
          <w:rFonts w:hAnsi="宋体"/>
          <w:color w:val="auto"/>
          <w:highlight w:val="none"/>
        </w:rPr>
        <w:t>2</w:t>
      </w:r>
      <w:r>
        <w:rPr>
          <w:rFonts w:hint="eastAsia" w:hAnsi="宋体" w:cs="宋体"/>
          <w:color w:val="auto"/>
          <w:highlight w:val="none"/>
        </w:rPr>
        <w:t>）本</w:t>
      </w:r>
      <w:r>
        <w:rPr>
          <w:rFonts w:hint="eastAsia" w:ascii="宋体" w:hAnsi="宋体" w:cs="宋体"/>
          <w:color w:val="auto"/>
          <w:highlight w:val="none"/>
          <w:shd w:val="clear" w:color="auto" w:fill="FFFFFF"/>
        </w:rPr>
        <w:t>招标项目主管部门或者本招标项目招标投标行政监督部门的工作人员</w:t>
      </w:r>
      <w:r>
        <w:rPr>
          <w:rFonts w:hint="eastAsia" w:hAnsi="宋体" w:cs="宋体"/>
          <w:color w:val="auto"/>
          <w:highlight w:val="none"/>
        </w:rPr>
        <w:t>；</w:t>
      </w:r>
    </w:p>
    <w:p w14:paraId="0FC41047">
      <w:pPr>
        <w:spacing w:line="360" w:lineRule="auto"/>
        <w:ind w:firstLine="420" w:firstLineChars="200"/>
        <w:rPr>
          <w:rFonts w:hAnsi="宋体" w:cs="宋体"/>
          <w:color w:val="auto"/>
          <w:highlight w:val="none"/>
        </w:rPr>
      </w:pPr>
      <w:r>
        <w:rPr>
          <w:rFonts w:hint="eastAsia" w:hAnsi="宋体" w:cs="宋体"/>
          <w:color w:val="auto"/>
          <w:highlight w:val="none"/>
        </w:rPr>
        <w:t>（</w:t>
      </w:r>
      <w:r>
        <w:rPr>
          <w:rFonts w:hAnsi="宋体"/>
          <w:color w:val="auto"/>
          <w:highlight w:val="none"/>
        </w:rPr>
        <w:t>3</w:t>
      </w:r>
      <w:r>
        <w:rPr>
          <w:rFonts w:hint="eastAsia" w:hAnsi="宋体" w:cs="宋体"/>
          <w:color w:val="auto"/>
          <w:highlight w:val="none"/>
        </w:rPr>
        <w:t>）</w:t>
      </w:r>
      <w:r>
        <w:rPr>
          <w:rFonts w:hint="eastAsia" w:ascii="宋体" w:hAnsi="宋体" w:cs="宋体"/>
          <w:color w:val="auto"/>
          <w:highlight w:val="none"/>
          <w:shd w:val="clear" w:color="auto" w:fill="FFFFFF"/>
        </w:rPr>
        <w:t>与投标人有经济利益关系，可能影响对投标公正评审的人员</w:t>
      </w:r>
      <w:r>
        <w:rPr>
          <w:rFonts w:hint="eastAsia" w:hAnsi="宋体" w:cs="宋体"/>
          <w:color w:val="auto"/>
          <w:highlight w:val="none"/>
        </w:rPr>
        <w:t>；</w:t>
      </w:r>
    </w:p>
    <w:p w14:paraId="4E7A992B">
      <w:pPr>
        <w:spacing w:line="360" w:lineRule="auto"/>
        <w:ind w:firstLine="420" w:firstLineChars="200"/>
        <w:rPr>
          <w:rFonts w:hint="eastAsia"/>
          <w:color w:val="auto"/>
          <w:highlight w:val="none"/>
        </w:rPr>
      </w:pPr>
      <w:r>
        <w:rPr>
          <w:rFonts w:hint="eastAsia"/>
          <w:color w:val="auto"/>
          <w:highlight w:val="none"/>
        </w:rPr>
        <w:t>（4）为该工程提供勘察、设计、监理咨询的主要人员、参与前期项目评审的人员；</w:t>
      </w:r>
    </w:p>
    <w:p w14:paraId="6E4CB8A9">
      <w:pPr>
        <w:spacing w:line="360" w:lineRule="auto"/>
        <w:ind w:firstLine="420" w:firstLineChars="200"/>
        <w:rPr>
          <w:rFonts w:hint="eastAsia"/>
          <w:color w:val="auto"/>
          <w:highlight w:val="none"/>
        </w:rPr>
      </w:pPr>
      <w:r>
        <w:rPr>
          <w:rFonts w:hint="eastAsia"/>
          <w:color w:val="auto"/>
          <w:highlight w:val="none"/>
        </w:rPr>
        <w:t>（5）为该工程招标代理</w:t>
      </w:r>
      <w:r>
        <w:rPr>
          <w:rFonts w:hint="eastAsia"/>
          <w:color w:val="auto"/>
          <w:highlight w:val="none"/>
          <w:lang w:eastAsia="zh-CN"/>
        </w:rPr>
        <w:t>（指抽取的评委）</w:t>
      </w:r>
      <w:r>
        <w:rPr>
          <w:rFonts w:hint="eastAsia"/>
          <w:color w:val="auto"/>
          <w:highlight w:val="none"/>
        </w:rPr>
        <w:t>、造价咨询机构、全过程工程咨询机构的人员；</w:t>
      </w:r>
    </w:p>
    <w:p w14:paraId="2B143E03">
      <w:pPr>
        <w:spacing w:line="360" w:lineRule="auto"/>
        <w:ind w:firstLine="420" w:firstLineChars="200"/>
        <w:rPr>
          <w:rFonts w:hint="eastAsia"/>
          <w:color w:val="auto"/>
          <w:highlight w:val="none"/>
        </w:rPr>
      </w:pPr>
      <w:r>
        <w:rPr>
          <w:rFonts w:hint="eastAsia"/>
          <w:color w:val="auto"/>
          <w:highlight w:val="none"/>
        </w:rPr>
        <w:t>（6）2年内曾在投标单位中任职或担任顾问的人员；</w:t>
      </w:r>
    </w:p>
    <w:p w14:paraId="513DEE22">
      <w:pPr>
        <w:spacing w:line="360" w:lineRule="auto"/>
        <w:ind w:firstLine="420" w:firstLineChars="200"/>
        <w:rPr>
          <w:rFonts w:hint="eastAsia"/>
          <w:color w:val="auto"/>
          <w:highlight w:val="none"/>
        </w:rPr>
      </w:pPr>
      <w:r>
        <w:rPr>
          <w:rFonts w:hint="eastAsia"/>
          <w:color w:val="auto"/>
          <w:highlight w:val="none"/>
        </w:rPr>
        <w:t>（7）在投标单位退休不满3年（含3年）的人员；</w:t>
      </w:r>
    </w:p>
    <w:p w14:paraId="6932A23A">
      <w:pPr>
        <w:spacing w:line="360" w:lineRule="auto"/>
        <w:ind w:firstLine="420" w:firstLineChars="200"/>
        <w:rPr>
          <w:rFonts w:hint="eastAsia"/>
          <w:color w:val="auto"/>
          <w:highlight w:val="none"/>
        </w:rPr>
      </w:pPr>
      <w:r>
        <w:rPr>
          <w:rFonts w:hint="eastAsia"/>
          <w:color w:val="auto"/>
          <w:highlight w:val="none"/>
        </w:rPr>
        <w:t>（8）现任职单位与投标单位的法定代表人为同一人的人员；</w:t>
      </w:r>
    </w:p>
    <w:p w14:paraId="6BD8BD76">
      <w:pPr>
        <w:spacing w:line="360" w:lineRule="auto"/>
        <w:ind w:firstLine="420" w:firstLineChars="200"/>
        <w:rPr>
          <w:rFonts w:hint="eastAsia"/>
          <w:color w:val="auto"/>
          <w:highlight w:val="none"/>
        </w:rPr>
      </w:pPr>
      <w:r>
        <w:rPr>
          <w:rFonts w:hint="eastAsia"/>
          <w:color w:val="auto"/>
          <w:highlight w:val="none"/>
        </w:rPr>
        <w:t>（9）现任职单位与投标单位是上（下）级管理或控股（被控股）关系的人员；</w:t>
      </w:r>
    </w:p>
    <w:p w14:paraId="36901818">
      <w:pPr>
        <w:spacing w:line="360" w:lineRule="auto"/>
        <w:ind w:firstLine="420" w:firstLineChars="200"/>
        <w:rPr>
          <w:color w:val="auto"/>
          <w:highlight w:val="none"/>
        </w:rPr>
      </w:pPr>
      <w:r>
        <w:rPr>
          <w:rFonts w:hint="eastAsia"/>
          <w:color w:val="auto"/>
          <w:highlight w:val="none"/>
        </w:rPr>
        <w:t>（10）与投标人有其他利害关系的人员。</w:t>
      </w:r>
    </w:p>
    <w:p w14:paraId="50DEFE0F">
      <w:pPr>
        <w:spacing w:line="360" w:lineRule="auto"/>
        <w:ind w:firstLine="420" w:firstLineChars="200"/>
        <w:rPr>
          <w:rFonts w:hint="eastAsia" w:cs="宋体"/>
          <w:color w:val="auto"/>
          <w:highlight w:val="none"/>
        </w:rPr>
      </w:pPr>
      <w:r>
        <w:rPr>
          <w:color w:val="auto"/>
          <w:highlight w:val="none"/>
        </w:rPr>
        <w:t>6.1.</w:t>
      </w:r>
      <w:r>
        <w:rPr>
          <w:rFonts w:hint="eastAsia"/>
          <w:color w:val="auto"/>
          <w:highlight w:val="none"/>
        </w:rPr>
        <w:t>3</w:t>
      </w:r>
      <w:r>
        <w:rPr>
          <w:color w:val="auto"/>
          <w:highlight w:val="none"/>
        </w:rPr>
        <w:t xml:space="preserve"> </w:t>
      </w:r>
      <w:r>
        <w:rPr>
          <w:rFonts w:hint="eastAsia" w:cs="宋体"/>
          <w:color w:val="auto"/>
          <w:highlight w:val="none"/>
        </w:rPr>
        <w:t>有下列情形之一的专家不能参与评标活动，应主动退出：</w:t>
      </w:r>
    </w:p>
    <w:p w14:paraId="6AA0BBA8">
      <w:pPr>
        <w:spacing w:line="360" w:lineRule="auto"/>
        <w:ind w:firstLine="420" w:firstLineChars="200"/>
        <w:rPr>
          <w:rFonts w:hint="eastAsia" w:hAnsi="宋体" w:cs="宋体"/>
          <w:color w:val="auto"/>
          <w:highlight w:val="none"/>
        </w:rPr>
      </w:pPr>
      <w:r>
        <w:rPr>
          <w:rFonts w:hint="eastAsia" w:hAnsi="宋体" w:cs="宋体"/>
          <w:color w:val="auto"/>
          <w:highlight w:val="none"/>
        </w:rPr>
        <w:t>（1）曾在招标投标活动中从事违法行为而受过行政处罚或者刑事处罚的人员；</w:t>
      </w:r>
    </w:p>
    <w:p w14:paraId="0AB73B58">
      <w:pPr>
        <w:spacing w:line="360" w:lineRule="auto"/>
        <w:ind w:firstLine="420" w:firstLineChars="200"/>
        <w:rPr>
          <w:rFonts w:hint="eastAsia" w:hAnsi="宋体" w:cs="宋体"/>
          <w:color w:val="auto"/>
          <w:highlight w:val="none"/>
        </w:rPr>
      </w:pPr>
      <w:r>
        <w:rPr>
          <w:rFonts w:hint="eastAsia" w:hAnsi="宋体" w:cs="宋体"/>
          <w:color w:val="auto"/>
          <w:highlight w:val="none"/>
        </w:rPr>
        <w:t>（2）曾被开除公职或被取消评标专家资格的；</w:t>
      </w:r>
    </w:p>
    <w:p w14:paraId="042D7894">
      <w:pPr>
        <w:spacing w:line="360" w:lineRule="auto"/>
        <w:ind w:firstLine="420" w:firstLineChars="200"/>
        <w:rPr>
          <w:rFonts w:hint="eastAsia" w:hAnsi="宋体" w:cs="宋体"/>
          <w:color w:val="auto"/>
          <w:highlight w:val="none"/>
        </w:rPr>
      </w:pPr>
      <w:r>
        <w:rPr>
          <w:rFonts w:hint="eastAsia" w:hAnsi="宋体" w:cs="宋体"/>
          <w:color w:val="auto"/>
          <w:highlight w:val="none"/>
        </w:rPr>
        <w:t>（3）曾因犯罪受过刑事处罚的；</w:t>
      </w:r>
    </w:p>
    <w:p w14:paraId="41D75404">
      <w:pPr>
        <w:spacing w:line="360" w:lineRule="auto"/>
        <w:ind w:firstLine="420" w:firstLineChars="200"/>
        <w:rPr>
          <w:rFonts w:hint="eastAsia" w:hAnsi="宋体" w:cs="宋体"/>
          <w:color w:val="auto"/>
          <w:highlight w:val="none"/>
        </w:rPr>
      </w:pPr>
      <w:r>
        <w:rPr>
          <w:rFonts w:hint="eastAsia" w:hAnsi="宋体" w:cs="宋体"/>
          <w:color w:val="auto"/>
          <w:highlight w:val="none"/>
        </w:rPr>
        <w:t>（4）评标时期在全国建筑市场监管公共服务平台（http://jzsc.mohurd.gov.cn/home）被列为个人</w:t>
      </w:r>
      <w:r>
        <w:rPr>
          <w:rFonts w:hint="eastAsia"/>
          <w:color w:val="auto"/>
          <w:szCs w:val="21"/>
          <w:highlight w:val="none"/>
        </w:rPr>
        <w:t>诚信不良</w:t>
      </w:r>
      <w:r>
        <w:rPr>
          <w:rFonts w:hint="eastAsia"/>
          <w:color w:val="auto"/>
          <w:szCs w:val="21"/>
          <w:highlight w:val="none"/>
          <w:lang w:eastAsia="zh-CN"/>
        </w:rPr>
        <w:t>、</w:t>
      </w:r>
      <w:r>
        <w:rPr>
          <w:rFonts w:hint="eastAsia" w:hAnsi="宋体" w:cs="宋体"/>
          <w:color w:val="auto"/>
          <w:highlight w:val="none"/>
        </w:rPr>
        <w:t>黑名单</w:t>
      </w:r>
      <w:r>
        <w:rPr>
          <w:rFonts w:hint="eastAsia"/>
          <w:color w:val="auto"/>
          <w:szCs w:val="21"/>
          <w:highlight w:val="none"/>
        </w:rPr>
        <w:t>、失信联合惩戒</w:t>
      </w:r>
      <w:r>
        <w:rPr>
          <w:rFonts w:hint="eastAsia" w:hAnsi="宋体" w:cs="宋体"/>
          <w:color w:val="auto"/>
          <w:highlight w:val="none"/>
        </w:rPr>
        <w:t>的人员；</w:t>
      </w:r>
    </w:p>
    <w:p w14:paraId="6BF52762">
      <w:pPr>
        <w:spacing w:line="360" w:lineRule="auto"/>
        <w:ind w:firstLine="420" w:firstLineChars="200"/>
        <w:rPr>
          <w:rFonts w:hint="eastAsia" w:ascii="宋体" w:hAnsi="宋体" w:cs="宋体"/>
          <w:color w:val="auto"/>
          <w:highlight w:val="none"/>
          <w:shd w:val="clear" w:color="auto" w:fill="FFFFFF"/>
        </w:rPr>
      </w:pPr>
      <w:r>
        <w:rPr>
          <w:rFonts w:hint="eastAsia" w:hAnsi="宋体" w:cs="宋体"/>
          <w:color w:val="auto"/>
          <w:highlight w:val="none"/>
        </w:rPr>
        <w:t>（5）评标时期在</w:t>
      </w:r>
      <w:r>
        <w:rPr>
          <w:rFonts w:hint="eastAsia" w:hAnsi="宋体" w:cs="宋体"/>
          <w:color w:val="auto"/>
          <w:highlight w:val="none"/>
          <w:lang w:eastAsia="zh-CN"/>
        </w:rPr>
        <w:t>“</w:t>
      </w:r>
      <w:r>
        <w:rPr>
          <w:rFonts w:hint="eastAsia" w:hAnsi="宋体" w:cs="宋体"/>
          <w:color w:val="auto"/>
          <w:highlight w:val="none"/>
        </w:rPr>
        <w:t>中国执行信息公开网</w:t>
      </w:r>
      <w:r>
        <w:rPr>
          <w:rFonts w:hint="eastAsia" w:hAnsi="宋体" w:cs="宋体"/>
          <w:color w:val="auto"/>
          <w:highlight w:val="none"/>
          <w:lang w:eastAsia="zh-CN"/>
        </w:rPr>
        <w:t>”</w:t>
      </w:r>
      <w:r>
        <w:rPr>
          <w:rFonts w:hint="eastAsia" w:hAnsi="宋体" w:cs="宋体"/>
          <w:color w:val="auto"/>
          <w:highlight w:val="none"/>
        </w:rPr>
        <w:t>（https://zxgk.court.gov.cn/shixin/）中被列为失信被执行人的人员。</w:t>
      </w:r>
    </w:p>
    <w:p w14:paraId="72F57A3A">
      <w:pPr>
        <w:pStyle w:val="5"/>
        <w:rPr>
          <w:color w:val="auto"/>
          <w:highlight w:val="none"/>
        </w:rPr>
      </w:pPr>
      <w:bookmarkStart w:id="275" w:name="_Toc1161552754"/>
      <w:bookmarkStart w:id="276" w:name="_Toc78449659"/>
      <w:bookmarkStart w:id="277" w:name="_Toc407135114"/>
      <w:bookmarkStart w:id="278" w:name="_Toc19804"/>
      <w:r>
        <w:rPr>
          <w:color w:val="auto"/>
          <w:highlight w:val="none"/>
        </w:rPr>
        <w:t xml:space="preserve">6.2 </w:t>
      </w:r>
      <w:r>
        <w:rPr>
          <w:rFonts w:hint="eastAsia" w:cs="黑体"/>
          <w:color w:val="auto"/>
          <w:highlight w:val="none"/>
        </w:rPr>
        <w:t>评标原则</w:t>
      </w:r>
      <w:bookmarkEnd w:id="274"/>
      <w:bookmarkEnd w:id="275"/>
      <w:bookmarkEnd w:id="276"/>
      <w:bookmarkEnd w:id="277"/>
      <w:bookmarkEnd w:id="278"/>
    </w:p>
    <w:p w14:paraId="30CFB965">
      <w:pPr>
        <w:spacing w:line="360" w:lineRule="auto"/>
        <w:ind w:firstLine="420" w:firstLineChars="200"/>
        <w:rPr>
          <w:color w:val="auto"/>
          <w:highlight w:val="none"/>
        </w:rPr>
      </w:pPr>
      <w:r>
        <w:rPr>
          <w:color w:val="auto"/>
          <w:highlight w:val="none"/>
        </w:rPr>
        <w:t xml:space="preserve">6.2.1 </w:t>
      </w:r>
      <w:r>
        <w:rPr>
          <w:rFonts w:hint="eastAsia" w:cs="宋体"/>
          <w:color w:val="auto"/>
          <w:highlight w:val="none"/>
        </w:rPr>
        <w:t>评标活动遵循公平、公正、科学和择优的原则。</w:t>
      </w:r>
    </w:p>
    <w:p w14:paraId="1DE71A9A">
      <w:pPr>
        <w:spacing w:line="360" w:lineRule="auto"/>
        <w:ind w:firstLine="420" w:firstLineChars="200"/>
        <w:rPr>
          <w:rFonts w:hAnsi="宋体"/>
          <w:color w:val="auto"/>
          <w:highlight w:val="none"/>
        </w:rPr>
      </w:pPr>
      <w:r>
        <w:rPr>
          <w:rFonts w:hAnsi="宋体"/>
          <w:color w:val="auto"/>
          <w:highlight w:val="none"/>
        </w:rPr>
        <w:t xml:space="preserve">6.2.2 </w:t>
      </w:r>
      <w:r>
        <w:rPr>
          <w:rFonts w:hint="eastAsia" w:hAnsi="宋体" w:cs="宋体"/>
          <w:color w:val="auto"/>
          <w:highlight w:val="none"/>
        </w:rPr>
        <w:t>电子评标的应急措施：</w:t>
      </w:r>
    </w:p>
    <w:p w14:paraId="46377ADB">
      <w:pPr>
        <w:spacing w:line="360" w:lineRule="auto"/>
        <w:ind w:firstLine="420" w:firstLineChars="200"/>
        <w:rPr>
          <w:color w:val="auto"/>
          <w:highlight w:val="none"/>
        </w:rPr>
      </w:pPr>
      <w:r>
        <w:rPr>
          <w:rFonts w:hint="eastAsia" w:hAnsi="宋体" w:cs="宋体"/>
          <w:color w:val="auto"/>
          <w:highlight w:val="none"/>
        </w:rPr>
        <w:t>开标结束后，因电子招标投标系统故障无法评标时，经招标监督部门同意后，招标人可以选择暂停评标活动，等待故障排除后继续评标。等待故障排除过程，必须对原有资料及信息作出妥善保密处理。</w:t>
      </w:r>
    </w:p>
    <w:p w14:paraId="1D1B7243">
      <w:pPr>
        <w:pStyle w:val="5"/>
        <w:rPr>
          <w:color w:val="auto"/>
          <w:highlight w:val="none"/>
        </w:rPr>
      </w:pPr>
      <w:bookmarkStart w:id="279" w:name="_Toc389065180"/>
      <w:bookmarkStart w:id="280" w:name="_Toc407135115"/>
      <w:bookmarkStart w:id="281" w:name="_Toc78449660"/>
      <w:bookmarkStart w:id="282" w:name="_Toc1717008437"/>
      <w:bookmarkStart w:id="283" w:name="_Toc3213"/>
      <w:r>
        <w:rPr>
          <w:color w:val="auto"/>
          <w:highlight w:val="none"/>
        </w:rPr>
        <w:t xml:space="preserve">6.3 </w:t>
      </w:r>
      <w:r>
        <w:rPr>
          <w:rFonts w:hint="eastAsia" w:cs="黑体"/>
          <w:color w:val="auto"/>
          <w:highlight w:val="none"/>
        </w:rPr>
        <w:t>评标</w:t>
      </w:r>
      <w:bookmarkEnd w:id="279"/>
      <w:r>
        <w:rPr>
          <w:rFonts w:hint="eastAsia" w:cs="黑体"/>
          <w:color w:val="auto"/>
          <w:highlight w:val="none"/>
        </w:rPr>
        <w:t>方式</w:t>
      </w:r>
      <w:bookmarkEnd w:id="280"/>
      <w:bookmarkEnd w:id="281"/>
      <w:bookmarkEnd w:id="282"/>
      <w:bookmarkEnd w:id="283"/>
    </w:p>
    <w:p w14:paraId="51B7D798">
      <w:pPr>
        <w:spacing w:line="360" w:lineRule="auto"/>
        <w:ind w:firstLine="420" w:firstLineChars="200"/>
        <w:rPr>
          <w:color w:val="auto"/>
          <w:highlight w:val="none"/>
        </w:rPr>
      </w:pPr>
      <w:r>
        <w:rPr>
          <w:rFonts w:hint="eastAsia" w:cs="宋体"/>
          <w:color w:val="auto"/>
          <w:highlight w:val="none"/>
        </w:rPr>
        <w:t>评标委员会按照第三章</w:t>
      </w:r>
      <w:r>
        <w:rPr>
          <w:rFonts w:hint="eastAsia"/>
          <w:color w:val="auto"/>
          <w:highlight w:val="none"/>
          <w:lang w:eastAsia="zh-CN"/>
        </w:rPr>
        <w:t>“</w:t>
      </w:r>
      <w:r>
        <w:rPr>
          <w:rFonts w:hint="eastAsia" w:cs="宋体"/>
          <w:color w:val="auto"/>
          <w:highlight w:val="none"/>
        </w:rPr>
        <w:t>评标办法</w:t>
      </w:r>
      <w:r>
        <w:rPr>
          <w:rFonts w:hint="eastAsia"/>
          <w:color w:val="auto"/>
          <w:highlight w:val="none"/>
          <w:lang w:eastAsia="zh-CN"/>
        </w:rPr>
        <w:t>”</w:t>
      </w:r>
      <w:r>
        <w:rPr>
          <w:rFonts w:hint="eastAsia" w:cs="宋体"/>
          <w:color w:val="auto"/>
          <w:highlight w:val="none"/>
        </w:rPr>
        <w:t>规定的方法、评审因素、标准和程序对投标文件进行评审。第三章</w:t>
      </w:r>
      <w:r>
        <w:rPr>
          <w:rFonts w:hint="eastAsia"/>
          <w:color w:val="auto"/>
          <w:highlight w:val="none"/>
          <w:lang w:eastAsia="zh-CN"/>
        </w:rPr>
        <w:t>“</w:t>
      </w:r>
      <w:r>
        <w:rPr>
          <w:rFonts w:hint="eastAsia" w:cs="宋体"/>
          <w:color w:val="auto"/>
          <w:highlight w:val="none"/>
        </w:rPr>
        <w:t>评标办法</w:t>
      </w:r>
      <w:r>
        <w:rPr>
          <w:rFonts w:hint="eastAsia"/>
          <w:color w:val="auto"/>
          <w:highlight w:val="none"/>
          <w:lang w:eastAsia="zh-CN"/>
        </w:rPr>
        <w:t>”</w:t>
      </w:r>
      <w:r>
        <w:rPr>
          <w:rFonts w:hint="eastAsia" w:cs="宋体"/>
          <w:color w:val="auto"/>
          <w:highlight w:val="none"/>
        </w:rPr>
        <w:t>没有规定的方法、评审因素和标准，不作为评标依据。具体评标方式见</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w:t>
      </w:r>
    </w:p>
    <w:p w14:paraId="1DF4C623">
      <w:pPr>
        <w:pStyle w:val="5"/>
        <w:rPr>
          <w:color w:val="auto"/>
          <w:highlight w:val="none"/>
        </w:rPr>
      </w:pPr>
      <w:bookmarkStart w:id="284" w:name="_Toc78449661"/>
      <w:bookmarkStart w:id="285" w:name="_Toc407135116"/>
      <w:bookmarkStart w:id="286" w:name="_Toc389065181"/>
      <w:bookmarkStart w:id="287" w:name="_Toc24363"/>
      <w:bookmarkStart w:id="288" w:name="_Toc1673392034"/>
      <w:r>
        <w:rPr>
          <w:color w:val="auto"/>
          <w:highlight w:val="none"/>
        </w:rPr>
        <w:t xml:space="preserve">6.4 </w:t>
      </w:r>
      <w:r>
        <w:rPr>
          <w:rFonts w:hint="eastAsia" w:cs="黑体"/>
          <w:color w:val="auto"/>
          <w:highlight w:val="none"/>
        </w:rPr>
        <w:t>移交评标资料</w:t>
      </w:r>
      <w:bookmarkEnd w:id="284"/>
      <w:bookmarkEnd w:id="285"/>
      <w:bookmarkEnd w:id="286"/>
      <w:bookmarkEnd w:id="287"/>
      <w:bookmarkEnd w:id="288"/>
    </w:p>
    <w:p w14:paraId="5EE8A075">
      <w:pPr>
        <w:spacing w:line="360" w:lineRule="auto"/>
        <w:ind w:firstLine="420" w:firstLineChars="200"/>
        <w:rPr>
          <w:color w:val="auto"/>
          <w:highlight w:val="none"/>
        </w:rPr>
      </w:pPr>
      <w:r>
        <w:rPr>
          <w:rFonts w:hint="eastAsia" w:cs="宋体"/>
          <w:color w:val="auto"/>
          <w:highlight w:val="none"/>
        </w:rPr>
        <w:t>评标委员会完成评标后，立即通过全国公共资源交易平台（广西壮族自治区或当地分网）提交评标报告和中标候选人名单，并同时向招标人移交所有评标所涉资料。</w:t>
      </w:r>
    </w:p>
    <w:p w14:paraId="446A0961">
      <w:pPr>
        <w:pStyle w:val="5"/>
        <w:rPr>
          <w:color w:val="auto"/>
          <w:highlight w:val="none"/>
        </w:rPr>
      </w:pPr>
      <w:bookmarkStart w:id="289" w:name="_Toc407135117"/>
      <w:bookmarkStart w:id="290" w:name="_Toc78449662"/>
      <w:bookmarkStart w:id="291" w:name="_Toc821386297"/>
      <w:bookmarkStart w:id="292" w:name="_Toc21041"/>
      <w:bookmarkStart w:id="293" w:name="_Toc389065182"/>
      <w:r>
        <w:rPr>
          <w:color w:val="auto"/>
          <w:highlight w:val="none"/>
        </w:rPr>
        <w:t xml:space="preserve">6.5 </w:t>
      </w:r>
      <w:r>
        <w:rPr>
          <w:rFonts w:hint="eastAsia" w:cs="黑体"/>
          <w:color w:val="auto"/>
          <w:highlight w:val="none"/>
        </w:rPr>
        <w:t>评标资料封存和启封</w:t>
      </w:r>
      <w:bookmarkEnd w:id="289"/>
      <w:bookmarkEnd w:id="290"/>
      <w:bookmarkEnd w:id="291"/>
      <w:bookmarkEnd w:id="292"/>
      <w:bookmarkEnd w:id="293"/>
    </w:p>
    <w:p w14:paraId="264D62BB">
      <w:pPr>
        <w:spacing w:line="360" w:lineRule="auto"/>
        <w:ind w:firstLine="420" w:firstLineChars="200"/>
        <w:rPr>
          <w:color w:val="auto"/>
          <w:highlight w:val="none"/>
        </w:rPr>
      </w:pPr>
      <w:r>
        <w:rPr>
          <w:color w:val="auto"/>
          <w:highlight w:val="none"/>
        </w:rPr>
        <w:t xml:space="preserve">6.5.1 </w:t>
      </w:r>
      <w:r>
        <w:rPr>
          <w:rFonts w:hint="eastAsia" w:cs="宋体"/>
          <w:color w:val="auto"/>
          <w:highlight w:val="none"/>
        </w:rPr>
        <w:t>评标结束至中标通知书发放时，招标人按</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规定的封存方式封存评标资料。</w:t>
      </w:r>
    </w:p>
    <w:p w14:paraId="71CE52DB">
      <w:pPr>
        <w:spacing w:line="360" w:lineRule="auto"/>
        <w:ind w:firstLine="420" w:firstLineChars="200"/>
        <w:rPr>
          <w:color w:val="auto"/>
          <w:highlight w:val="none"/>
        </w:rPr>
      </w:pPr>
      <w:r>
        <w:rPr>
          <w:color w:val="auto"/>
          <w:highlight w:val="none"/>
        </w:rPr>
        <w:t xml:space="preserve">6.5.2 </w:t>
      </w:r>
      <w:r>
        <w:rPr>
          <w:rFonts w:hint="eastAsia" w:cs="宋体"/>
          <w:color w:val="auto"/>
          <w:highlight w:val="none"/>
        </w:rPr>
        <w:t>如在封存期间处理招标投标利害当事人提出异议或者投诉时需要启封评标资料的，应按当地招投标监督管理部门规定的程序启封。</w:t>
      </w:r>
    </w:p>
    <w:p w14:paraId="6598C234">
      <w:pPr>
        <w:spacing w:line="360" w:lineRule="auto"/>
        <w:ind w:firstLine="420" w:firstLineChars="200"/>
        <w:rPr>
          <w:color w:val="auto"/>
          <w:highlight w:val="none"/>
        </w:rPr>
      </w:pPr>
      <w:r>
        <w:rPr>
          <w:color w:val="auto"/>
          <w:highlight w:val="none"/>
        </w:rPr>
        <w:t xml:space="preserve">6.5.3 </w:t>
      </w:r>
      <w:r>
        <w:rPr>
          <w:rFonts w:hint="eastAsia" w:cs="宋体"/>
          <w:color w:val="auto"/>
          <w:highlight w:val="none"/>
        </w:rPr>
        <w:t>评标资料封存和启封应符合当地招投标监督管理部门的规定。</w:t>
      </w:r>
      <w:bookmarkStart w:id="294" w:name="_Toc389065183"/>
    </w:p>
    <w:p w14:paraId="5F250FCD">
      <w:pPr>
        <w:pStyle w:val="5"/>
        <w:rPr>
          <w:color w:val="auto"/>
          <w:highlight w:val="none"/>
        </w:rPr>
      </w:pPr>
      <w:bookmarkStart w:id="295" w:name="_Toc407135118"/>
      <w:bookmarkStart w:id="296" w:name="_Toc78449663"/>
      <w:bookmarkStart w:id="297" w:name="_Toc300659512"/>
      <w:bookmarkStart w:id="298" w:name="_Toc9777"/>
      <w:r>
        <w:rPr>
          <w:color w:val="auto"/>
          <w:highlight w:val="none"/>
        </w:rPr>
        <w:t xml:space="preserve">6.6 </w:t>
      </w:r>
      <w:r>
        <w:rPr>
          <w:rFonts w:hint="eastAsia" w:cs="黑体"/>
          <w:color w:val="auto"/>
          <w:highlight w:val="none"/>
        </w:rPr>
        <w:t>中标候选人公示</w:t>
      </w:r>
      <w:bookmarkEnd w:id="294"/>
      <w:bookmarkEnd w:id="295"/>
      <w:bookmarkEnd w:id="296"/>
      <w:bookmarkEnd w:id="297"/>
      <w:bookmarkEnd w:id="298"/>
    </w:p>
    <w:p w14:paraId="43AAFBEE">
      <w:pPr>
        <w:spacing w:line="360" w:lineRule="auto"/>
        <w:ind w:firstLine="420" w:firstLineChars="200"/>
        <w:rPr>
          <w:color w:val="auto"/>
          <w:highlight w:val="none"/>
        </w:rPr>
      </w:pPr>
      <w:r>
        <w:rPr>
          <w:color w:val="auto"/>
          <w:highlight w:val="none"/>
        </w:rPr>
        <w:t>6.6.1</w:t>
      </w:r>
      <w:r>
        <w:rPr>
          <w:rFonts w:hint="eastAsia"/>
          <w:color w:val="auto"/>
          <w:highlight w:val="none"/>
        </w:rPr>
        <w:t>招标人在收到评标报告之日起3日内在投标人须知前附表规定的发布媒介发布评标结果公示，公示期不少于3个工作日。</w:t>
      </w:r>
    </w:p>
    <w:p w14:paraId="48327E9F">
      <w:pPr>
        <w:spacing w:line="360" w:lineRule="auto"/>
        <w:ind w:firstLine="420" w:firstLineChars="200"/>
        <w:rPr>
          <w:rFonts w:hint="eastAsia"/>
          <w:color w:val="auto"/>
          <w:highlight w:val="none"/>
        </w:rPr>
      </w:pPr>
      <w:r>
        <w:rPr>
          <w:rFonts w:hint="eastAsia"/>
          <w:color w:val="auto"/>
          <w:highlight w:val="none"/>
        </w:rPr>
        <w:t>6.6.2中标候选人享受《政府采购促进中小企业发展管理办法》（财库〔2020〕46号）规定的中小企业扶持政策的，招标人或者其委托的招标代理机构应当在公示中标候选人时公开中标候选人的《中小企业声明函》；中标候选人为残疾人福利性单位的，招标人或者其委托的招标代理机构应当在中标候选人公示时公开中标候选人的《残疾人福利性单位声明函》。</w:t>
      </w:r>
    </w:p>
    <w:p w14:paraId="78043EDC">
      <w:pPr>
        <w:spacing w:line="360" w:lineRule="auto"/>
        <w:ind w:firstLine="420" w:firstLineChars="200"/>
        <w:rPr>
          <w:color w:val="auto"/>
          <w:highlight w:val="none"/>
        </w:rPr>
      </w:pPr>
      <w:r>
        <w:rPr>
          <w:color w:val="auto"/>
          <w:highlight w:val="none"/>
        </w:rPr>
        <w:t>6.6.</w:t>
      </w:r>
      <w:r>
        <w:rPr>
          <w:rFonts w:hint="eastAsia"/>
          <w:color w:val="auto"/>
          <w:highlight w:val="none"/>
          <w:lang w:val="en-US" w:eastAsia="zh-CN"/>
        </w:rPr>
        <w:t>3</w:t>
      </w:r>
      <w:r>
        <w:rPr>
          <w:color w:val="auto"/>
          <w:highlight w:val="none"/>
        </w:rPr>
        <w:t xml:space="preserve"> </w:t>
      </w:r>
      <w:r>
        <w:rPr>
          <w:rFonts w:hint="eastAsia" w:cs="宋体"/>
          <w:color w:val="auto"/>
          <w:highlight w:val="none"/>
        </w:rPr>
        <w:t>投标人或者其他利害关系人对评标结果有异议的，应当在中标候选人公示期间通过全国公共资源交易平台（广西壮族自治区）或提交纸质书面材料提出。招标人自收到异议之日起</w:t>
      </w:r>
      <w:r>
        <w:rPr>
          <w:color w:val="auto"/>
          <w:highlight w:val="none"/>
        </w:rPr>
        <w:t>3</w:t>
      </w:r>
      <w:r>
        <w:rPr>
          <w:rFonts w:hint="eastAsia" w:cs="宋体"/>
          <w:color w:val="auto"/>
          <w:highlight w:val="none"/>
        </w:rPr>
        <w:t>日内作出答复。对招标人答复不满意或招标人拒不答复的，投标人可按照本章第</w:t>
      </w:r>
      <w:r>
        <w:rPr>
          <w:color w:val="auto"/>
          <w:highlight w:val="none"/>
        </w:rPr>
        <w:t>9.5</w:t>
      </w:r>
      <w:r>
        <w:rPr>
          <w:rFonts w:hint="eastAsia" w:cs="宋体"/>
          <w:color w:val="auto"/>
          <w:highlight w:val="none"/>
        </w:rPr>
        <w:t>条的规定程序向有关行政监督部门投诉。</w:t>
      </w:r>
    </w:p>
    <w:p w14:paraId="49910355">
      <w:pPr>
        <w:spacing w:line="360" w:lineRule="auto"/>
        <w:ind w:firstLine="420" w:firstLineChars="200"/>
        <w:rPr>
          <w:rFonts w:hint="eastAsia" w:cs="宋体"/>
          <w:color w:val="auto"/>
          <w:highlight w:val="none"/>
        </w:rPr>
      </w:pPr>
      <w:r>
        <w:rPr>
          <w:color w:val="auto"/>
          <w:highlight w:val="none"/>
        </w:rPr>
        <w:t>6.6.</w:t>
      </w:r>
      <w:r>
        <w:rPr>
          <w:rFonts w:hint="eastAsia"/>
          <w:color w:val="auto"/>
          <w:highlight w:val="none"/>
          <w:lang w:val="en-US" w:eastAsia="zh-CN"/>
        </w:rPr>
        <w:t>4</w:t>
      </w:r>
      <w:r>
        <w:rPr>
          <w:color w:val="auto"/>
          <w:highlight w:val="none"/>
        </w:rPr>
        <w:t xml:space="preserve"> </w:t>
      </w:r>
      <w:r>
        <w:rPr>
          <w:rFonts w:hint="eastAsia" w:cs="宋体"/>
          <w:color w:val="auto"/>
          <w:highlight w:val="none"/>
        </w:rPr>
        <w:t>招标人对中标候选人有投诉的，按照本章第</w:t>
      </w:r>
      <w:r>
        <w:rPr>
          <w:color w:val="auto"/>
          <w:highlight w:val="none"/>
        </w:rPr>
        <w:t>9.5</w:t>
      </w:r>
      <w:r>
        <w:rPr>
          <w:rFonts w:hint="eastAsia" w:cs="宋体"/>
          <w:color w:val="auto"/>
          <w:highlight w:val="none"/>
        </w:rPr>
        <w:t>条的规定程序执行。</w:t>
      </w:r>
    </w:p>
    <w:p w14:paraId="797577EB">
      <w:pPr>
        <w:pStyle w:val="5"/>
        <w:rPr>
          <w:color w:val="auto"/>
          <w:highlight w:val="none"/>
        </w:rPr>
      </w:pPr>
      <w:bookmarkStart w:id="299" w:name="_Toc465114777"/>
      <w:bookmarkStart w:id="300" w:name="_Toc6638"/>
      <w:bookmarkStart w:id="301" w:name="_Toc78449664"/>
      <w:bookmarkStart w:id="302" w:name="_Toc222840808"/>
      <w:r>
        <w:rPr>
          <w:color w:val="auto"/>
          <w:highlight w:val="none"/>
        </w:rPr>
        <w:t>6.7</w:t>
      </w:r>
      <w:r>
        <w:rPr>
          <w:rFonts w:hint="eastAsia" w:cs="黑体"/>
          <w:color w:val="auto"/>
          <w:highlight w:val="none"/>
        </w:rPr>
        <w:t>履约能力审查</w:t>
      </w:r>
      <w:bookmarkEnd w:id="299"/>
      <w:bookmarkEnd w:id="300"/>
      <w:bookmarkEnd w:id="301"/>
      <w:bookmarkEnd w:id="302"/>
    </w:p>
    <w:p w14:paraId="27430B55">
      <w:pPr>
        <w:spacing w:line="360" w:lineRule="auto"/>
        <w:ind w:firstLine="420" w:firstLineChars="200"/>
        <w:rPr>
          <w:color w:val="auto"/>
          <w:highlight w:val="none"/>
        </w:rPr>
      </w:pPr>
      <w:r>
        <w:rPr>
          <w:rFonts w:hint="eastAsia"/>
          <w:color w:val="auto"/>
          <w:highlight w:val="none"/>
        </w:rPr>
        <w:t>在中标通知书发出前，如果中标候选人的经营、财务状况发生较大变化或存在</w:t>
      </w:r>
      <w:r>
        <w:rPr>
          <w:rFonts w:hint="eastAsia"/>
          <w:color w:val="auto"/>
          <w:highlight w:val="none"/>
          <w:lang w:eastAsia="zh-CN"/>
        </w:rPr>
        <w:t>“</w:t>
      </w:r>
      <w:r>
        <w:rPr>
          <w:rFonts w:hint="eastAsia"/>
          <w:color w:val="auto"/>
          <w:highlight w:val="none"/>
        </w:rPr>
        <w:t>投标人须知前附表</w:t>
      </w:r>
      <w:r>
        <w:rPr>
          <w:rFonts w:hint="eastAsia"/>
          <w:color w:val="auto"/>
          <w:highlight w:val="none"/>
          <w:lang w:eastAsia="zh-CN"/>
        </w:rPr>
        <w:t>”</w:t>
      </w:r>
      <w:r>
        <w:rPr>
          <w:rFonts w:hint="eastAsia"/>
          <w:color w:val="auto"/>
          <w:highlight w:val="none"/>
        </w:rPr>
        <w:t>规定的情形，可能造成不能履行合同、无法按照招标文件要求提交履约保证金等情形，不符合中标条件的，应及时书面告知招标人。</w:t>
      </w:r>
    </w:p>
    <w:p w14:paraId="0DBB362E">
      <w:pPr>
        <w:spacing w:line="360" w:lineRule="auto"/>
        <w:ind w:firstLine="420" w:firstLineChars="200"/>
        <w:rPr>
          <w:color w:val="auto"/>
          <w:highlight w:val="none"/>
        </w:rPr>
      </w:pPr>
      <w:r>
        <w:rPr>
          <w:rFonts w:hint="eastAsia"/>
          <w:color w:val="auto"/>
          <w:highlight w:val="none"/>
        </w:rPr>
        <w:t>如招标人认为中标候选人的经营、财务状况发生较大变化、存在违法行为或者</w:t>
      </w:r>
      <w:r>
        <w:rPr>
          <w:rFonts w:hint="eastAsia"/>
          <w:color w:val="auto"/>
          <w:highlight w:val="none"/>
          <w:lang w:eastAsia="zh-CN"/>
        </w:rPr>
        <w:t>“</w:t>
      </w:r>
      <w:r>
        <w:rPr>
          <w:rFonts w:hint="eastAsia"/>
          <w:color w:val="auto"/>
          <w:highlight w:val="none"/>
        </w:rPr>
        <w:t>投标人须知前附表</w:t>
      </w:r>
      <w:r>
        <w:rPr>
          <w:rFonts w:hint="eastAsia"/>
          <w:color w:val="auto"/>
          <w:highlight w:val="none"/>
          <w:lang w:eastAsia="zh-CN"/>
        </w:rPr>
        <w:t>”</w:t>
      </w:r>
      <w:r>
        <w:rPr>
          <w:rFonts w:hint="eastAsia"/>
          <w:color w:val="auto"/>
          <w:highlight w:val="none"/>
        </w:rPr>
        <w:t>规定的情形，可能影响其履约能力的，应当在中标通知书发出前由原评标委员会按照招标文件规定的标准和方法审查确认。</w:t>
      </w:r>
    </w:p>
    <w:p w14:paraId="107D3802">
      <w:pPr>
        <w:pStyle w:val="4"/>
        <w:rPr>
          <w:color w:val="auto"/>
          <w:highlight w:val="none"/>
        </w:rPr>
      </w:pPr>
      <w:bookmarkStart w:id="303" w:name="_Toc78449665"/>
      <w:bookmarkStart w:id="304" w:name="_Toc389065184"/>
      <w:bookmarkStart w:id="305" w:name="_Toc816326860"/>
      <w:bookmarkStart w:id="306" w:name="_Toc19118"/>
      <w:bookmarkStart w:id="307" w:name="_Toc407135119"/>
      <w:r>
        <w:rPr>
          <w:color w:val="auto"/>
          <w:highlight w:val="none"/>
        </w:rPr>
        <w:t xml:space="preserve">7 </w:t>
      </w:r>
      <w:r>
        <w:rPr>
          <w:rFonts w:hint="eastAsia" w:cs="黑体"/>
          <w:color w:val="auto"/>
          <w:highlight w:val="none"/>
        </w:rPr>
        <w:t>合同授予</w:t>
      </w:r>
      <w:bookmarkEnd w:id="303"/>
      <w:bookmarkEnd w:id="304"/>
      <w:bookmarkEnd w:id="305"/>
      <w:bookmarkEnd w:id="306"/>
      <w:bookmarkEnd w:id="307"/>
    </w:p>
    <w:p w14:paraId="2CB745AD">
      <w:pPr>
        <w:pStyle w:val="5"/>
        <w:rPr>
          <w:color w:val="auto"/>
          <w:highlight w:val="none"/>
        </w:rPr>
      </w:pPr>
      <w:bookmarkStart w:id="308" w:name="_Toc1227023857"/>
      <w:bookmarkStart w:id="309" w:name="_Toc389065185"/>
      <w:bookmarkStart w:id="310" w:name="_Toc407135120"/>
      <w:bookmarkStart w:id="311" w:name="_Toc17139"/>
      <w:bookmarkStart w:id="312" w:name="_Toc78449666"/>
      <w:r>
        <w:rPr>
          <w:color w:val="auto"/>
          <w:highlight w:val="none"/>
        </w:rPr>
        <w:t xml:space="preserve">7.1 </w:t>
      </w:r>
      <w:r>
        <w:rPr>
          <w:rFonts w:hint="eastAsia" w:cs="黑体"/>
          <w:color w:val="auto"/>
          <w:highlight w:val="none"/>
        </w:rPr>
        <w:t>定标方式</w:t>
      </w:r>
      <w:bookmarkEnd w:id="308"/>
      <w:bookmarkEnd w:id="309"/>
      <w:bookmarkEnd w:id="310"/>
      <w:bookmarkEnd w:id="311"/>
      <w:bookmarkEnd w:id="312"/>
    </w:p>
    <w:p w14:paraId="0C0780FA">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7.1.1招标人在定标前，对中标候选人进行全面核验，重点核查以下异常投标情形：</w:t>
      </w:r>
    </w:p>
    <w:p w14:paraId="74388486">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（1）法律法规规定视为串通投标的情形；</w:t>
      </w:r>
    </w:p>
    <w:p w14:paraId="5AB50351">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（2）投标文件异常一致；</w:t>
      </w:r>
    </w:p>
    <w:p w14:paraId="05772C2E">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（3）投标活动异常关联；</w:t>
      </w:r>
    </w:p>
    <w:p w14:paraId="21C0367D">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（4）通过受让、租借、挂靠资质投标，伪造、变造资质、资格证书或者其他许可证件，提供虚假业绩、奖项、项目负责人等材料。</w:t>
      </w:r>
    </w:p>
    <w:p w14:paraId="32040204">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7.1.2招标人在定标过程中，对中标候选人核验发现存在下列情形的，不得确定其为中标人：</w:t>
      </w:r>
    </w:p>
    <w:p w14:paraId="7CE6384F">
      <w:pPr>
        <w:spacing w:line="360" w:lineRule="auto"/>
        <w:ind w:firstLineChars="200"/>
        <w:rPr>
          <w:rFonts w:hint="eastAsia" w:cs="Times New Roman"/>
          <w:color w:val="auto"/>
          <w:highlight w:val="none"/>
          <w:lang w:val="en-US" w:eastAsia="zh-CN"/>
        </w:rPr>
      </w:pPr>
      <w:r>
        <w:rPr>
          <w:rFonts w:hint="eastAsia" w:cs="Times New Roman"/>
          <w:color w:val="auto"/>
          <w:highlight w:val="none"/>
          <w:lang w:val="en-US" w:eastAsia="zh-CN"/>
        </w:rPr>
        <w:t>（1）存在弄虚作假、围标串标等违法情形，不符合中标条件的；</w:t>
      </w:r>
    </w:p>
    <w:p w14:paraId="096FAD47">
      <w:pPr>
        <w:spacing w:line="360" w:lineRule="auto"/>
        <w:ind w:firstLineChars="200"/>
        <w:rPr>
          <w:rFonts w:hint="eastAsia" w:cs="Times New Roman"/>
          <w:color w:val="auto"/>
          <w:highlight w:val="none"/>
          <w:lang w:val="en-US" w:eastAsia="zh-CN"/>
        </w:rPr>
      </w:pPr>
      <w:r>
        <w:rPr>
          <w:rFonts w:hint="eastAsia" w:cs="Times New Roman"/>
          <w:color w:val="auto"/>
          <w:highlight w:val="none"/>
          <w:lang w:val="en-US" w:eastAsia="zh-CN"/>
        </w:rPr>
        <w:t>（2）资质、业绩、人员资格、信用、财务状况、生产条件等不符合中标条件的；</w:t>
      </w:r>
    </w:p>
    <w:p w14:paraId="585E3854">
      <w:pPr>
        <w:spacing w:line="360" w:lineRule="auto"/>
        <w:ind w:firstLineChars="200"/>
        <w:rPr>
          <w:rFonts w:hint="eastAsia" w:cs="Times New Roman"/>
          <w:color w:val="auto"/>
          <w:highlight w:val="none"/>
          <w:lang w:val="en-US" w:eastAsia="zh-CN"/>
        </w:rPr>
      </w:pPr>
      <w:r>
        <w:rPr>
          <w:rFonts w:hint="eastAsia" w:cs="Times New Roman"/>
          <w:color w:val="auto"/>
          <w:highlight w:val="none"/>
          <w:lang w:val="en-US" w:eastAsia="zh-CN"/>
        </w:rPr>
        <w:t>（3）因经营、财务状况发生较大变化，可能影响其履约能力的；</w:t>
      </w:r>
    </w:p>
    <w:p w14:paraId="481162E6">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（4）不按照招标文件要求提交履约保证金的。</w:t>
      </w:r>
    </w:p>
    <w:p w14:paraId="3034F00E">
      <w:pPr>
        <w:spacing w:line="360" w:lineRule="auto"/>
        <w:ind w:firstLineChars="200"/>
        <w:rPr>
          <w:rFonts w:hint="eastAsia" w:cs="Times New Roman"/>
          <w:color w:val="auto"/>
          <w:highlight w:val="none"/>
          <w:lang w:val="en-US" w:eastAsia="zh-CN"/>
        </w:rPr>
      </w:pPr>
      <w:r>
        <w:rPr>
          <w:rFonts w:hint="eastAsia" w:cs="Times New Roman"/>
          <w:color w:val="auto"/>
          <w:highlight w:val="none"/>
          <w:lang w:val="en-US" w:eastAsia="zh-CN"/>
        </w:rPr>
        <w:t>招标人认为中标候选人存在前款第（1）（4）项情形的，在充分核验事实情况后，有权按照法律法规和招标文件规定确定其他中标候选人为中标人，也可以重新招标。招标人发现中标候选人存在违法情形、依法应当给予行政处罚的，应当向有关行政监督部门报告，并积极配合相关部门调查取证。</w:t>
      </w:r>
    </w:p>
    <w:p w14:paraId="75A00CDF">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招标人认为中标候选人存在第一款第（2）（3）项情形的，应当由原评标委员会按照招标文件规定的标准和方法审查确认。</w:t>
      </w:r>
    </w:p>
    <w:p w14:paraId="34C08DE6">
      <w:pPr>
        <w:spacing w:line="360" w:lineRule="auto"/>
        <w:ind w:firstLine="420" w:firstLineChars="200"/>
        <w:rPr>
          <w:rFonts w:hint="eastAsia" w:cs="Times New Roman"/>
          <w:color w:val="auto"/>
          <w:highlight w:val="none"/>
        </w:rPr>
      </w:pPr>
      <w:r>
        <w:rPr>
          <w:rFonts w:hint="eastAsia" w:cs="Times New Roman"/>
          <w:color w:val="auto"/>
          <w:highlight w:val="none"/>
          <w:lang w:val="en-US" w:eastAsia="zh-CN"/>
        </w:rPr>
        <w:t>7.1.3</w:t>
      </w:r>
      <w:r>
        <w:rPr>
          <w:rFonts w:hint="eastAsia" w:cs="Times New Roman"/>
          <w:color w:val="auto"/>
          <w:highlight w:val="none"/>
        </w:rPr>
        <w:t>除</w:t>
      </w:r>
      <w:r>
        <w:rPr>
          <w:rFonts w:hint="eastAsia"/>
          <w:color w:val="auto"/>
          <w:highlight w:val="none"/>
          <w:lang w:eastAsia="zh-CN"/>
        </w:rPr>
        <w:t>“</w:t>
      </w:r>
      <w:r>
        <w:rPr>
          <w:rFonts w:hint="eastAsia" w:cs="Times New Roman"/>
          <w:color w:val="auto"/>
          <w:highlight w:val="none"/>
        </w:rPr>
        <w:t>投标人须知前附表</w:t>
      </w:r>
      <w:r>
        <w:rPr>
          <w:rFonts w:hint="eastAsia"/>
          <w:color w:val="auto"/>
          <w:highlight w:val="none"/>
          <w:lang w:eastAsia="zh-CN"/>
        </w:rPr>
        <w:t>”</w:t>
      </w:r>
      <w:r>
        <w:rPr>
          <w:rFonts w:hint="eastAsia" w:cs="Times New Roman"/>
          <w:color w:val="auto"/>
          <w:highlight w:val="none"/>
        </w:rPr>
        <w:t>规定评标委员会直接确定中标人外，招标人依据评标委员会推荐的中标候选人确定中标人，评标委员会推荐中标候选人的人数见</w:t>
      </w:r>
      <w:r>
        <w:rPr>
          <w:rFonts w:hint="eastAsia"/>
          <w:color w:val="auto"/>
          <w:highlight w:val="none"/>
          <w:lang w:eastAsia="zh-CN"/>
        </w:rPr>
        <w:t>“</w:t>
      </w:r>
      <w:r>
        <w:rPr>
          <w:rFonts w:hint="eastAsia" w:cs="Times New Roman"/>
          <w:color w:val="auto"/>
          <w:highlight w:val="none"/>
        </w:rPr>
        <w:t>投标人须知前附表</w:t>
      </w:r>
      <w:r>
        <w:rPr>
          <w:rFonts w:hint="eastAsia"/>
          <w:color w:val="auto"/>
          <w:highlight w:val="none"/>
          <w:lang w:eastAsia="zh-CN"/>
        </w:rPr>
        <w:t>”</w:t>
      </w:r>
      <w:r>
        <w:rPr>
          <w:rFonts w:hint="eastAsia" w:cs="Times New Roman"/>
          <w:color w:val="auto"/>
          <w:highlight w:val="none"/>
        </w:rPr>
        <w:t>。</w:t>
      </w:r>
    </w:p>
    <w:p w14:paraId="598D19AD">
      <w:pPr>
        <w:spacing w:line="360" w:lineRule="auto"/>
        <w:ind w:firstLine="420" w:firstLineChars="200"/>
        <w:rPr>
          <w:color w:val="auto"/>
          <w:highlight w:val="none"/>
        </w:rPr>
      </w:pPr>
    </w:p>
    <w:p w14:paraId="2FAFC28A">
      <w:pPr>
        <w:pStyle w:val="5"/>
        <w:rPr>
          <w:rFonts w:hint="eastAsia" w:eastAsia="黑体"/>
          <w:color w:val="auto"/>
          <w:highlight w:val="none"/>
          <w:lang w:eastAsia="zh-CN"/>
        </w:rPr>
      </w:pPr>
      <w:bookmarkStart w:id="313" w:name="_Toc389065186"/>
      <w:bookmarkStart w:id="314" w:name="_Toc407135121"/>
      <w:bookmarkStart w:id="315" w:name="_Toc78449667"/>
      <w:bookmarkStart w:id="316" w:name="_Toc157159122"/>
      <w:bookmarkStart w:id="317" w:name="_Toc28484"/>
      <w:r>
        <w:rPr>
          <w:color w:val="auto"/>
          <w:highlight w:val="none"/>
        </w:rPr>
        <w:t xml:space="preserve">7.2 </w:t>
      </w:r>
      <w:r>
        <w:rPr>
          <w:rFonts w:hint="eastAsia" w:cs="黑体"/>
          <w:color w:val="auto"/>
          <w:highlight w:val="none"/>
        </w:rPr>
        <w:t>中标通知</w:t>
      </w:r>
      <w:bookmarkEnd w:id="313"/>
      <w:r>
        <w:rPr>
          <w:rFonts w:hint="eastAsia" w:cs="黑体"/>
          <w:color w:val="auto"/>
          <w:highlight w:val="none"/>
        </w:rPr>
        <w:t>及</w:t>
      </w:r>
      <w:bookmarkEnd w:id="314"/>
      <w:bookmarkEnd w:id="315"/>
      <w:bookmarkEnd w:id="316"/>
      <w:r>
        <w:rPr>
          <w:rFonts w:hint="eastAsia" w:cs="黑体"/>
          <w:color w:val="auto"/>
          <w:highlight w:val="none"/>
          <w:lang w:eastAsia="zh-CN"/>
        </w:rPr>
        <w:t>中标结果公告</w:t>
      </w:r>
      <w:bookmarkEnd w:id="317"/>
    </w:p>
    <w:p w14:paraId="3EA7852E">
      <w:pPr>
        <w:spacing w:line="360" w:lineRule="auto"/>
        <w:ind w:firstLine="420" w:firstLineChars="200"/>
        <w:rPr>
          <w:color w:val="auto"/>
          <w:highlight w:val="none"/>
        </w:rPr>
      </w:pPr>
      <w:r>
        <w:rPr>
          <w:rFonts w:hint="eastAsia"/>
          <w:color w:val="auto"/>
          <w:highlight w:val="none"/>
        </w:rPr>
        <w:t>中标候选人公示期满无异议或异议不成立的，招标人应在公示期结束后</w:t>
      </w:r>
      <w:r>
        <w:rPr>
          <w:color w:val="auto"/>
          <w:highlight w:val="none"/>
        </w:rPr>
        <w:t>5</w:t>
      </w:r>
      <w:r>
        <w:rPr>
          <w:rFonts w:hint="eastAsia"/>
          <w:color w:val="auto"/>
          <w:highlight w:val="none"/>
        </w:rPr>
        <w:t>日内按照招标文件规定的定标办法确定中标人，招标人应当自确定中标人之日起15日内，向工程所在地的县级以上地方人民政府建设行政主管部门提交施工招标投标情况的书面报告，建设行政主管部门自收到书面报告之日起5日内未通知招标人在招标投标活动中有违法行为的，招标人可以向中标人发出中标通知书，同时按规定的格式在发布媒介发出</w:t>
      </w:r>
      <w:r>
        <w:rPr>
          <w:rFonts w:hint="eastAsia"/>
          <w:color w:val="auto"/>
          <w:highlight w:val="none"/>
          <w:lang w:eastAsia="zh-CN"/>
        </w:rPr>
        <w:t>中标结果公告</w:t>
      </w:r>
      <w:r>
        <w:rPr>
          <w:rFonts w:hint="eastAsia"/>
          <w:color w:val="auto"/>
          <w:highlight w:val="none"/>
        </w:rPr>
        <w:t>，将中标结果在广西壮族自治区公共资源交易平台系统网站中通知未中标的投标人。</w:t>
      </w:r>
      <w:r>
        <w:rPr>
          <w:rFonts w:hint="eastAsia" w:ascii="仿宋_GB2312" w:hAnsi="宋体" w:cs="宋体"/>
          <w:color w:val="auto"/>
          <w:highlight w:val="none"/>
        </w:rPr>
        <w:t>依法必须招标项目的</w:t>
      </w:r>
      <w:r>
        <w:rPr>
          <w:rFonts w:hint="eastAsia" w:ascii="仿宋_GB2312" w:hAnsi="宋体" w:cs="宋体"/>
          <w:color w:val="auto"/>
          <w:highlight w:val="none"/>
          <w:lang w:eastAsia="zh-CN"/>
        </w:rPr>
        <w:t>中标结果公告</w:t>
      </w:r>
      <w:r>
        <w:rPr>
          <w:rFonts w:hint="eastAsia" w:ascii="仿宋_GB2312" w:hAnsi="宋体" w:cs="宋体"/>
          <w:color w:val="auto"/>
          <w:highlight w:val="none"/>
        </w:rPr>
        <w:t>应在广西壮族自治区招标投标公共服务平台上优先发布。</w:t>
      </w:r>
    </w:p>
    <w:p w14:paraId="4FABAA95">
      <w:pPr>
        <w:pStyle w:val="5"/>
        <w:rPr>
          <w:color w:val="auto"/>
          <w:highlight w:val="none"/>
        </w:rPr>
      </w:pPr>
      <w:bookmarkStart w:id="318" w:name="_Toc389065187"/>
      <w:bookmarkStart w:id="319" w:name="_Toc407135122"/>
      <w:bookmarkStart w:id="320" w:name="_Toc78449668"/>
      <w:bookmarkStart w:id="321" w:name="_Toc1448385315"/>
      <w:bookmarkStart w:id="322" w:name="_Toc19682"/>
      <w:r>
        <w:rPr>
          <w:color w:val="auto"/>
          <w:highlight w:val="none"/>
        </w:rPr>
        <w:t xml:space="preserve">7.3 </w:t>
      </w:r>
      <w:r>
        <w:rPr>
          <w:rFonts w:hint="eastAsia" w:cs="黑体"/>
          <w:color w:val="auto"/>
          <w:highlight w:val="none"/>
        </w:rPr>
        <w:t>履约</w:t>
      </w:r>
      <w:bookmarkEnd w:id="318"/>
      <w:r>
        <w:rPr>
          <w:rFonts w:hint="eastAsia" w:cs="黑体"/>
          <w:color w:val="auto"/>
          <w:highlight w:val="none"/>
        </w:rPr>
        <w:t>保证金</w:t>
      </w:r>
      <w:bookmarkEnd w:id="319"/>
      <w:bookmarkEnd w:id="320"/>
      <w:bookmarkEnd w:id="321"/>
      <w:bookmarkEnd w:id="322"/>
    </w:p>
    <w:p w14:paraId="3213279D">
      <w:pPr>
        <w:spacing w:line="360" w:lineRule="auto"/>
        <w:ind w:firstLine="420" w:firstLineChars="200"/>
        <w:rPr>
          <w:color w:val="auto"/>
          <w:highlight w:val="none"/>
        </w:rPr>
      </w:pPr>
      <w:r>
        <w:rPr>
          <w:color w:val="auto"/>
          <w:highlight w:val="none"/>
        </w:rPr>
        <w:t xml:space="preserve">7.3.1 </w:t>
      </w:r>
      <w:r>
        <w:rPr>
          <w:rFonts w:hint="eastAsia" w:cs="宋体"/>
          <w:color w:val="auto"/>
          <w:highlight w:val="none"/>
        </w:rPr>
        <w:t>在签订合同前，中标人应按</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规定的金额、担保形式和招标文件第四章</w:t>
      </w:r>
      <w:r>
        <w:rPr>
          <w:rFonts w:hint="eastAsia"/>
          <w:color w:val="auto"/>
          <w:highlight w:val="none"/>
          <w:lang w:eastAsia="zh-CN"/>
        </w:rPr>
        <w:t>“</w:t>
      </w:r>
      <w:r>
        <w:rPr>
          <w:rFonts w:hint="eastAsia" w:cs="宋体"/>
          <w:color w:val="auto"/>
          <w:highlight w:val="none"/>
        </w:rPr>
        <w:t>合同条款及格式</w:t>
      </w:r>
      <w:r>
        <w:rPr>
          <w:rFonts w:hint="eastAsia"/>
          <w:color w:val="auto"/>
          <w:highlight w:val="none"/>
          <w:lang w:eastAsia="zh-CN"/>
        </w:rPr>
        <w:t>”</w:t>
      </w:r>
      <w:r>
        <w:rPr>
          <w:rFonts w:hint="eastAsia" w:cs="宋体"/>
          <w:color w:val="auto"/>
          <w:highlight w:val="none"/>
        </w:rPr>
        <w:t>规定的履约担保格式向招标人提交履约保证金。联合体中标的，其履约保证金由</w:t>
      </w:r>
      <w:r>
        <w:rPr>
          <w:rFonts w:hint="eastAsia" w:ascii="Calibri" w:hAnsi="Calibri" w:eastAsia="宋体" w:cs="Times New Roman"/>
          <w:color w:val="auto"/>
          <w:highlight w:val="none"/>
        </w:rPr>
        <w:t>联合体任一方提交</w:t>
      </w:r>
      <w:r>
        <w:rPr>
          <w:rFonts w:hint="eastAsia" w:cs="宋体"/>
          <w:color w:val="auto"/>
          <w:highlight w:val="none"/>
        </w:rPr>
        <w:t>，并应符合</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规定的金额、担保形式和招标文件第四章</w:t>
      </w:r>
      <w:r>
        <w:rPr>
          <w:rFonts w:hint="eastAsia"/>
          <w:color w:val="auto"/>
          <w:highlight w:val="none"/>
          <w:lang w:eastAsia="zh-CN"/>
        </w:rPr>
        <w:t>“</w:t>
      </w:r>
      <w:r>
        <w:rPr>
          <w:rFonts w:hint="eastAsia" w:cs="宋体"/>
          <w:color w:val="auto"/>
          <w:highlight w:val="none"/>
        </w:rPr>
        <w:t>合同条款</w:t>
      </w:r>
      <w:r>
        <w:rPr>
          <w:rFonts w:hint="eastAsia"/>
          <w:color w:val="auto"/>
          <w:highlight w:val="none"/>
          <w:lang w:eastAsia="zh-CN"/>
        </w:rPr>
        <w:t>”</w:t>
      </w:r>
      <w:r>
        <w:rPr>
          <w:rFonts w:hint="eastAsia" w:cs="宋体"/>
          <w:color w:val="auto"/>
          <w:highlight w:val="none"/>
        </w:rPr>
        <w:t>规定的履约担保要求。</w:t>
      </w:r>
    </w:p>
    <w:p w14:paraId="339526CC">
      <w:pPr>
        <w:spacing w:line="360" w:lineRule="auto"/>
        <w:ind w:firstLine="420" w:firstLineChars="200"/>
        <w:rPr>
          <w:rFonts w:hint="eastAsia" w:cs="宋体"/>
          <w:color w:val="auto"/>
          <w:highlight w:val="none"/>
        </w:rPr>
      </w:pPr>
      <w:r>
        <w:rPr>
          <w:color w:val="auto"/>
          <w:highlight w:val="none"/>
        </w:rPr>
        <w:t xml:space="preserve">7.3.2 </w:t>
      </w:r>
      <w:r>
        <w:rPr>
          <w:rFonts w:hint="eastAsia" w:cs="宋体"/>
          <w:color w:val="auto"/>
          <w:highlight w:val="none"/>
        </w:rPr>
        <w:t>中标人不能按本章第</w:t>
      </w:r>
      <w:r>
        <w:rPr>
          <w:color w:val="auto"/>
          <w:highlight w:val="none"/>
        </w:rPr>
        <w:t>7.3.1</w:t>
      </w:r>
      <w:r>
        <w:rPr>
          <w:rFonts w:hint="eastAsia" w:cs="宋体"/>
          <w:color w:val="auto"/>
          <w:highlight w:val="none"/>
        </w:rPr>
        <w:t>项要求提交履约保证金的，视为放弃中标，招标人有权没收其投标保证金，给招标人造成的损失超过投标保证金数额的，中标人还应当对超过部分予以赔偿。</w:t>
      </w:r>
    </w:p>
    <w:p w14:paraId="77ACE905">
      <w:pPr>
        <w:spacing w:line="360" w:lineRule="auto"/>
        <w:ind w:firstLine="420" w:firstLineChars="200"/>
        <w:rPr>
          <w:rFonts w:hint="eastAsia" w:cs="宋体"/>
          <w:color w:val="auto"/>
          <w:highlight w:val="none"/>
        </w:rPr>
      </w:pPr>
    </w:p>
    <w:p w14:paraId="700A9E09">
      <w:pPr>
        <w:pStyle w:val="5"/>
        <w:rPr>
          <w:color w:val="auto"/>
          <w:highlight w:val="none"/>
        </w:rPr>
      </w:pPr>
      <w:bookmarkStart w:id="323" w:name="_Toc1829744987"/>
      <w:bookmarkStart w:id="324" w:name="_Toc407135123"/>
      <w:bookmarkStart w:id="325" w:name="_Toc78449669"/>
      <w:bookmarkStart w:id="326" w:name="_Toc26246"/>
      <w:bookmarkStart w:id="327" w:name="_Toc389065188"/>
      <w:r>
        <w:rPr>
          <w:color w:val="auto"/>
          <w:highlight w:val="none"/>
        </w:rPr>
        <w:t>7.</w:t>
      </w:r>
      <w:r>
        <w:rPr>
          <w:rFonts w:hint="default"/>
          <w:color w:val="auto"/>
          <w:highlight w:val="none"/>
          <w:lang w:val="en-US"/>
        </w:rPr>
        <w:t>4</w:t>
      </w:r>
      <w:r>
        <w:rPr>
          <w:color w:val="auto"/>
          <w:highlight w:val="none"/>
        </w:rPr>
        <w:t xml:space="preserve"> </w:t>
      </w:r>
      <w:r>
        <w:rPr>
          <w:rFonts w:hint="eastAsia" w:cs="黑体"/>
          <w:color w:val="auto"/>
          <w:highlight w:val="none"/>
        </w:rPr>
        <w:t>签订合同</w:t>
      </w:r>
      <w:bookmarkEnd w:id="323"/>
      <w:bookmarkEnd w:id="324"/>
      <w:bookmarkEnd w:id="325"/>
      <w:bookmarkEnd w:id="326"/>
      <w:bookmarkEnd w:id="327"/>
    </w:p>
    <w:p w14:paraId="3592FEA0">
      <w:pPr>
        <w:spacing w:line="360" w:lineRule="auto"/>
        <w:ind w:firstLine="420" w:firstLineChars="200"/>
        <w:rPr>
          <w:color w:val="auto"/>
          <w:highlight w:val="none"/>
        </w:rPr>
      </w:pPr>
      <w:r>
        <w:rPr>
          <w:color w:val="auto"/>
          <w:highlight w:val="none"/>
        </w:rPr>
        <w:t>7.</w:t>
      </w:r>
      <w:r>
        <w:rPr>
          <w:rFonts w:hint="default"/>
          <w:color w:val="auto"/>
          <w:highlight w:val="none"/>
          <w:lang w:val="en-US"/>
        </w:rPr>
        <w:t>4</w:t>
      </w:r>
      <w:r>
        <w:rPr>
          <w:color w:val="auto"/>
          <w:highlight w:val="none"/>
        </w:rPr>
        <w:t xml:space="preserve">.1 </w:t>
      </w:r>
      <w:r>
        <w:rPr>
          <w:rFonts w:hint="eastAsia" w:cs="宋体"/>
          <w:color w:val="auto"/>
          <w:highlight w:val="none"/>
        </w:rPr>
        <w:t>招标人和中标人应当在投标有效期内以及中标通知书发出之日起</w:t>
      </w:r>
      <w:r>
        <w:rPr>
          <w:color w:val="auto"/>
          <w:highlight w:val="none"/>
        </w:rPr>
        <w:t>30</w:t>
      </w:r>
      <w:r>
        <w:rPr>
          <w:rFonts w:hint="eastAsia" w:cs="宋体"/>
          <w:color w:val="auto"/>
          <w:highlight w:val="none"/>
        </w:rPr>
        <w:t>天内，根据招标文件和中标人的投标文件订立书面合同。中标人无正当理由拒签合同的，招标人取消其中标资格，招标人有权没收其投标保证金；给招标人造成的损失超过投标保证金数额的，中标人还应当对超过部分予以赔偿。对依法必须招标的项目的中标人，由有关行政监督部门责令改正。</w:t>
      </w:r>
    </w:p>
    <w:p w14:paraId="7E0FD64F">
      <w:pPr>
        <w:spacing w:line="360" w:lineRule="auto"/>
        <w:ind w:firstLine="420" w:firstLineChars="200"/>
        <w:rPr>
          <w:color w:val="auto"/>
          <w:highlight w:val="none"/>
        </w:rPr>
      </w:pPr>
      <w:r>
        <w:rPr>
          <w:color w:val="auto"/>
          <w:highlight w:val="none"/>
        </w:rPr>
        <w:t>7.</w:t>
      </w:r>
      <w:r>
        <w:rPr>
          <w:rFonts w:hint="default"/>
          <w:color w:val="auto"/>
          <w:highlight w:val="none"/>
          <w:lang w:val="en-US"/>
        </w:rPr>
        <w:t>4</w:t>
      </w:r>
      <w:r>
        <w:rPr>
          <w:color w:val="auto"/>
          <w:highlight w:val="none"/>
        </w:rPr>
        <w:t xml:space="preserve">.2 </w:t>
      </w:r>
      <w:r>
        <w:rPr>
          <w:rFonts w:hint="eastAsia" w:cs="宋体"/>
          <w:color w:val="auto"/>
          <w:highlight w:val="none"/>
        </w:rPr>
        <w:t>国有资金占控股或者主导地位的依法必须进行招标的项目，招标人应当确定排名第一的中标候选人为中标人。排名第一的中标候选人（或者评标委员会依据招标人的授权直接确定的中标人）放弃中标，或因不可抗力提出不能履行合同</w:t>
      </w:r>
      <w:r>
        <w:rPr>
          <w:rFonts w:hint="eastAsia" w:cs="宋体"/>
          <w:color w:val="auto"/>
          <w:highlight w:val="none"/>
          <w:lang w:eastAsia="zh-CN"/>
        </w:rPr>
        <w:t>、不按照招标文件要求提交履约保证金</w:t>
      </w:r>
      <w:r>
        <w:rPr>
          <w:rFonts w:hint="eastAsia" w:cs="宋体"/>
          <w:color w:val="auto"/>
          <w:highlight w:val="none"/>
        </w:rPr>
        <w:t>，或者被查实存在影响中标结果的违法行为等情形，不符合中标条件的，招标人可以按照评标委员会提出的中标候选人名单排序（或者评标结果排序）依次确定其他中标候选人为中标人</w:t>
      </w:r>
      <w:r>
        <w:rPr>
          <w:rFonts w:hint="eastAsia" w:cs="宋体"/>
          <w:color w:val="auto"/>
          <w:highlight w:val="none"/>
          <w:lang w:eastAsia="zh-CN"/>
        </w:rPr>
        <w:t>，</w:t>
      </w:r>
      <w:r>
        <w:rPr>
          <w:rFonts w:hint="eastAsia" w:cs="宋体"/>
          <w:color w:val="auto"/>
          <w:highlight w:val="none"/>
        </w:rPr>
        <w:t>或者招标人可以重新招标。</w:t>
      </w:r>
    </w:p>
    <w:p w14:paraId="7660E38A">
      <w:pPr>
        <w:spacing w:line="360" w:lineRule="auto"/>
        <w:ind w:firstLine="420" w:firstLineChars="200"/>
        <w:rPr>
          <w:rFonts w:hint="eastAsia" w:cs="宋体"/>
          <w:color w:val="auto"/>
          <w:highlight w:val="none"/>
        </w:rPr>
      </w:pPr>
      <w:r>
        <w:rPr>
          <w:color w:val="auto"/>
          <w:highlight w:val="none"/>
        </w:rPr>
        <w:t>7.</w:t>
      </w:r>
      <w:r>
        <w:rPr>
          <w:rFonts w:hint="default"/>
          <w:color w:val="auto"/>
          <w:highlight w:val="none"/>
          <w:lang w:val="en-US"/>
        </w:rPr>
        <w:t>4</w:t>
      </w:r>
      <w:r>
        <w:rPr>
          <w:color w:val="auto"/>
          <w:highlight w:val="none"/>
        </w:rPr>
        <w:t xml:space="preserve">.3 </w:t>
      </w:r>
      <w:r>
        <w:rPr>
          <w:rFonts w:hint="eastAsia" w:cs="宋体"/>
          <w:color w:val="auto"/>
          <w:highlight w:val="none"/>
        </w:rPr>
        <w:t>发出中标通知书后，招标人无正当理由拒签合同的，由有关行政监督部门给予警告，</w:t>
      </w:r>
      <w:r>
        <w:rPr>
          <w:rFonts w:hint="eastAsia" w:cs="宋体"/>
          <w:color w:val="auto"/>
          <w:highlight w:val="none"/>
          <w:lang w:val="en-US" w:eastAsia="zh-CN"/>
        </w:rPr>
        <w:t>并</w:t>
      </w:r>
      <w:r>
        <w:rPr>
          <w:rFonts w:hint="eastAsia" w:cs="宋体"/>
          <w:color w:val="auto"/>
          <w:highlight w:val="none"/>
        </w:rPr>
        <w:t>责令改正。同时招标人向中标人退还投标保证金；给中标人造成损失的，还应当赔偿损失。</w:t>
      </w:r>
    </w:p>
    <w:p w14:paraId="1ED2B9B9">
      <w:pPr>
        <w:spacing w:line="360" w:lineRule="auto"/>
        <w:ind w:firstLine="420" w:firstLineChars="200"/>
        <w:rPr>
          <w:rFonts w:hint="eastAsia" w:cs="宋体"/>
          <w:color w:val="auto"/>
          <w:highlight w:val="none"/>
        </w:rPr>
      </w:pPr>
      <w:bookmarkStart w:id="328" w:name="_Toc78449670"/>
      <w:bookmarkStart w:id="329" w:name="_Toc1346101507"/>
      <w:bookmarkStart w:id="330" w:name="_Toc389065189"/>
      <w:bookmarkStart w:id="331" w:name="_Toc407135124"/>
      <w:r>
        <w:rPr>
          <w:rFonts w:hint="eastAsia" w:cs="宋体"/>
          <w:color w:val="auto"/>
          <w:highlight w:val="none"/>
        </w:rPr>
        <w:t>7.4.4签约合同价的确定原则如下：</w:t>
      </w:r>
    </w:p>
    <w:p w14:paraId="5E3E54F4">
      <w:pPr>
        <w:spacing w:line="360" w:lineRule="auto"/>
        <w:ind w:firstLine="420" w:firstLineChars="200"/>
        <w:rPr>
          <w:rFonts w:hint="eastAsia" w:cs="宋体"/>
          <w:color w:val="auto"/>
          <w:highlight w:val="none"/>
        </w:rPr>
      </w:pPr>
      <w:r>
        <w:rPr>
          <w:rFonts w:hint="eastAsia" w:cs="宋体"/>
          <w:color w:val="auto"/>
          <w:highlight w:val="none"/>
        </w:rPr>
        <w:t>（1）按照评标办法规定对投标报价进行修正后，若修正后的最终投标报价小于开标时的投标函大写金额报价，则签订合同时以修正后的最终投标报价为准；</w:t>
      </w:r>
    </w:p>
    <w:p w14:paraId="060D4652">
      <w:pPr>
        <w:spacing w:line="360" w:lineRule="auto"/>
        <w:ind w:firstLine="420" w:firstLineChars="200"/>
        <w:rPr>
          <w:rFonts w:hint="eastAsia" w:cs="宋体"/>
          <w:color w:val="auto"/>
          <w:highlight w:val="none"/>
        </w:rPr>
      </w:pPr>
      <w:r>
        <w:rPr>
          <w:rFonts w:hint="eastAsia" w:cs="宋体"/>
          <w:color w:val="auto"/>
          <w:highlight w:val="none"/>
        </w:rPr>
        <w:t>（2）按照评标办法规定对投标报价进行修正后，若修正后的最终投标报价大于开标时的投标函大写金额报价，则签订合同时以开标时的投标函大写金额报价为准，同时按比例修正相应子目的单价或合价。</w:t>
      </w:r>
    </w:p>
    <w:p w14:paraId="0940505A">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4C26FACB">
      <w:pPr>
        <w:pStyle w:val="4"/>
        <w:rPr>
          <w:color w:val="auto"/>
          <w:highlight w:val="none"/>
        </w:rPr>
      </w:pPr>
      <w:bookmarkStart w:id="332" w:name="_Toc13201"/>
      <w:r>
        <w:rPr>
          <w:color w:val="auto"/>
          <w:highlight w:val="none"/>
        </w:rPr>
        <w:t xml:space="preserve">8 </w:t>
      </w:r>
      <w:r>
        <w:rPr>
          <w:rFonts w:hint="eastAsia" w:cs="黑体"/>
          <w:color w:val="auto"/>
          <w:highlight w:val="none"/>
        </w:rPr>
        <w:t>重新招标和不再招标</w:t>
      </w:r>
      <w:bookmarkEnd w:id="328"/>
      <w:bookmarkEnd w:id="329"/>
      <w:bookmarkEnd w:id="330"/>
      <w:bookmarkEnd w:id="331"/>
      <w:bookmarkEnd w:id="332"/>
    </w:p>
    <w:p w14:paraId="37723237">
      <w:pPr>
        <w:pStyle w:val="5"/>
        <w:rPr>
          <w:color w:val="auto"/>
          <w:highlight w:val="none"/>
        </w:rPr>
      </w:pPr>
      <w:bookmarkStart w:id="333" w:name="_Toc389065190"/>
      <w:bookmarkStart w:id="334" w:name="_Toc10809"/>
      <w:bookmarkStart w:id="335" w:name="_Toc505786378"/>
      <w:bookmarkStart w:id="336" w:name="_Toc78449671"/>
      <w:bookmarkStart w:id="337" w:name="_Toc407135125"/>
      <w:r>
        <w:rPr>
          <w:color w:val="auto"/>
          <w:highlight w:val="none"/>
        </w:rPr>
        <w:t xml:space="preserve">8.1 </w:t>
      </w:r>
      <w:r>
        <w:rPr>
          <w:rFonts w:hint="eastAsia" w:cs="黑体"/>
          <w:color w:val="auto"/>
          <w:highlight w:val="none"/>
        </w:rPr>
        <w:t>重新招标</w:t>
      </w:r>
      <w:bookmarkEnd w:id="333"/>
      <w:bookmarkEnd w:id="334"/>
      <w:bookmarkEnd w:id="335"/>
      <w:bookmarkEnd w:id="336"/>
      <w:bookmarkEnd w:id="337"/>
    </w:p>
    <w:p w14:paraId="6302C3D2">
      <w:pPr>
        <w:spacing w:line="360" w:lineRule="auto"/>
        <w:ind w:firstLine="420" w:firstLineChars="200"/>
        <w:rPr>
          <w:color w:val="auto"/>
          <w:highlight w:val="none"/>
        </w:rPr>
      </w:pPr>
      <w:r>
        <w:rPr>
          <w:rFonts w:hint="eastAsia" w:cs="宋体"/>
          <w:color w:val="auto"/>
          <w:highlight w:val="none"/>
        </w:rPr>
        <w:t>有下列情形之一的，招标人将重新招标：</w:t>
      </w:r>
    </w:p>
    <w:p w14:paraId="63EA32B6">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）投标截止时，投标人少于</w:t>
      </w:r>
      <w:r>
        <w:rPr>
          <w:color w:val="auto"/>
          <w:highlight w:val="none"/>
        </w:rPr>
        <w:t>3</w:t>
      </w:r>
      <w:r>
        <w:rPr>
          <w:rFonts w:hint="eastAsia" w:cs="宋体"/>
          <w:color w:val="auto"/>
          <w:highlight w:val="none"/>
        </w:rPr>
        <w:t>个的；</w:t>
      </w:r>
    </w:p>
    <w:p w14:paraId="262BFF72">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2</w:t>
      </w:r>
      <w:r>
        <w:rPr>
          <w:rFonts w:hint="eastAsia" w:cs="宋体"/>
          <w:color w:val="auto"/>
          <w:highlight w:val="none"/>
        </w:rPr>
        <w:t>）经评标委员会评审后</w:t>
      </w:r>
      <w:r>
        <w:rPr>
          <w:rFonts w:hint="eastAsia" w:ascii="宋体" w:hAnsi="宋体" w:cs="宋体"/>
          <w:color w:val="auto"/>
          <w:highlight w:val="none"/>
          <w:shd w:val="clear" w:color="auto" w:fill="FFFFFF"/>
        </w:rPr>
        <w:t>，所有投标被否决或者部分投标被否决后，有效投标不足</w:t>
      </w:r>
      <w:r>
        <w:rPr>
          <w:rFonts w:ascii="宋体" w:hAnsi="宋体" w:cs="宋体"/>
          <w:color w:val="auto"/>
          <w:highlight w:val="none"/>
          <w:shd w:val="clear" w:color="auto" w:fill="FFFFFF"/>
        </w:rPr>
        <w:t>3</w:t>
      </w:r>
      <w:r>
        <w:rPr>
          <w:rFonts w:hint="eastAsia" w:ascii="宋体" w:hAnsi="宋体" w:cs="宋体"/>
          <w:color w:val="auto"/>
          <w:highlight w:val="none"/>
          <w:shd w:val="clear" w:color="auto" w:fill="FFFFFF"/>
        </w:rPr>
        <w:t>个，导致投标明显缺乏竞争</w:t>
      </w:r>
      <w:r>
        <w:rPr>
          <w:rFonts w:hint="eastAsia" w:cs="宋体"/>
          <w:color w:val="auto"/>
          <w:highlight w:val="none"/>
        </w:rPr>
        <w:t>的；</w:t>
      </w:r>
    </w:p>
    <w:p w14:paraId="4F60FEC9">
      <w:pPr>
        <w:spacing w:line="360" w:lineRule="auto"/>
        <w:ind w:firstLine="420" w:firstLineChars="200"/>
        <w:rPr>
          <w:rFonts w:hint="eastAsia"/>
          <w:color w:val="auto"/>
          <w:highlight w:val="none"/>
        </w:rPr>
      </w:pPr>
      <w:r>
        <w:rPr>
          <w:rFonts w:hint="eastAsia"/>
          <w:color w:val="auto"/>
          <w:highlight w:val="none"/>
        </w:rPr>
        <w:t>（3）所有投标报价均大于等于</w:t>
      </w:r>
      <w:r>
        <w:rPr>
          <w:rFonts w:hint="eastAsia"/>
          <w:color w:val="auto"/>
          <w:highlight w:val="none"/>
          <w:lang w:eastAsia="zh-CN"/>
        </w:rPr>
        <w:t>最高投标限价</w:t>
      </w:r>
      <w:r>
        <w:rPr>
          <w:rFonts w:hint="eastAsia"/>
          <w:color w:val="auto"/>
          <w:highlight w:val="none"/>
          <w:lang w:val="en-US" w:eastAsia="zh-CN"/>
        </w:rPr>
        <w:t>×</w:t>
      </w:r>
      <w:r>
        <w:rPr>
          <w:rFonts w:hint="eastAsia"/>
          <w:color w:val="auto"/>
          <w:highlight w:val="none"/>
        </w:rPr>
        <w:t>（1-D%）的；</w:t>
      </w:r>
    </w:p>
    <w:p w14:paraId="0AACACCA">
      <w:pPr>
        <w:spacing w:line="360" w:lineRule="auto"/>
        <w:ind w:firstLine="420" w:firstLineChars="200"/>
        <w:rPr>
          <w:color w:val="auto"/>
          <w:highlight w:val="none"/>
        </w:rPr>
      </w:pPr>
      <w:r>
        <w:rPr>
          <w:rFonts w:hint="eastAsia" w:cs="宋体"/>
          <w:color w:val="auto"/>
          <w:highlight w:val="none"/>
        </w:rPr>
        <w:t>（</w:t>
      </w:r>
      <w:r>
        <w:rPr>
          <w:rFonts w:hint="eastAsia"/>
          <w:color w:val="auto"/>
          <w:highlight w:val="none"/>
          <w:lang w:val="en-US" w:eastAsia="zh-CN"/>
        </w:rPr>
        <w:t>4</w:t>
      </w:r>
      <w:r>
        <w:rPr>
          <w:rFonts w:hint="eastAsia" w:cs="宋体"/>
          <w:color w:val="auto"/>
          <w:highlight w:val="none"/>
        </w:rPr>
        <w:t>）其他有关法规和文件规定的应当重新招标的情形。</w:t>
      </w:r>
    </w:p>
    <w:p w14:paraId="7A6F12E1">
      <w:pPr>
        <w:pStyle w:val="5"/>
        <w:rPr>
          <w:color w:val="auto"/>
          <w:highlight w:val="none"/>
        </w:rPr>
      </w:pPr>
      <w:bookmarkStart w:id="338" w:name="_Toc407135126"/>
      <w:bookmarkStart w:id="339" w:name="_Toc78449672"/>
      <w:bookmarkStart w:id="340" w:name="_Toc85448513"/>
      <w:bookmarkStart w:id="341" w:name="_Toc389065191"/>
      <w:bookmarkStart w:id="342" w:name="_Toc27091"/>
      <w:r>
        <w:rPr>
          <w:color w:val="auto"/>
          <w:highlight w:val="none"/>
        </w:rPr>
        <w:t xml:space="preserve">8.2 </w:t>
      </w:r>
      <w:r>
        <w:rPr>
          <w:rFonts w:hint="eastAsia" w:cs="黑体"/>
          <w:color w:val="auto"/>
          <w:highlight w:val="none"/>
        </w:rPr>
        <w:t>不再招标</w:t>
      </w:r>
      <w:bookmarkEnd w:id="338"/>
      <w:bookmarkEnd w:id="339"/>
      <w:bookmarkEnd w:id="340"/>
      <w:bookmarkEnd w:id="341"/>
      <w:bookmarkEnd w:id="342"/>
    </w:p>
    <w:p w14:paraId="319E02E4">
      <w:pPr>
        <w:spacing w:line="360" w:lineRule="auto"/>
        <w:ind w:firstLine="420" w:firstLineChars="200"/>
        <w:rPr>
          <w:color w:val="auto"/>
          <w:highlight w:val="none"/>
        </w:rPr>
      </w:pPr>
      <w:r>
        <w:rPr>
          <w:rFonts w:hint="eastAsia" w:cs="宋体"/>
          <w:color w:val="auto"/>
          <w:highlight w:val="none"/>
        </w:rPr>
        <w:t>重新招标后投标人仍少于</w:t>
      </w:r>
      <w:r>
        <w:rPr>
          <w:color w:val="auto"/>
          <w:highlight w:val="none"/>
        </w:rPr>
        <w:t>3</w:t>
      </w:r>
      <w:r>
        <w:rPr>
          <w:rFonts w:hint="eastAsia" w:cs="宋体"/>
          <w:color w:val="auto"/>
          <w:highlight w:val="none"/>
        </w:rPr>
        <w:t>个的，属于必须审批或核准的工程建设项目，经原审批或核准部门批准后可不再进行招标。</w:t>
      </w:r>
      <w:bookmarkStart w:id="343" w:name="_Toc389065192"/>
    </w:p>
    <w:p w14:paraId="77084311">
      <w:pPr>
        <w:pStyle w:val="4"/>
        <w:rPr>
          <w:color w:val="auto"/>
          <w:highlight w:val="none"/>
        </w:rPr>
      </w:pPr>
      <w:bookmarkStart w:id="344" w:name="_Toc78449673"/>
      <w:bookmarkStart w:id="345" w:name="_Toc18821"/>
      <w:bookmarkStart w:id="346" w:name="_Toc407135127"/>
      <w:bookmarkStart w:id="347" w:name="_Toc820221026"/>
      <w:r>
        <w:rPr>
          <w:color w:val="auto"/>
          <w:highlight w:val="none"/>
        </w:rPr>
        <w:t xml:space="preserve">9 </w:t>
      </w:r>
      <w:r>
        <w:rPr>
          <w:rFonts w:hint="eastAsia" w:cs="黑体"/>
          <w:color w:val="auto"/>
          <w:highlight w:val="none"/>
        </w:rPr>
        <w:t>纪律和监督</w:t>
      </w:r>
      <w:bookmarkEnd w:id="343"/>
      <w:bookmarkEnd w:id="344"/>
      <w:bookmarkEnd w:id="345"/>
      <w:bookmarkEnd w:id="346"/>
      <w:bookmarkEnd w:id="347"/>
    </w:p>
    <w:p w14:paraId="24906207">
      <w:pPr>
        <w:pStyle w:val="5"/>
        <w:rPr>
          <w:color w:val="auto"/>
          <w:highlight w:val="none"/>
        </w:rPr>
      </w:pPr>
      <w:bookmarkStart w:id="348" w:name="_Toc389065193"/>
      <w:bookmarkStart w:id="349" w:name="_Toc29540"/>
      <w:bookmarkStart w:id="350" w:name="_Toc407135128"/>
      <w:bookmarkStart w:id="351" w:name="_Toc78449674"/>
      <w:bookmarkStart w:id="352" w:name="_Toc1363044854"/>
      <w:r>
        <w:rPr>
          <w:color w:val="auto"/>
          <w:highlight w:val="none"/>
        </w:rPr>
        <w:t xml:space="preserve">9.1 </w:t>
      </w:r>
      <w:r>
        <w:rPr>
          <w:rFonts w:hint="eastAsia" w:cs="黑体"/>
          <w:color w:val="auto"/>
          <w:highlight w:val="none"/>
        </w:rPr>
        <w:t>对招标人或招标代理机构的纪律要求</w:t>
      </w:r>
      <w:bookmarkEnd w:id="348"/>
      <w:bookmarkEnd w:id="349"/>
      <w:bookmarkEnd w:id="350"/>
      <w:bookmarkEnd w:id="351"/>
      <w:bookmarkEnd w:id="352"/>
    </w:p>
    <w:p w14:paraId="73F7EA58">
      <w:pPr>
        <w:spacing w:line="360" w:lineRule="auto"/>
        <w:ind w:firstLine="420" w:firstLineChars="200"/>
        <w:rPr>
          <w:color w:val="auto"/>
          <w:highlight w:val="none"/>
        </w:rPr>
      </w:pPr>
      <w:r>
        <w:rPr>
          <w:rFonts w:hint="eastAsia" w:cs="宋体"/>
          <w:color w:val="auto"/>
          <w:highlight w:val="none"/>
        </w:rPr>
        <w:t>招标人不得</w:t>
      </w:r>
      <w:r>
        <w:rPr>
          <w:rFonts w:hint="eastAsia" w:cs="宋体"/>
          <w:color w:val="auto"/>
          <w:highlight w:val="none"/>
          <w:lang w:eastAsia="zh-CN"/>
        </w:rPr>
        <w:t>泄露</w:t>
      </w:r>
      <w:r>
        <w:rPr>
          <w:rFonts w:hint="eastAsia" w:cs="宋体"/>
          <w:color w:val="auto"/>
          <w:highlight w:val="none"/>
        </w:rPr>
        <w:t>招标投标活动中应当保密的情况和资料，不得与投标人串通损害国家利益、社会公共利益或者他人合法权益。有下列情形之一的，属于招标人或招标代理机构与投标人串通投标：</w:t>
      </w:r>
    </w:p>
    <w:p w14:paraId="36887DB2">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）招标人在开标前开启投标文件并将有关信息泄露给其他投标人；</w:t>
      </w:r>
    </w:p>
    <w:p w14:paraId="1F4C6A0E">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）招标人直接或者间接向投标人泄露标底、评标委员会成员等信息；</w:t>
      </w:r>
    </w:p>
    <w:p w14:paraId="789917BB">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）招标人明示或者暗示投标人压低或者抬高投标报价；</w:t>
      </w:r>
    </w:p>
    <w:p w14:paraId="7723E732">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）招标人授意投标人撤换、修改投标文件；</w:t>
      </w:r>
    </w:p>
    <w:p w14:paraId="2A6FD41F">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）招标人明示或者暗示投标人为特定投标人中标提供方便；</w:t>
      </w:r>
    </w:p>
    <w:p w14:paraId="5D1175B1">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6</w:t>
      </w:r>
      <w:r>
        <w:rPr>
          <w:rFonts w:hint="eastAsia" w:cs="宋体"/>
          <w:color w:val="auto"/>
          <w:highlight w:val="none"/>
        </w:rPr>
        <w:t>）招标人与投标人为谋求特定投标人中标而采取的其他串通行为。</w:t>
      </w:r>
    </w:p>
    <w:p w14:paraId="6FA8AD9D">
      <w:pPr>
        <w:spacing w:line="360" w:lineRule="auto"/>
        <w:ind w:firstLine="420" w:firstLineChars="200"/>
        <w:rPr>
          <w:rFonts w:hint="eastAsia"/>
          <w:color w:val="auto"/>
          <w:kern w:val="0"/>
          <w:highlight w:val="none"/>
        </w:rPr>
      </w:pPr>
      <w:r>
        <w:rPr>
          <w:rFonts w:hint="eastAsia"/>
          <w:color w:val="auto"/>
          <w:kern w:val="0"/>
          <w:highlight w:val="none"/>
        </w:rPr>
        <w:t>（7）发现不同投标人的法定代表人、委托代理人、项目负责人属于同一单位，仍同意其继续参加投标；</w:t>
      </w:r>
    </w:p>
    <w:p w14:paraId="482828C5">
      <w:pPr>
        <w:spacing w:line="360" w:lineRule="auto"/>
        <w:ind w:firstLine="420" w:firstLineChars="200"/>
        <w:rPr>
          <w:color w:val="auto"/>
          <w:kern w:val="0"/>
          <w:highlight w:val="none"/>
        </w:rPr>
      </w:pPr>
      <w:r>
        <w:rPr>
          <w:rFonts w:hint="eastAsia"/>
          <w:color w:val="auto"/>
          <w:kern w:val="0"/>
          <w:highlight w:val="none"/>
        </w:rPr>
        <w:t>（8）招标人（招标代理机构）编制的招标公告、招标文件专门为某个特定投标人设置明显倾向性条款；</w:t>
      </w:r>
    </w:p>
    <w:p w14:paraId="7C6B7859">
      <w:pPr>
        <w:spacing w:line="360" w:lineRule="auto"/>
        <w:ind w:firstLine="420" w:firstLineChars="200"/>
        <w:rPr>
          <w:color w:val="auto"/>
          <w:kern w:val="0"/>
          <w:highlight w:val="none"/>
        </w:rPr>
      </w:pPr>
      <w:r>
        <w:rPr>
          <w:rFonts w:hint="eastAsia"/>
          <w:color w:val="auto"/>
          <w:kern w:val="0"/>
          <w:highlight w:val="none"/>
        </w:rPr>
        <w:t>（9）在规定提交投标文件截止时间后，协助投标人撤换或修改投标文件（包括修改电子投标文件相关数据）；</w:t>
      </w:r>
    </w:p>
    <w:p w14:paraId="6AFE6360">
      <w:pPr>
        <w:spacing w:line="360" w:lineRule="auto"/>
        <w:ind w:firstLine="420" w:firstLineChars="200"/>
        <w:rPr>
          <w:rFonts w:hint="eastAsia"/>
          <w:color w:val="auto"/>
          <w:kern w:val="0"/>
          <w:highlight w:val="none"/>
        </w:rPr>
      </w:pPr>
      <w:r>
        <w:rPr>
          <w:rFonts w:hint="eastAsia"/>
          <w:color w:val="auto"/>
          <w:kern w:val="0"/>
          <w:highlight w:val="none"/>
        </w:rPr>
        <w:t>（10）发现有由同一人或存在利益关系的几个利害关系人携带两个以上（含两个）投标人的企业资料参与领取招标资料，或代表两个以上（含两个）投标人缴纳或退还投标保证金、开标等情形而不制止，反而同意其继续参加投标的；</w:t>
      </w:r>
    </w:p>
    <w:p w14:paraId="1B253E8A">
      <w:pPr>
        <w:spacing w:line="360" w:lineRule="auto"/>
        <w:ind w:firstLine="420" w:firstLineChars="200"/>
        <w:rPr>
          <w:color w:val="auto"/>
          <w:kern w:val="0"/>
          <w:highlight w:val="none"/>
        </w:rPr>
      </w:pPr>
      <w:r>
        <w:rPr>
          <w:rFonts w:hint="eastAsia"/>
          <w:color w:val="auto"/>
          <w:kern w:val="0"/>
          <w:highlight w:val="none"/>
        </w:rPr>
        <w:t>（11）在开标时发现不同投标人的投标资料（包括电子资料）相互混装等情形而不制止，反而同意其继续参加评标的；</w:t>
      </w:r>
    </w:p>
    <w:p w14:paraId="794BF980">
      <w:pPr>
        <w:spacing w:line="360" w:lineRule="auto"/>
        <w:ind w:firstLine="420" w:firstLineChars="200"/>
        <w:rPr>
          <w:rFonts w:hint="eastAsia"/>
          <w:color w:val="auto"/>
          <w:kern w:val="0"/>
          <w:highlight w:val="none"/>
        </w:rPr>
      </w:pPr>
      <w:r>
        <w:rPr>
          <w:rFonts w:hint="eastAsia"/>
          <w:color w:val="auto"/>
          <w:kern w:val="0"/>
          <w:highlight w:val="none"/>
        </w:rPr>
        <w:t>（12）招标代理机构在同一房屋建筑和市政工程招标投标活动中，既为招标人提供招标代理服务又为参加该项目投标人提供投标咨询的；</w:t>
      </w:r>
    </w:p>
    <w:p w14:paraId="5D9FB798">
      <w:pPr>
        <w:spacing w:line="360" w:lineRule="auto"/>
        <w:ind w:firstLine="420" w:firstLineChars="200"/>
        <w:rPr>
          <w:rFonts w:hint="eastAsia"/>
          <w:color w:val="auto"/>
          <w:kern w:val="0"/>
          <w:highlight w:val="none"/>
        </w:rPr>
      </w:pPr>
      <w:r>
        <w:rPr>
          <w:rFonts w:hint="eastAsia"/>
          <w:color w:val="auto"/>
          <w:kern w:val="0"/>
          <w:highlight w:val="none"/>
        </w:rPr>
        <w:t>（13）在招标文件以外招标人（招标代理机构）与投标人之间另行约定给予未中标的其他投标人费用补偿的；</w:t>
      </w:r>
    </w:p>
    <w:p w14:paraId="1A87B5E8">
      <w:pPr>
        <w:spacing w:line="360" w:lineRule="auto"/>
        <w:ind w:firstLine="420" w:firstLineChars="200"/>
        <w:rPr>
          <w:rFonts w:hint="eastAsia"/>
          <w:color w:val="auto"/>
          <w:kern w:val="0"/>
          <w:highlight w:val="none"/>
        </w:rPr>
      </w:pPr>
      <w:r>
        <w:rPr>
          <w:rFonts w:hint="eastAsia"/>
          <w:color w:val="auto"/>
          <w:kern w:val="0"/>
          <w:highlight w:val="none"/>
        </w:rPr>
        <w:t>（14）在评标时，对评标委员会进行倾向性引导或干扰正常评标秩序的；</w:t>
      </w:r>
    </w:p>
    <w:p w14:paraId="352B9C45">
      <w:pPr>
        <w:spacing w:line="360" w:lineRule="auto"/>
        <w:ind w:firstLine="420" w:firstLineChars="200"/>
        <w:rPr>
          <w:rFonts w:hint="eastAsia"/>
          <w:color w:val="auto"/>
          <w:kern w:val="0"/>
          <w:highlight w:val="none"/>
        </w:rPr>
      </w:pPr>
      <w:r>
        <w:rPr>
          <w:rFonts w:hint="eastAsia"/>
          <w:color w:val="auto"/>
          <w:kern w:val="0"/>
          <w:highlight w:val="none"/>
        </w:rPr>
        <w:t>（15）依法应当公开招标的建设工程，未确定中标人前，投标人已开展该工程招标范围内工作。</w:t>
      </w:r>
    </w:p>
    <w:p w14:paraId="2BE83B54">
      <w:pPr>
        <w:pStyle w:val="5"/>
        <w:rPr>
          <w:color w:val="auto"/>
          <w:highlight w:val="none"/>
        </w:rPr>
      </w:pPr>
      <w:bookmarkStart w:id="353" w:name="_Toc1836354768"/>
      <w:bookmarkStart w:id="354" w:name="_Toc78449675"/>
      <w:bookmarkStart w:id="355" w:name="_Toc28056"/>
      <w:bookmarkStart w:id="356" w:name="_Toc407135129"/>
      <w:r>
        <w:rPr>
          <w:color w:val="auto"/>
          <w:highlight w:val="none"/>
        </w:rPr>
        <w:t xml:space="preserve">9.2 </w:t>
      </w:r>
      <w:r>
        <w:rPr>
          <w:rFonts w:hint="eastAsia" w:cs="黑体"/>
          <w:color w:val="auto"/>
          <w:highlight w:val="none"/>
        </w:rPr>
        <w:t>对投标人的纪律要求</w:t>
      </w:r>
      <w:bookmarkEnd w:id="353"/>
      <w:bookmarkEnd w:id="354"/>
      <w:bookmarkEnd w:id="355"/>
      <w:bookmarkEnd w:id="356"/>
    </w:p>
    <w:p w14:paraId="74157F11">
      <w:pPr>
        <w:spacing w:line="360" w:lineRule="auto"/>
        <w:ind w:firstLine="420" w:firstLineChars="200"/>
        <w:rPr>
          <w:color w:val="auto"/>
          <w:highlight w:val="none"/>
        </w:rPr>
      </w:pPr>
      <w:r>
        <w:rPr>
          <w:color w:val="auto"/>
          <w:highlight w:val="none"/>
        </w:rPr>
        <w:t>9.2.1</w:t>
      </w:r>
      <w:r>
        <w:rPr>
          <w:rFonts w:hint="eastAsia" w:cs="宋体"/>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有下列情形之一的，属于投标人相互串通投标：</w:t>
      </w:r>
    </w:p>
    <w:p w14:paraId="6997BE8A">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）投标人之间协商投标报价等投标文件的实质性内容；</w:t>
      </w:r>
    </w:p>
    <w:p w14:paraId="158E3456">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）投标人之间约定中标人；</w:t>
      </w:r>
    </w:p>
    <w:p w14:paraId="7487A9DB">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）投标人之间约定部分投标人放弃投标或者中标；</w:t>
      </w:r>
    </w:p>
    <w:p w14:paraId="7D02CD43">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）属于同一集团、协会、商会等组织成员的投标人按照该组织要求协同投标；</w:t>
      </w:r>
    </w:p>
    <w:p w14:paraId="2F7972FD">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）投标人之间为谋取中标或者排斥特定投标人而采取的其他联合行动；</w:t>
      </w:r>
    </w:p>
    <w:p w14:paraId="73ADEF92">
      <w:pPr>
        <w:spacing w:line="360" w:lineRule="auto"/>
        <w:ind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）不同投标人的投标文件由同一单位或者个人编制；</w:t>
      </w:r>
    </w:p>
    <w:p w14:paraId="76DC0786">
      <w:pPr>
        <w:spacing w:line="360" w:lineRule="auto"/>
        <w:ind w:firstLine="420" w:firstLineChars="200"/>
        <w:rPr>
          <w:color w:val="auto"/>
          <w:highlight w:val="none"/>
        </w:rPr>
      </w:pPr>
      <w:r>
        <w:rPr>
          <w:rFonts w:hint="eastAsia" w:cs="宋体"/>
          <w:color w:val="auto"/>
          <w:highlight w:val="none"/>
        </w:rPr>
        <w:t>（</w:t>
      </w:r>
      <w:r>
        <w:rPr>
          <w:color w:val="auto"/>
          <w:highlight w:val="none"/>
        </w:rPr>
        <w:t>7</w:t>
      </w:r>
      <w:r>
        <w:rPr>
          <w:rFonts w:hint="eastAsia" w:cs="宋体"/>
          <w:color w:val="auto"/>
          <w:highlight w:val="none"/>
        </w:rPr>
        <w:t>）不同投标人委托同一个人或注册在同一家企业的注册人员或同一家企业为其投标提供投标咨询、商务报价、技术咨询（招标工程本身要求采用专有技术的除外）等服务；</w:t>
      </w:r>
    </w:p>
    <w:p w14:paraId="5E64E4B9">
      <w:pPr>
        <w:spacing w:line="360" w:lineRule="auto"/>
        <w:ind w:firstLine="420" w:firstLineChars="200"/>
        <w:rPr>
          <w:color w:val="auto"/>
          <w:highlight w:val="none"/>
        </w:rPr>
      </w:pPr>
      <w:r>
        <w:rPr>
          <w:rFonts w:hint="eastAsia" w:cs="宋体"/>
          <w:color w:val="auto"/>
          <w:highlight w:val="none"/>
        </w:rPr>
        <w:t>（</w:t>
      </w:r>
      <w:r>
        <w:rPr>
          <w:color w:val="auto"/>
          <w:highlight w:val="none"/>
        </w:rPr>
        <w:t>8</w:t>
      </w:r>
      <w:r>
        <w:rPr>
          <w:rFonts w:hint="eastAsia" w:cs="宋体"/>
          <w:color w:val="auto"/>
          <w:highlight w:val="none"/>
        </w:rPr>
        <w:t>）不同投标人的投标文件载明的项目管理成员为同一人；</w:t>
      </w:r>
    </w:p>
    <w:p w14:paraId="256E9D3E">
      <w:pPr>
        <w:spacing w:line="360" w:lineRule="auto"/>
        <w:ind w:firstLine="420" w:firstLineChars="200"/>
        <w:rPr>
          <w:color w:val="auto"/>
          <w:highlight w:val="none"/>
        </w:rPr>
      </w:pPr>
      <w:r>
        <w:rPr>
          <w:rFonts w:hint="eastAsia" w:cs="宋体"/>
          <w:color w:val="auto"/>
          <w:highlight w:val="none"/>
        </w:rPr>
        <w:t>（</w:t>
      </w:r>
      <w:r>
        <w:rPr>
          <w:color w:val="auto"/>
          <w:highlight w:val="none"/>
        </w:rPr>
        <w:t>9</w:t>
      </w:r>
      <w:r>
        <w:rPr>
          <w:rFonts w:hint="eastAsia" w:cs="宋体"/>
          <w:color w:val="auto"/>
          <w:highlight w:val="none"/>
        </w:rPr>
        <w:t>）不同投标人的技术文件经电子招标投标交易平台查重分析，内容异常一致（相似度达70%以上的）或者实质性相同的，或者投标报价呈规律性差异（不同投标人报价呈等差数列、不同投标人的投标报价的差额本身呈等差数列或者规律性的百分比等）；</w:t>
      </w:r>
    </w:p>
    <w:p w14:paraId="4046E2DB">
      <w:pPr>
        <w:spacing w:line="360" w:lineRule="auto"/>
        <w:ind w:firstLine="420" w:firstLineChars="200"/>
        <w:rPr>
          <w:color w:val="auto"/>
          <w:highlight w:val="none"/>
        </w:rPr>
      </w:pPr>
      <w:r>
        <w:rPr>
          <w:rFonts w:hint="eastAsia" w:cs="宋体"/>
          <w:color w:val="auto"/>
          <w:highlight w:val="none"/>
        </w:rPr>
        <w:t>（</w:t>
      </w:r>
      <w:r>
        <w:rPr>
          <w:color w:val="auto"/>
          <w:highlight w:val="none"/>
        </w:rPr>
        <w:t>10</w:t>
      </w:r>
      <w:r>
        <w:rPr>
          <w:rFonts w:hint="eastAsia" w:cs="宋体"/>
          <w:color w:val="auto"/>
          <w:highlight w:val="none"/>
        </w:rPr>
        <w:t>）在资格审查或开标时不同投标人的投标资料（包括电子资料）相互混装；</w:t>
      </w:r>
    </w:p>
    <w:p w14:paraId="59C55C94">
      <w:pPr>
        <w:spacing w:line="360" w:lineRule="auto"/>
        <w:ind w:firstLine="420" w:firstLineChars="200"/>
        <w:rPr>
          <w:color w:val="auto"/>
          <w:highlight w:val="none"/>
        </w:rPr>
      </w:pPr>
      <w:r>
        <w:rPr>
          <w:rFonts w:hint="eastAsia" w:cs="宋体"/>
          <w:color w:val="auto"/>
          <w:highlight w:val="none"/>
        </w:rPr>
        <w:t>（</w:t>
      </w:r>
      <w:r>
        <w:rPr>
          <w:color w:val="auto"/>
          <w:highlight w:val="none"/>
        </w:rPr>
        <w:t>11</w:t>
      </w:r>
      <w:r>
        <w:rPr>
          <w:rFonts w:hint="eastAsia" w:cs="宋体"/>
          <w:color w:val="auto"/>
          <w:highlight w:val="none"/>
        </w:rPr>
        <w:t>）不同投标人的投标保证金从同一单位或者个人的账户转出；</w:t>
      </w:r>
    </w:p>
    <w:p w14:paraId="6E180360">
      <w:pPr>
        <w:spacing w:line="360" w:lineRule="auto"/>
        <w:ind w:firstLine="420" w:firstLineChars="200"/>
        <w:rPr>
          <w:rFonts w:hint="eastAsia" w:cs="宋体"/>
          <w:color w:val="auto"/>
          <w:highlight w:val="none"/>
        </w:rPr>
      </w:pPr>
      <w:r>
        <w:rPr>
          <w:rFonts w:hint="eastAsia" w:cs="宋体"/>
          <w:color w:val="auto"/>
          <w:highlight w:val="none"/>
        </w:rPr>
        <w:t>（</w:t>
      </w:r>
      <w:r>
        <w:rPr>
          <w:color w:val="auto"/>
          <w:highlight w:val="none"/>
        </w:rPr>
        <w:t>12</w:t>
      </w:r>
      <w:r>
        <w:rPr>
          <w:rFonts w:hint="eastAsia" w:cs="宋体"/>
          <w:color w:val="auto"/>
          <w:highlight w:val="none"/>
        </w:rPr>
        <w:t>）不同投标人的投标文件由同一电脑编制、上传，或投标报价用同一个预算编制软件密码锁制作或出自同一电子文档；</w:t>
      </w:r>
    </w:p>
    <w:p w14:paraId="22B4E18C">
      <w:pPr>
        <w:spacing w:line="360" w:lineRule="auto"/>
        <w:ind w:firstLine="420" w:firstLineChars="200"/>
        <w:rPr>
          <w:rFonts w:cs="宋体"/>
          <w:color w:val="auto"/>
          <w:highlight w:val="none"/>
        </w:rPr>
      </w:pPr>
      <w:r>
        <w:rPr>
          <w:rFonts w:hint="eastAsia" w:cs="宋体"/>
          <w:color w:val="auto"/>
          <w:highlight w:val="none"/>
        </w:rPr>
        <w:t>（13）不同投标人的投标文件上传的文件制作机器码一致的；</w:t>
      </w:r>
    </w:p>
    <w:p w14:paraId="6EF29507">
      <w:pPr>
        <w:spacing w:line="360" w:lineRule="auto"/>
        <w:ind w:firstLine="420" w:firstLineChars="200"/>
        <w:rPr>
          <w:rFonts w:hint="eastAsia" w:cs="宋体"/>
          <w:color w:val="auto"/>
          <w:highlight w:val="none"/>
        </w:rPr>
      </w:pPr>
      <w:r>
        <w:rPr>
          <w:rFonts w:hint="eastAsia" w:cs="宋体"/>
          <w:color w:val="auto"/>
          <w:highlight w:val="none"/>
        </w:rPr>
        <w:t>（14）由同一人或分别由几个有利害关系人携带两个以上（含两个）投标人的企业资料参与资格审查、领取招标资料，或代表两个以上（含两个）投标人参加招标答疑会、缴纳或退还投标保证金、开标；</w:t>
      </w:r>
    </w:p>
    <w:p w14:paraId="508B8F28">
      <w:pPr>
        <w:spacing w:line="360" w:lineRule="auto"/>
        <w:ind w:firstLine="420" w:firstLineChars="200"/>
        <w:rPr>
          <w:rFonts w:cs="宋体"/>
          <w:color w:val="auto"/>
          <w:highlight w:val="none"/>
        </w:rPr>
      </w:pPr>
      <w:r>
        <w:rPr>
          <w:rFonts w:hint="eastAsia" w:cs="宋体"/>
          <w:color w:val="auto"/>
          <w:highlight w:val="none"/>
        </w:rPr>
        <w:t>（15）不同投标人的法定代表人、委托代理人、项目负责人、项目总监等</w:t>
      </w:r>
      <w:r>
        <w:rPr>
          <w:rFonts w:hint="eastAsia" w:cs="宋体"/>
          <w:color w:val="auto"/>
          <w:highlight w:val="none"/>
          <w:lang w:eastAsia="zh-CN"/>
        </w:rPr>
        <w:t>人员</w:t>
      </w:r>
      <w:r>
        <w:rPr>
          <w:rFonts w:hint="eastAsia" w:cs="宋体"/>
          <w:color w:val="auto"/>
          <w:highlight w:val="none"/>
        </w:rPr>
        <w:t>在同一个单位缴纳社会保险；</w:t>
      </w:r>
    </w:p>
    <w:p w14:paraId="4F5C5B3E">
      <w:pPr>
        <w:spacing w:line="360" w:lineRule="auto"/>
        <w:ind w:firstLine="420" w:firstLineChars="200"/>
        <w:rPr>
          <w:rFonts w:cs="宋体"/>
          <w:color w:val="auto"/>
          <w:highlight w:val="none"/>
        </w:rPr>
      </w:pPr>
      <w:r>
        <w:rPr>
          <w:rFonts w:hint="eastAsia" w:cs="宋体"/>
          <w:color w:val="auto"/>
          <w:highlight w:val="none"/>
        </w:rPr>
        <w:t>（16）投标人之间相互约定给予未中标的投标人费用补偿；</w:t>
      </w:r>
    </w:p>
    <w:p w14:paraId="3D6EB148">
      <w:pPr>
        <w:spacing w:line="360" w:lineRule="auto"/>
        <w:rPr>
          <w:rFonts w:hint="eastAsia" w:cs="宋体"/>
          <w:color w:val="auto"/>
          <w:highlight w:val="none"/>
        </w:rPr>
      </w:pPr>
      <w:r>
        <w:rPr>
          <w:rFonts w:hint="eastAsia" w:cs="宋体"/>
          <w:color w:val="auto"/>
          <w:highlight w:val="none"/>
        </w:rPr>
        <w:t xml:space="preserve">    （17）不同投标人编制的投标文件存在两处以上错误一致。</w:t>
      </w:r>
    </w:p>
    <w:p w14:paraId="6EEA7D0C">
      <w:pPr>
        <w:spacing w:line="360" w:lineRule="auto"/>
        <w:ind w:firstLine="420" w:firstLineChars="200"/>
        <w:rPr>
          <w:rFonts w:hint="eastAsia" w:cs="宋体"/>
          <w:color w:val="auto"/>
          <w:highlight w:val="none"/>
        </w:rPr>
      </w:pPr>
      <w:r>
        <w:rPr>
          <w:rFonts w:cs="宋体"/>
          <w:color w:val="auto"/>
          <w:highlight w:val="none"/>
        </w:rPr>
        <w:t>9.2.2</w:t>
      </w:r>
      <w:r>
        <w:rPr>
          <w:rFonts w:hint="eastAsia" w:cs="宋体"/>
          <w:color w:val="auto"/>
          <w:highlight w:val="none"/>
        </w:rPr>
        <w:t xml:space="preserve">投标人有下列情形之一的，属于投标人弄虚作假：    </w:t>
      </w:r>
    </w:p>
    <w:p w14:paraId="498F68F3">
      <w:pPr>
        <w:spacing w:line="360" w:lineRule="auto"/>
        <w:ind w:firstLine="420" w:firstLineChars="200"/>
        <w:rPr>
          <w:rFonts w:hint="eastAsia" w:cs="宋体"/>
          <w:color w:val="auto"/>
          <w:highlight w:val="none"/>
        </w:rPr>
      </w:pPr>
      <w:r>
        <w:rPr>
          <w:rFonts w:hint="eastAsia" w:cs="宋体"/>
          <w:color w:val="auto"/>
          <w:highlight w:val="none"/>
        </w:rPr>
        <w:t>（1）使用虚假的业绩、荣誉、建设工程合同、财务状况、信用状况、属于监狱企业的证明文件等；</w:t>
      </w:r>
    </w:p>
    <w:p w14:paraId="5CC063F4">
      <w:pPr>
        <w:spacing w:line="360" w:lineRule="auto"/>
        <w:ind w:firstLine="420" w:firstLineChars="200"/>
        <w:rPr>
          <w:rFonts w:cs="宋体"/>
          <w:color w:val="auto"/>
          <w:highlight w:val="none"/>
        </w:rPr>
      </w:pPr>
      <w:r>
        <w:rPr>
          <w:rFonts w:hint="eastAsia" w:cs="宋体"/>
          <w:color w:val="auto"/>
          <w:highlight w:val="none"/>
        </w:rPr>
        <w:t>（2）提供虚假的项目负责人或者主要技术人员简历、劳动关系证明、社保证明等；</w:t>
      </w:r>
    </w:p>
    <w:p w14:paraId="772507EC">
      <w:pPr>
        <w:spacing w:line="360" w:lineRule="auto"/>
        <w:ind w:firstLine="420" w:firstLineChars="200"/>
        <w:rPr>
          <w:rFonts w:hint="eastAsia" w:cs="宋体"/>
          <w:color w:val="auto"/>
          <w:highlight w:val="none"/>
        </w:rPr>
      </w:pPr>
      <w:r>
        <w:rPr>
          <w:rFonts w:hint="eastAsia" w:cs="宋体"/>
          <w:color w:val="auto"/>
          <w:highlight w:val="none"/>
        </w:rPr>
        <w:t>（3）投标人按照《政府采购促进中小企业发展管理办法》（财库〔2020〕46号）规定提供的《中小企业声明函》内容不实的；</w:t>
      </w:r>
    </w:p>
    <w:p w14:paraId="6E527B6D">
      <w:pPr>
        <w:spacing w:line="360" w:lineRule="auto"/>
        <w:ind w:firstLine="420" w:firstLineChars="200"/>
        <w:rPr>
          <w:rFonts w:hint="eastAsia" w:cs="宋体"/>
          <w:color w:val="auto"/>
          <w:highlight w:val="none"/>
        </w:rPr>
      </w:pPr>
      <w:r>
        <w:rPr>
          <w:rFonts w:hint="eastAsia" w:cs="宋体"/>
          <w:color w:val="auto"/>
          <w:highlight w:val="none"/>
        </w:rPr>
        <w:t>（4）投标人提供的《残疾人福利性单位声明函》内容不实的；</w:t>
      </w:r>
    </w:p>
    <w:p w14:paraId="70544253">
      <w:pPr>
        <w:spacing w:line="360" w:lineRule="auto"/>
        <w:ind w:firstLine="420" w:firstLineChars="200"/>
        <w:rPr>
          <w:rFonts w:cs="宋体"/>
          <w:color w:val="auto"/>
          <w:highlight w:val="none"/>
        </w:rPr>
      </w:pPr>
      <w:r>
        <w:rPr>
          <w:rFonts w:hint="eastAsia" w:cs="宋体"/>
          <w:color w:val="auto"/>
          <w:highlight w:val="none"/>
        </w:rPr>
        <w:t>（</w:t>
      </w:r>
      <w:r>
        <w:rPr>
          <w:rFonts w:hint="eastAsia" w:cs="宋体"/>
          <w:color w:val="auto"/>
          <w:highlight w:val="none"/>
          <w:lang w:val="en-US" w:eastAsia="zh-CN"/>
        </w:rPr>
        <w:t>5</w:t>
      </w:r>
      <w:r>
        <w:rPr>
          <w:rFonts w:hint="eastAsia" w:cs="宋体"/>
          <w:color w:val="auto"/>
          <w:highlight w:val="none"/>
        </w:rPr>
        <w:t>）其他弄虚作假的行为。</w:t>
      </w:r>
    </w:p>
    <w:p w14:paraId="4399A49C">
      <w:pPr>
        <w:spacing w:line="360" w:lineRule="auto"/>
        <w:ind w:firstLine="420" w:firstLineChars="200"/>
        <w:rPr>
          <w:rFonts w:hint="eastAsia" w:cs="宋体"/>
          <w:color w:val="auto"/>
          <w:highlight w:val="none"/>
        </w:rPr>
      </w:pPr>
      <w:r>
        <w:rPr>
          <w:rFonts w:cs="宋体"/>
          <w:color w:val="auto"/>
          <w:highlight w:val="none"/>
        </w:rPr>
        <w:t>9.2.3</w:t>
      </w:r>
      <w:r>
        <w:rPr>
          <w:rFonts w:hint="eastAsia" w:cs="宋体"/>
          <w:color w:val="auto"/>
          <w:highlight w:val="none"/>
        </w:rPr>
        <w:t>投标人不得向招标人或评标委员会成员或其他有关人员索问评标过程的情况和材料。</w:t>
      </w:r>
    </w:p>
    <w:p w14:paraId="22B1C093">
      <w:pPr>
        <w:pStyle w:val="5"/>
        <w:rPr>
          <w:color w:val="auto"/>
          <w:highlight w:val="none"/>
        </w:rPr>
      </w:pPr>
      <w:bookmarkStart w:id="357" w:name="_Toc218329544"/>
      <w:bookmarkStart w:id="358" w:name="_Toc78449676"/>
      <w:bookmarkStart w:id="359" w:name="_Toc389065194"/>
      <w:bookmarkStart w:id="360" w:name="_Toc407135130"/>
      <w:bookmarkStart w:id="361" w:name="_Toc24439"/>
      <w:r>
        <w:rPr>
          <w:color w:val="auto"/>
          <w:highlight w:val="none"/>
        </w:rPr>
        <w:t xml:space="preserve">9.3 </w:t>
      </w:r>
      <w:r>
        <w:rPr>
          <w:rFonts w:hint="eastAsia" w:cs="黑体"/>
          <w:color w:val="auto"/>
          <w:highlight w:val="none"/>
        </w:rPr>
        <w:t>对评标委员会成员的纪律要求</w:t>
      </w:r>
      <w:bookmarkEnd w:id="357"/>
      <w:bookmarkEnd w:id="358"/>
      <w:bookmarkEnd w:id="359"/>
      <w:bookmarkEnd w:id="360"/>
      <w:bookmarkEnd w:id="361"/>
    </w:p>
    <w:p w14:paraId="5654A3E6">
      <w:pPr>
        <w:spacing w:line="360" w:lineRule="auto"/>
        <w:ind w:firstLine="420" w:firstLineChars="200"/>
        <w:rPr>
          <w:color w:val="auto"/>
          <w:highlight w:val="none"/>
        </w:rPr>
      </w:pPr>
      <w:r>
        <w:rPr>
          <w:rFonts w:hint="eastAsia" w:cs="宋体"/>
          <w:color w:val="auto"/>
          <w:highlight w:val="none"/>
        </w:rPr>
        <w:t>评标委员会成员不得与任何投标人或者与招标结果有利害关系的人进行私下接触，不得收受投标人、中介人、其他利害关系人的财物或者其他好处，不得向招标人征询其确定中标人的意向，不得接受任何单位或者个人明示或者暗示提出的倾向或者排斥特定投标人的要求，</w:t>
      </w:r>
      <w:r>
        <w:rPr>
          <w:rFonts w:hint="eastAsia" w:cs="宋体"/>
          <w:color w:val="auto"/>
          <w:highlight w:val="none"/>
          <w:lang w:eastAsia="zh-CN"/>
        </w:rPr>
        <w:t>不</w:t>
      </w:r>
      <w:r>
        <w:rPr>
          <w:rFonts w:hint="eastAsia" w:cs="宋体"/>
          <w:color w:val="auto"/>
          <w:highlight w:val="none"/>
        </w:rPr>
        <w:t>得向他人</w:t>
      </w:r>
      <w:r>
        <w:rPr>
          <w:rFonts w:hint="eastAsia" w:cs="宋体"/>
          <w:color w:val="auto"/>
          <w:highlight w:val="none"/>
          <w:lang w:eastAsia="zh-CN"/>
        </w:rPr>
        <w:t>透露</w:t>
      </w:r>
      <w:r>
        <w:rPr>
          <w:rFonts w:hint="eastAsia" w:cs="宋体"/>
          <w:color w:val="auto"/>
          <w:highlight w:val="none"/>
        </w:rPr>
        <w:t>对投标文件的评审和比较、中标候选人的推荐情况以及评标有关的其他情况，不得有其他不客观、不公正履行职务的行为。</w:t>
      </w:r>
      <w:r>
        <w:rPr>
          <w:rFonts w:hint="eastAsia" w:ascii="宋体" w:hAnsi="宋体" w:cs="Good Times"/>
          <w:color w:val="auto"/>
          <w:kern w:val="0"/>
          <w:highlight w:val="none"/>
        </w:rPr>
        <w:t>评标委员会成员</w:t>
      </w:r>
      <w:r>
        <w:rPr>
          <w:color w:val="auto"/>
          <w:highlight w:val="none"/>
        </w:rPr>
        <w:t>应当客观、公正地履行职责，遵守职业道德，</w:t>
      </w:r>
      <w:r>
        <w:rPr>
          <w:rFonts w:hint="eastAsia"/>
          <w:color w:val="auto"/>
          <w:highlight w:val="none"/>
        </w:rPr>
        <w:t>对所提出的评审意见承担个人责任</w:t>
      </w:r>
      <w:r>
        <w:rPr>
          <w:color w:val="auto"/>
          <w:highlight w:val="none"/>
        </w:rPr>
        <w:t>，</w:t>
      </w:r>
      <w:r>
        <w:rPr>
          <w:rFonts w:hint="eastAsia" w:ascii="宋体" w:hAnsi="宋体" w:cs="Good Times"/>
          <w:color w:val="auto"/>
          <w:kern w:val="0"/>
          <w:highlight w:val="none"/>
        </w:rPr>
        <w:t>不得擅离职守，</w:t>
      </w:r>
      <w:r>
        <w:rPr>
          <w:rFonts w:hint="eastAsia" w:cs="宋体"/>
          <w:color w:val="auto"/>
          <w:highlight w:val="none"/>
        </w:rPr>
        <w:t>影响评标程序正常进行，不得使用第三章</w:t>
      </w:r>
      <w:r>
        <w:rPr>
          <w:rFonts w:hint="eastAsia"/>
          <w:color w:val="auto"/>
          <w:highlight w:val="none"/>
          <w:lang w:eastAsia="zh-CN"/>
        </w:rPr>
        <w:t>“</w:t>
      </w:r>
      <w:r>
        <w:rPr>
          <w:rFonts w:hint="eastAsia" w:cs="宋体"/>
          <w:color w:val="auto"/>
          <w:highlight w:val="none"/>
        </w:rPr>
        <w:t>评标办法</w:t>
      </w:r>
      <w:r>
        <w:rPr>
          <w:rFonts w:hint="eastAsia"/>
          <w:color w:val="auto"/>
          <w:highlight w:val="none"/>
          <w:lang w:eastAsia="zh-CN"/>
        </w:rPr>
        <w:t>”</w:t>
      </w:r>
      <w:r>
        <w:rPr>
          <w:rFonts w:hint="eastAsia" w:cs="宋体"/>
          <w:color w:val="auto"/>
          <w:highlight w:val="none"/>
        </w:rPr>
        <w:t>没有规定的评审因素和标准进行评标。</w:t>
      </w:r>
    </w:p>
    <w:p w14:paraId="3CEA96EE">
      <w:pPr>
        <w:pStyle w:val="5"/>
        <w:rPr>
          <w:color w:val="auto"/>
          <w:highlight w:val="none"/>
        </w:rPr>
      </w:pPr>
      <w:bookmarkStart w:id="362" w:name="_Toc78449677"/>
      <w:bookmarkStart w:id="363" w:name="_Toc20629"/>
      <w:bookmarkStart w:id="364" w:name="_Toc1240311849"/>
      <w:bookmarkStart w:id="365" w:name="_Toc407135131"/>
      <w:bookmarkStart w:id="366" w:name="_Toc389065195"/>
      <w:r>
        <w:rPr>
          <w:color w:val="auto"/>
          <w:highlight w:val="none"/>
        </w:rPr>
        <w:t xml:space="preserve">9.4 </w:t>
      </w:r>
      <w:r>
        <w:rPr>
          <w:rFonts w:hint="eastAsia" w:cs="黑体"/>
          <w:color w:val="auto"/>
          <w:highlight w:val="none"/>
        </w:rPr>
        <w:t>对与评标活动有关的工作人员的纪律要求</w:t>
      </w:r>
      <w:bookmarkEnd w:id="362"/>
      <w:bookmarkEnd w:id="363"/>
      <w:bookmarkEnd w:id="364"/>
      <w:bookmarkEnd w:id="365"/>
      <w:bookmarkEnd w:id="366"/>
    </w:p>
    <w:p w14:paraId="72EB8543">
      <w:pPr>
        <w:spacing w:line="360" w:lineRule="auto"/>
        <w:ind w:firstLine="420" w:firstLineChars="200"/>
        <w:rPr>
          <w:color w:val="auto"/>
          <w:highlight w:val="none"/>
        </w:rPr>
      </w:pPr>
      <w:r>
        <w:rPr>
          <w:rFonts w:hint="eastAsia" w:cs="宋体"/>
          <w:color w:val="auto"/>
          <w:highlight w:val="none"/>
        </w:rPr>
        <w:t>与评标活动有关的工作人员不得收受他人的财物或者其他好处，不得向他人</w:t>
      </w:r>
      <w:r>
        <w:rPr>
          <w:rFonts w:hint="eastAsia" w:cs="宋体"/>
          <w:color w:val="auto"/>
          <w:highlight w:val="none"/>
          <w:lang w:eastAsia="zh-CN"/>
        </w:rPr>
        <w:t>透露</w:t>
      </w:r>
      <w:r>
        <w:rPr>
          <w:rFonts w:hint="eastAsia" w:cs="宋体"/>
          <w:color w:val="auto"/>
          <w:highlight w:val="none"/>
        </w:rPr>
        <w:t>对投标文件的评审和比较、中标候选人的推荐情况以及评标有关的其他情况。在评标活动中，与评标活动有关的工作人员不得擅离职守，影响评标程序正常进行。</w:t>
      </w:r>
      <w:bookmarkStart w:id="367" w:name="_Toc389065196"/>
      <w:r>
        <w:rPr>
          <w:rFonts w:hint="eastAsia" w:cs="宋体"/>
          <w:color w:val="auto"/>
          <w:highlight w:val="none"/>
        </w:rPr>
        <w:t>与评标活动有关的工作人员，是指评标委员会成员以外的因参与评标监督工作或者事务性工作而知悉有关评标情况的所有人员。</w:t>
      </w:r>
    </w:p>
    <w:p w14:paraId="74A0AE7C">
      <w:pPr>
        <w:pStyle w:val="5"/>
        <w:rPr>
          <w:color w:val="auto"/>
          <w:highlight w:val="none"/>
        </w:rPr>
      </w:pPr>
      <w:bookmarkStart w:id="368" w:name="_Toc235136633"/>
      <w:bookmarkStart w:id="369" w:name="_Toc407135132"/>
      <w:bookmarkStart w:id="370" w:name="_Toc12409"/>
      <w:bookmarkStart w:id="371" w:name="_Toc78449678"/>
      <w:r>
        <w:rPr>
          <w:color w:val="auto"/>
          <w:highlight w:val="none"/>
        </w:rPr>
        <w:t xml:space="preserve">9.5 </w:t>
      </w:r>
      <w:r>
        <w:rPr>
          <w:rFonts w:hint="eastAsia" w:cs="黑体"/>
          <w:color w:val="auto"/>
          <w:highlight w:val="none"/>
        </w:rPr>
        <w:t>投诉</w:t>
      </w:r>
      <w:bookmarkEnd w:id="367"/>
      <w:bookmarkEnd w:id="368"/>
      <w:bookmarkEnd w:id="369"/>
      <w:bookmarkEnd w:id="370"/>
      <w:bookmarkEnd w:id="371"/>
      <w:bookmarkStart w:id="372" w:name="_Toc389065197"/>
    </w:p>
    <w:p w14:paraId="3EBF9849">
      <w:pPr>
        <w:spacing w:line="360" w:lineRule="auto"/>
        <w:ind w:firstLine="420" w:firstLineChars="200"/>
        <w:rPr>
          <w:color w:val="auto"/>
          <w:highlight w:val="none"/>
        </w:rPr>
      </w:pPr>
      <w:r>
        <w:rPr>
          <w:rFonts w:hint="eastAsia" w:cs="宋体"/>
          <w:color w:val="auto"/>
          <w:highlight w:val="none"/>
        </w:rPr>
        <w:t>投标人和其他利害关系人认为本次招标活动违反</w:t>
      </w:r>
      <w:r>
        <w:rPr>
          <w:rFonts w:hint="eastAsia" w:cs="宋体"/>
          <w:color w:val="auto"/>
          <w:highlight w:val="none"/>
          <w:lang w:eastAsia="zh-CN"/>
        </w:rPr>
        <w:t>法律法规</w:t>
      </w:r>
      <w:r>
        <w:rPr>
          <w:rFonts w:hint="eastAsia" w:cs="宋体"/>
          <w:color w:val="auto"/>
          <w:highlight w:val="none"/>
        </w:rPr>
        <w:t>和规章规定的，可以在知道或者应当知道之日起十日内向当地招投标监督管理部门提出书面投诉。投诉应当有明确的请求和必要的证明材料；超过投诉时效的不予受理。就《中华人民共和国招标投标法实施条例》第二十二条、第四十四条、第五十四条规定事项投诉的，应当先向招标人提出异议，没有提出异议的，不予受理，异议答复期间不计算在前款规定的期限内。</w:t>
      </w:r>
    </w:p>
    <w:p w14:paraId="6963DBB5">
      <w:pPr>
        <w:pStyle w:val="4"/>
        <w:rPr>
          <w:rFonts w:hint="eastAsia" w:cs="黑体"/>
          <w:color w:val="auto"/>
          <w:highlight w:val="none"/>
        </w:rPr>
      </w:pPr>
      <w:bookmarkStart w:id="373" w:name="_Toc407135133"/>
      <w:bookmarkStart w:id="374" w:name="_Toc78449679"/>
      <w:bookmarkStart w:id="375" w:name="_Toc8387"/>
      <w:r>
        <w:rPr>
          <w:rFonts w:hint="eastAsia" w:cs="黑体"/>
          <w:color w:val="auto"/>
          <w:highlight w:val="none"/>
        </w:rPr>
        <w:t>10 需要补充的其他内容</w:t>
      </w:r>
      <w:bookmarkEnd w:id="372"/>
      <w:bookmarkEnd w:id="373"/>
      <w:bookmarkEnd w:id="374"/>
      <w:bookmarkEnd w:id="375"/>
    </w:p>
    <w:p w14:paraId="52B017D8">
      <w:pPr>
        <w:pStyle w:val="5"/>
        <w:rPr>
          <w:color w:val="auto"/>
          <w:highlight w:val="none"/>
        </w:rPr>
      </w:pPr>
      <w:bookmarkStart w:id="376" w:name="_Toc25335"/>
      <w:bookmarkStart w:id="377" w:name="_Toc201423302"/>
      <w:bookmarkStart w:id="378" w:name="_Toc407135134"/>
      <w:bookmarkStart w:id="379" w:name="_Toc78449680"/>
      <w:r>
        <w:rPr>
          <w:color w:val="auto"/>
          <w:highlight w:val="none"/>
        </w:rPr>
        <w:t xml:space="preserve">10.1 </w:t>
      </w:r>
      <w:r>
        <w:rPr>
          <w:rFonts w:hint="eastAsia" w:cs="黑体"/>
          <w:color w:val="auto"/>
          <w:highlight w:val="none"/>
        </w:rPr>
        <w:t>词语定义</w:t>
      </w:r>
      <w:bookmarkEnd w:id="376"/>
      <w:bookmarkEnd w:id="377"/>
      <w:bookmarkEnd w:id="378"/>
      <w:bookmarkEnd w:id="379"/>
    </w:p>
    <w:p w14:paraId="0310C546">
      <w:pPr>
        <w:spacing w:line="360" w:lineRule="auto"/>
        <w:ind w:firstLine="420" w:firstLineChars="200"/>
        <w:rPr>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3EBBDA5A">
      <w:pPr>
        <w:pStyle w:val="5"/>
        <w:rPr>
          <w:rFonts w:hint="eastAsia" w:eastAsia="黑体"/>
          <w:color w:val="auto"/>
          <w:highlight w:val="none"/>
          <w:lang w:eastAsia="zh-CN"/>
        </w:rPr>
      </w:pPr>
      <w:bookmarkStart w:id="380" w:name="_Toc407135135"/>
      <w:bookmarkStart w:id="381" w:name="_Toc389065198"/>
      <w:bookmarkStart w:id="382" w:name="_Toc78449681"/>
      <w:bookmarkStart w:id="383" w:name="_Toc1917022029"/>
      <w:bookmarkStart w:id="384" w:name="_Toc23119"/>
      <w:r>
        <w:rPr>
          <w:color w:val="auto"/>
          <w:highlight w:val="none"/>
        </w:rPr>
        <w:t xml:space="preserve">10.2 </w:t>
      </w:r>
      <w:bookmarkEnd w:id="380"/>
      <w:bookmarkEnd w:id="381"/>
      <w:bookmarkEnd w:id="382"/>
      <w:bookmarkEnd w:id="383"/>
      <w:r>
        <w:rPr>
          <w:rFonts w:hint="eastAsia" w:cs="黑体"/>
          <w:color w:val="auto"/>
          <w:highlight w:val="none"/>
          <w:lang w:eastAsia="zh-CN"/>
        </w:rPr>
        <w:t>最高投标限价</w:t>
      </w:r>
      <w:bookmarkEnd w:id="384"/>
    </w:p>
    <w:p w14:paraId="662C35C9">
      <w:pPr>
        <w:spacing w:line="360" w:lineRule="auto"/>
        <w:ind w:firstLine="420" w:firstLineChars="200"/>
        <w:rPr>
          <w:color w:val="auto"/>
          <w:highlight w:val="none"/>
        </w:rPr>
      </w:pPr>
      <w:r>
        <w:rPr>
          <w:rFonts w:hint="eastAsia" w:cs="宋体"/>
          <w:color w:val="auto"/>
          <w:highlight w:val="none"/>
          <w:lang w:eastAsia="zh-CN"/>
        </w:rPr>
        <w:t>最高投标限价</w:t>
      </w:r>
      <w:r>
        <w:rPr>
          <w:rFonts w:hint="eastAsia" w:cs="宋体"/>
          <w:color w:val="auto"/>
          <w:highlight w:val="none"/>
        </w:rPr>
        <w:t>设置要求见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7C5017D8">
      <w:pPr>
        <w:spacing w:line="360" w:lineRule="auto"/>
        <w:ind w:firstLine="420" w:firstLineChars="200"/>
        <w:rPr>
          <w:color w:val="auto"/>
          <w:highlight w:val="none"/>
        </w:rPr>
      </w:pPr>
      <w:r>
        <w:rPr>
          <w:rFonts w:hint="eastAsia" w:cs="宋体"/>
          <w:color w:val="auto"/>
          <w:highlight w:val="none"/>
        </w:rPr>
        <w:t>招标人或受其委托具有相应资格的中介机构，按照</w:t>
      </w:r>
      <w:r>
        <w:rPr>
          <w:rFonts w:hint="eastAsia" w:cs="宋体"/>
          <w:color w:val="auto"/>
          <w:highlight w:val="none"/>
          <w:lang w:val="en-US" w:eastAsia="zh-CN"/>
        </w:rPr>
        <w:t>我</w:t>
      </w:r>
      <w:r>
        <w:rPr>
          <w:rFonts w:hint="eastAsia" w:cs="宋体"/>
          <w:color w:val="auto"/>
          <w:highlight w:val="none"/>
        </w:rPr>
        <w:t>区的相关规定及第五章的要求编制招标工程的</w:t>
      </w:r>
      <w:r>
        <w:rPr>
          <w:rFonts w:hint="eastAsia" w:cs="宋体"/>
          <w:color w:val="auto"/>
          <w:highlight w:val="none"/>
          <w:lang w:eastAsia="zh-CN"/>
        </w:rPr>
        <w:t>最高投标限价</w:t>
      </w:r>
      <w:r>
        <w:rPr>
          <w:rFonts w:hint="eastAsia" w:cs="宋体"/>
          <w:color w:val="auto"/>
          <w:highlight w:val="none"/>
        </w:rPr>
        <w:t>。</w:t>
      </w:r>
    </w:p>
    <w:p w14:paraId="751905DA">
      <w:pPr>
        <w:spacing w:line="360" w:lineRule="auto"/>
        <w:ind w:firstLine="420" w:firstLineChars="200"/>
        <w:rPr>
          <w:rFonts w:cs="宋体"/>
          <w:color w:val="auto"/>
          <w:highlight w:val="none"/>
        </w:rPr>
      </w:pPr>
      <w:r>
        <w:rPr>
          <w:rFonts w:hint="eastAsia" w:cs="宋体"/>
          <w:color w:val="auto"/>
          <w:highlight w:val="none"/>
        </w:rPr>
        <w:t>原则上</w:t>
      </w:r>
      <w:r>
        <w:rPr>
          <w:rFonts w:hint="eastAsia" w:cs="宋体"/>
          <w:color w:val="auto"/>
          <w:highlight w:val="none"/>
          <w:lang w:eastAsia="zh-CN"/>
        </w:rPr>
        <w:t>最高投标限价</w:t>
      </w:r>
      <w:r>
        <w:rPr>
          <w:rFonts w:hint="eastAsia" w:cs="宋体"/>
          <w:color w:val="auto"/>
          <w:highlight w:val="none"/>
        </w:rPr>
        <w:t>应于投标截止时间前</w:t>
      </w:r>
      <w:r>
        <w:rPr>
          <w:color w:val="auto"/>
          <w:highlight w:val="none"/>
        </w:rPr>
        <w:t>15</w:t>
      </w:r>
      <w:r>
        <w:rPr>
          <w:rFonts w:hint="eastAsia" w:cs="宋体"/>
          <w:color w:val="auto"/>
          <w:highlight w:val="none"/>
        </w:rPr>
        <w:t>日通过广西壮族自治区公共资源交易平台系统网站向所有投标人公布，最迟应当在投标截止时间</w:t>
      </w:r>
      <w:r>
        <w:rPr>
          <w:color w:val="auto"/>
          <w:highlight w:val="none"/>
        </w:rPr>
        <w:t>7</w:t>
      </w:r>
      <w:r>
        <w:rPr>
          <w:rFonts w:hint="eastAsia" w:cs="宋体"/>
          <w:color w:val="auto"/>
          <w:highlight w:val="none"/>
        </w:rPr>
        <w:t>日前公布，并报送当地招投标监督管理部门备案。</w:t>
      </w:r>
      <w:r>
        <w:rPr>
          <w:rFonts w:hint="eastAsia" w:cs="宋体"/>
          <w:color w:val="auto"/>
          <w:highlight w:val="none"/>
          <w:lang w:val="en-US" w:eastAsia="zh-CN"/>
        </w:rPr>
        <w:t>招标人无须向潜在投标人公布</w:t>
      </w:r>
      <w:r>
        <w:rPr>
          <w:rFonts w:hint="eastAsia" w:cs="宋体"/>
          <w:color w:val="auto"/>
          <w:highlight w:val="none"/>
          <w:lang w:eastAsia="zh-CN"/>
        </w:rPr>
        <w:t>最高投标限价分部分项工程量清单及技术措施项目清单综合单价分析表。</w:t>
      </w:r>
      <w:r>
        <w:rPr>
          <w:rFonts w:hint="eastAsia" w:cs="宋体"/>
          <w:color w:val="auto"/>
          <w:highlight w:val="none"/>
        </w:rPr>
        <w:t>潜在投标人或者其他利害关系人对</w:t>
      </w:r>
      <w:r>
        <w:rPr>
          <w:rFonts w:hint="eastAsia" w:cs="宋体"/>
          <w:color w:val="auto"/>
          <w:highlight w:val="none"/>
          <w:lang w:eastAsia="zh-CN"/>
        </w:rPr>
        <w:t>最高投标限价</w:t>
      </w:r>
      <w:r>
        <w:rPr>
          <w:rFonts w:hint="eastAsia" w:cs="宋体"/>
          <w:color w:val="auto"/>
          <w:highlight w:val="none"/>
        </w:rPr>
        <w:t>有异议的，应当在投标截止时间</w:t>
      </w:r>
      <w:r>
        <w:rPr>
          <w:color w:val="auto"/>
          <w:highlight w:val="none"/>
        </w:rPr>
        <w:t>5</w:t>
      </w:r>
      <w:r>
        <w:rPr>
          <w:rFonts w:hint="eastAsia" w:cs="宋体"/>
          <w:color w:val="auto"/>
          <w:highlight w:val="none"/>
        </w:rPr>
        <w:t>日前提出。招标人应当自收到异议之日起</w:t>
      </w:r>
      <w:r>
        <w:rPr>
          <w:color w:val="auto"/>
          <w:highlight w:val="none"/>
        </w:rPr>
        <w:t>3</w:t>
      </w:r>
      <w:r>
        <w:rPr>
          <w:rFonts w:hint="eastAsia" w:cs="宋体"/>
          <w:color w:val="auto"/>
          <w:highlight w:val="none"/>
        </w:rPr>
        <w:t>日内作出答复。招标人需重新公布</w:t>
      </w:r>
      <w:r>
        <w:rPr>
          <w:rFonts w:hint="eastAsia" w:cs="宋体"/>
          <w:color w:val="auto"/>
          <w:highlight w:val="none"/>
          <w:lang w:eastAsia="zh-CN"/>
        </w:rPr>
        <w:t>最高投标限价</w:t>
      </w:r>
      <w:r>
        <w:rPr>
          <w:rFonts w:hint="eastAsia" w:cs="宋体"/>
          <w:color w:val="auto"/>
          <w:highlight w:val="none"/>
        </w:rPr>
        <w:t>的，其最终公布的时间到投标截止时间不足</w:t>
      </w:r>
      <w:r>
        <w:rPr>
          <w:color w:val="auto"/>
          <w:highlight w:val="none"/>
        </w:rPr>
        <w:t>7</w:t>
      </w:r>
      <w:r>
        <w:rPr>
          <w:rFonts w:hint="eastAsia" w:cs="宋体"/>
          <w:color w:val="auto"/>
          <w:highlight w:val="none"/>
        </w:rPr>
        <w:t>天可能影响投标文件编制的，应顺延提交投标文件的截止时间。</w:t>
      </w:r>
    </w:p>
    <w:p w14:paraId="07DC97AB">
      <w:pPr>
        <w:pStyle w:val="5"/>
        <w:rPr>
          <w:rFonts w:hint="eastAsia"/>
          <w:color w:val="auto"/>
          <w:highlight w:val="none"/>
        </w:rPr>
      </w:pPr>
      <w:bookmarkStart w:id="385" w:name="_Toc78449682"/>
      <w:bookmarkStart w:id="386" w:name="_Toc1303369529"/>
      <w:bookmarkStart w:id="387" w:name="_Toc5339"/>
      <w:r>
        <w:rPr>
          <w:color w:val="auto"/>
          <w:highlight w:val="none"/>
        </w:rPr>
        <w:t xml:space="preserve">10.3 </w:t>
      </w:r>
      <w:r>
        <w:rPr>
          <w:rFonts w:hint="eastAsia" w:cs="黑体"/>
          <w:color w:val="auto"/>
          <w:highlight w:val="none"/>
        </w:rPr>
        <w:t>技术标</w:t>
      </w:r>
      <w:r>
        <w:rPr>
          <w:rFonts w:cs="黑体"/>
          <w:color w:val="auto"/>
          <w:highlight w:val="none"/>
        </w:rPr>
        <w:t>评审方式</w:t>
      </w:r>
      <w:bookmarkEnd w:id="385"/>
      <w:bookmarkEnd w:id="386"/>
      <w:bookmarkEnd w:id="387"/>
    </w:p>
    <w:p w14:paraId="63D71760">
      <w:pPr>
        <w:spacing w:line="360" w:lineRule="auto"/>
        <w:ind w:firstLine="420" w:firstLineChars="200"/>
        <w:rPr>
          <w:rFonts w:hint="eastAsia"/>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6A0B1582">
      <w:pPr>
        <w:pStyle w:val="5"/>
        <w:rPr>
          <w:color w:val="auto"/>
          <w:highlight w:val="none"/>
        </w:rPr>
      </w:pPr>
      <w:bookmarkStart w:id="388" w:name="_Toc1953478804"/>
      <w:bookmarkStart w:id="389" w:name="_Toc407135137"/>
      <w:bookmarkStart w:id="390" w:name="_Toc78449683"/>
      <w:bookmarkStart w:id="391" w:name="_Toc13356"/>
      <w:r>
        <w:rPr>
          <w:color w:val="auto"/>
          <w:highlight w:val="none"/>
        </w:rPr>
        <w:t xml:space="preserve">10.4 </w:t>
      </w:r>
      <w:r>
        <w:rPr>
          <w:rFonts w:hint="eastAsia" w:cs="黑体"/>
          <w:color w:val="auto"/>
          <w:highlight w:val="none"/>
        </w:rPr>
        <w:t>电子投标文件</w:t>
      </w:r>
      <w:bookmarkEnd w:id="388"/>
      <w:bookmarkEnd w:id="389"/>
      <w:bookmarkEnd w:id="390"/>
      <w:bookmarkEnd w:id="391"/>
    </w:p>
    <w:p w14:paraId="7622266A">
      <w:pPr>
        <w:spacing w:line="360" w:lineRule="auto"/>
        <w:ind w:firstLine="420" w:firstLineChars="200"/>
        <w:rPr>
          <w:color w:val="auto"/>
          <w:highlight w:val="none"/>
        </w:rPr>
      </w:pPr>
      <w:r>
        <w:rPr>
          <w:rFonts w:hint="eastAsia" w:cs="宋体"/>
          <w:color w:val="auto"/>
          <w:highlight w:val="none"/>
        </w:rPr>
        <w:t>电子投标文件的具体内容要求见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56467374">
      <w:pPr>
        <w:pStyle w:val="5"/>
        <w:rPr>
          <w:color w:val="auto"/>
          <w:highlight w:val="none"/>
        </w:rPr>
      </w:pPr>
      <w:bookmarkStart w:id="392" w:name="_Toc407135138"/>
      <w:bookmarkStart w:id="393" w:name="_Toc1624564493"/>
      <w:bookmarkStart w:id="394" w:name="_Toc5969"/>
      <w:bookmarkStart w:id="395" w:name="_Toc78449684"/>
      <w:r>
        <w:rPr>
          <w:color w:val="auto"/>
          <w:highlight w:val="none"/>
        </w:rPr>
        <w:t xml:space="preserve">10.5 </w:t>
      </w:r>
      <w:r>
        <w:rPr>
          <w:rFonts w:hint="eastAsia" w:cs="黑体"/>
          <w:color w:val="auto"/>
          <w:highlight w:val="none"/>
        </w:rPr>
        <w:t>知识产权</w:t>
      </w:r>
      <w:bookmarkEnd w:id="392"/>
      <w:bookmarkEnd w:id="393"/>
      <w:bookmarkEnd w:id="394"/>
      <w:bookmarkEnd w:id="395"/>
    </w:p>
    <w:p w14:paraId="6BCC82E6">
      <w:pPr>
        <w:spacing w:line="360" w:lineRule="auto"/>
        <w:ind w:firstLine="420" w:firstLineChars="200"/>
        <w:rPr>
          <w:color w:val="auto"/>
          <w:highlight w:val="none"/>
        </w:rPr>
      </w:pPr>
      <w:r>
        <w:rPr>
          <w:rFonts w:hint="eastAsia" w:cs="宋体"/>
          <w:color w:val="auto"/>
          <w:highlight w:val="none"/>
        </w:rPr>
        <w:t>招标人对其知识产权的具体要求见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5E794160">
      <w:pPr>
        <w:pStyle w:val="5"/>
        <w:rPr>
          <w:color w:val="auto"/>
          <w:highlight w:val="none"/>
        </w:rPr>
      </w:pPr>
      <w:bookmarkStart w:id="396" w:name="_Toc244238446"/>
      <w:bookmarkStart w:id="397" w:name="_Toc24778"/>
      <w:bookmarkStart w:id="398" w:name="_Toc78449685"/>
      <w:bookmarkStart w:id="399" w:name="_Toc407135139"/>
      <w:r>
        <w:rPr>
          <w:color w:val="auto"/>
          <w:highlight w:val="none"/>
        </w:rPr>
        <w:t xml:space="preserve">10.6 </w:t>
      </w:r>
      <w:r>
        <w:rPr>
          <w:rFonts w:hint="eastAsia" w:cs="黑体"/>
          <w:color w:val="auto"/>
          <w:highlight w:val="none"/>
        </w:rPr>
        <w:t>重新招标的其他情形</w:t>
      </w:r>
      <w:bookmarkEnd w:id="396"/>
      <w:bookmarkEnd w:id="397"/>
      <w:bookmarkEnd w:id="398"/>
      <w:bookmarkEnd w:id="399"/>
    </w:p>
    <w:p w14:paraId="7C4521A0">
      <w:pPr>
        <w:spacing w:line="360" w:lineRule="auto"/>
        <w:ind w:firstLine="420" w:firstLineChars="200"/>
        <w:rPr>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45ACCA7F">
      <w:pPr>
        <w:pStyle w:val="5"/>
        <w:rPr>
          <w:color w:val="auto"/>
          <w:highlight w:val="none"/>
        </w:rPr>
      </w:pPr>
      <w:bookmarkStart w:id="400" w:name="_Toc407135140"/>
      <w:bookmarkStart w:id="401" w:name="_Toc78449686"/>
      <w:bookmarkStart w:id="402" w:name="_Toc1089748721"/>
      <w:bookmarkStart w:id="403" w:name="_Toc18708"/>
      <w:r>
        <w:rPr>
          <w:color w:val="auto"/>
          <w:highlight w:val="none"/>
        </w:rPr>
        <w:t xml:space="preserve">10.7 </w:t>
      </w:r>
      <w:r>
        <w:rPr>
          <w:rFonts w:hint="eastAsia" w:cs="黑体"/>
          <w:color w:val="auto"/>
          <w:highlight w:val="none"/>
        </w:rPr>
        <w:t>同义词语</w:t>
      </w:r>
      <w:bookmarkEnd w:id="400"/>
      <w:bookmarkEnd w:id="401"/>
      <w:bookmarkEnd w:id="402"/>
      <w:bookmarkEnd w:id="403"/>
    </w:p>
    <w:p w14:paraId="65F2CB91">
      <w:pPr>
        <w:spacing w:line="360" w:lineRule="auto"/>
        <w:ind w:firstLine="420" w:firstLineChars="200"/>
        <w:rPr>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77CC30CB">
      <w:pPr>
        <w:pStyle w:val="5"/>
        <w:rPr>
          <w:color w:val="auto"/>
          <w:highlight w:val="none"/>
        </w:rPr>
      </w:pPr>
      <w:bookmarkStart w:id="404" w:name="_Toc78449687"/>
      <w:bookmarkStart w:id="405" w:name="_Toc407135141"/>
      <w:bookmarkStart w:id="406" w:name="_Toc10692"/>
      <w:bookmarkStart w:id="407" w:name="_Toc1996681472"/>
      <w:r>
        <w:rPr>
          <w:color w:val="auto"/>
          <w:highlight w:val="none"/>
        </w:rPr>
        <w:t xml:space="preserve">10.8 </w:t>
      </w:r>
      <w:r>
        <w:rPr>
          <w:rFonts w:hint="eastAsia" w:cs="黑体"/>
          <w:color w:val="auto"/>
          <w:highlight w:val="none"/>
        </w:rPr>
        <w:t>监督</w:t>
      </w:r>
      <w:bookmarkEnd w:id="404"/>
      <w:bookmarkEnd w:id="405"/>
      <w:bookmarkEnd w:id="406"/>
      <w:bookmarkEnd w:id="407"/>
    </w:p>
    <w:p w14:paraId="1923AEA8">
      <w:pPr>
        <w:spacing w:line="360" w:lineRule="auto"/>
        <w:ind w:firstLine="420" w:firstLineChars="200"/>
        <w:rPr>
          <w:rFonts w:cs="宋体"/>
          <w:color w:val="auto"/>
          <w:highlight w:val="none"/>
        </w:rPr>
      </w:pPr>
      <w:r>
        <w:rPr>
          <w:rFonts w:hint="eastAsia" w:cs="宋体"/>
          <w:color w:val="auto"/>
          <w:highlight w:val="none"/>
        </w:rPr>
        <w:t>本项目招标的监督部门见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4BEA5171">
      <w:pPr>
        <w:pStyle w:val="5"/>
        <w:rPr>
          <w:color w:val="auto"/>
          <w:highlight w:val="none"/>
        </w:rPr>
      </w:pPr>
      <w:bookmarkStart w:id="408" w:name="_Toc17403"/>
      <w:bookmarkStart w:id="409" w:name="_Toc2112751928"/>
      <w:r>
        <w:rPr>
          <w:color w:val="auto"/>
          <w:highlight w:val="none"/>
        </w:rPr>
        <w:t>10.9承包人应履行的其他义务</w:t>
      </w:r>
      <w:bookmarkEnd w:id="408"/>
      <w:bookmarkEnd w:id="409"/>
    </w:p>
    <w:p w14:paraId="54CE2422">
      <w:pPr>
        <w:spacing w:line="360" w:lineRule="auto"/>
        <w:ind w:firstLine="420" w:firstLineChars="200"/>
        <w:rPr>
          <w:rFonts w:cs="宋体"/>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459E6BFF">
      <w:pPr>
        <w:pStyle w:val="5"/>
        <w:rPr>
          <w:rFonts w:ascii="宋体" w:hAnsi="宋体"/>
          <w:color w:val="auto"/>
          <w:highlight w:val="none"/>
        </w:rPr>
      </w:pPr>
      <w:bookmarkStart w:id="410" w:name="_Toc26033"/>
      <w:bookmarkStart w:id="411" w:name="_Toc1276684290"/>
      <w:r>
        <w:rPr>
          <w:rFonts w:hint="eastAsia"/>
          <w:color w:val="auto"/>
          <w:szCs w:val="21"/>
          <w:highlight w:val="none"/>
        </w:rPr>
        <w:t>10.1</w:t>
      </w:r>
      <w:r>
        <w:rPr>
          <w:color w:val="auto"/>
          <w:highlight w:val="none"/>
        </w:rPr>
        <w:t>0</w:t>
      </w:r>
      <w:r>
        <w:rPr>
          <w:rFonts w:hint="eastAsia" w:ascii="宋体" w:hAnsi="宋体"/>
          <w:color w:val="auto"/>
          <w:highlight w:val="none"/>
        </w:rPr>
        <w:t>农民工工资保证金</w:t>
      </w:r>
      <w:bookmarkEnd w:id="410"/>
      <w:bookmarkEnd w:id="411"/>
    </w:p>
    <w:p w14:paraId="5FB89DFE">
      <w:pPr>
        <w:spacing w:line="360" w:lineRule="auto"/>
        <w:ind w:firstLine="420" w:firstLineChars="200"/>
        <w:rPr>
          <w:rFonts w:cs="宋体"/>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1032958F">
      <w:pPr>
        <w:pStyle w:val="5"/>
        <w:rPr>
          <w:color w:val="auto"/>
          <w:highlight w:val="none"/>
        </w:rPr>
      </w:pPr>
      <w:bookmarkStart w:id="412" w:name="_Toc1714654414"/>
      <w:bookmarkStart w:id="413" w:name="_Toc32753"/>
      <w:r>
        <w:rPr>
          <w:color w:val="auto"/>
          <w:highlight w:val="none"/>
        </w:rPr>
        <w:t>10.11</w:t>
      </w:r>
      <w:r>
        <w:rPr>
          <w:rFonts w:hint="eastAsia" w:cs="黑体"/>
          <w:color w:val="auto"/>
          <w:highlight w:val="none"/>
        </w:rPr>
        <w:t>中小企业</w:t>
      </w:r>
      <w:bookmarkEnd w:id="412"/>
      <w:bookmarkEnd w:id="413"/>
    </w:p>
    <w:p w14:paraId="671F10F5">
      <w:pPr>
        <w:spacing w:line="360" w:lineRule="auto"/>
        <w:ind w:firstLine="420" w:firstLineChars="200"/>
        <w:rPr>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5D2D6D6A">
      <w:pPr>
        <w:pStyle w:val="5"/>
        <w:rPr>
          <w:color w:val="auto"/>
          <w:highlight w:val="none"/>
        </w:rPr>
      </w:pPr>
      <w:bookmarkStart w:id="414" w:name="_Toc1126821034"/>
      <w:bookmarkStart w:id="415" w:name="_Toc439"/>
      <w:r>
        <w:rPr>
          <w:color w:val="auto"/>
          <w:highlight w:val="none"/>
        </w:rPr>
        <w:t>10.12</w:t>
      </w:r>
      <w:r>
        <w:rPr>
          <w:rFonts w:hint="eastAsia" w:cs="黑体"/>
          <w:color w:val="auto"/>
          <w:highlight w:val="none"/>
        </w:rPr>
        <w:t>监狱企业</w:t>
      </w:r>
      <w:bookmarkEnd w:id="414"/>
      <w:bookmarkEnd w:id="415"/>
    </w:p>
    <w:p w14:paraId="362B5DD4">
      <w:pPr>
        <w:spacing w:line="360" w:lineRule="auto"/>
        <w:ind w:firstLine="420" w:firstLineChars="200"/>
        <w:rPr>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49BD275E">
      <w:pPr>
        <w:pStyle w:val="5"/>
        <w:rPr>
          <w:color w:val="auto"/>
          <w:highlight w:val="none"/>
        </w:rPr>
      </w:pPr>
      <w:bookmarkStart w:id="416" w:name="_Toc24265"/>
      <w:bookmarkStart w:id="417" w:name="_Toc846209079"/>
      <w:r>
        <w:rPr>
          <w:color w:val="auto"/>
          <w:highlight w:val="none"/>
        </w:rPr>
        <w:t>10.13</w:t>
      </w:r>
      <w:r>
        <w:rPr>
          <w:rFonts w:hint="eastAsia" w:cs="黑体"/>
          <w:color w:val="auto"/>
          <w:highlight w:val="none"/>
        </w:rPr>
        <w:t>残疾人福利性单位</w:t>
      </w:r>
      <w:bookmarkEnd w:id="416"/>
      <w:bookmarkEnd w:id="417"/>
    </w:p>
    <w:p w14:paraId="3B729F28">
      <w:pPr>
        <w:spacing w:line="360" w:lineRule="auto"/>
        <w:ind w:firstLine="420" w:firstLineChars="200"/>
        <w:rPr>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68D74880">
      <w:pPr>
        <w:pStyle w:val="5"/>
        <w:rPr>
          <w:color w:val="auto"/>
          <w:highlight w:val="none"/>
        </w:rPr>
      </w:pPr>
      <w:bookmarkStart w:id="418" w:name="_Toc78449688"/>
      <w:bookmarkStart w:id="419" w:name="_Toc407135142"/>
      <w:bookmarkStart w:id="420" w:name="_Toc25753"/>
      <w:bookmarkStart w:id="421" w:name="_Toc1240562800"/>
      <w:r>
        <w:rPr>
          <w:color w:val="auto"/>
          <w:highlight w:val="none"/>
        </w:rPr>
        <w:t>10.1</w:t>
      </w:r>
      <w:r>
        <w:rPr>
          <w:rFonts w:hint="eastAsia"/>
          <w:color w:val="auto"/>
          <w:highlight w:val="none"/>
          <w:lang w:val="en-US" w:eastAsia="zh-CN"/>
        </w:rPr>
        <w:t>4</w:t>
      </w:r>
      <w:r>
        <w:rPr>
          <w:color w:val="auto"/>
          <w:highlight w:val="none"/>
        </w:rPr>
        <w:t xml:space="preserve"> </w:t>
      </w:r>
      <w:r>
        <w:rPr>
          <w:rFonts w:hint="eastAsia" w:cs="黑体"/>
          <w:color w:val="auto"/>
          <w:highlight w:val="none"/>
        </w:rPr>
        <w:t>解释权</w:t>
      </w:r>
      <w:bookmarkEnd w:id="418"/>
      <w:bookmarkEnd w:id="419"/>
      <w:bookmarkEnd w:id="420"/>
      <w:bookmarkEnd w:id="421"/>
    </w:p>
    <w:p w14:paraId="70D32854">
      <w:pPr>
        <w:spacing w:line="360" w:lineRule="auto"/>
        <w:ind w:firstLine="420" w:firstLineChars="200"/>
        <w:rPr>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54B1F303">
      <w:pPr>
        <w:pStyle w:val="5"/>
        <w:rPr>
          <w:color w:val="auto"/>
          <w:highlight w:val="none"/>
        </w:rPr>
      </w:pPr>
      <w:bookmarkStart w:id="422" w:name="_Toc1948207331"/>
      <w:bookmarkStart w:id="423" w:name="_Toc28550"/>
      <w:bookmarkStart w:id="424" w:name="_Toc407135143"/>
      <w:bookmarkStart w:id="425" w:name="_Toc78449689"/>
      <w:r>
        <w:rPr>
          <w:color w:val="auto"/>
          <w:highlight w:val="none"/>
        </w:rPr>
        <w:t>10.1</w:t>
      </w:r>
      <w:r>
        <w:rPr>
          <w:rFonts w:hint="eastAsia"/>
          <w:color w:val="auto"/>
          <w:highlight w:val="none"/>
          <w:lang w:val="en-US" w:eastAsia="zh-CN"/>
        </w:rPr>
        <w:t>5</w:t>
      </w:r>
      <w:r>
        <w:rPr>
          <w:color w:val="auto"/>
          <w:highlight w:val="none"/>
        </w:rPr>
        <w:t xml:space="preserve"> </w:t>
      </w:r>
      <w:r>
        <w:rPr>
          <w:rFonts w:hint="eastAsia" w:cs="黑体"/>
          <w:color w:val="auto"/>
          <w:highlight w:val="none"/>
        </w:rPr>
        <w:t>招标人补充的其他内容</w:t>
      </w:r>
      <w:bookmarkEnd w:id="422"/>
      <w:bookmarkEnd w:id="423"/>
      <w:bookmarkEnd w:id="424"/>
      <w:bookmarkEnd w:id="425"/>
    </w:p>
    <w:p w14:paraId="2E4B73E9">
      <w:pPr>
        <w:widowControl/>
        <w:ind w:firstLine="420" w:firstLineChars="200"/>
        <w:jc w:val="left"/>
        <w:rPr>
          <w:color w:val="auto"/>
          <w:highlight w:val="none"/>
        </w:rPr>
      </w:pPr>
      <w:r>
        <w:rPr>
          <w:rFonts w:hint="eastAsia" w:cs="宋体"/>
          <w:color w:val="auto"/>
          <w:highlight w:val="none"/>
        </w:rPr>
        <w:t>见</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w:t>
      </w:r>
    </w:p>
    <w:p w14:paraId="78234F44">
      <w:pPr>
        <w:pStyle w:val="5"/>
        <w:rPr>
          <w:rFonts w:hint="eastAsia"/>
          <w:color w:val="auto"/>
          <w:highlight w:val="none"/>
        </w:rPr>
      </w:pPr>
      <w:bookmarkStart w:id="426" w:name="_Toc24406"/>
      <w:bookmarkStart w:id="427" w:name="_Toc1146868592"/>
      <w:bookmarkStart w:id="428" w:name="_Toc78449690"/>
      <w:r>
        <w:rPr>
          <w:color w:val="auto"/>
          <w:highlight w:val="none"/>
        </w:rPr>
        <w:t>10.1</w:t>
      </w:r>
      <w:r>
        <w:rPr>
          <w:rFonts w:hint="eastAsia"/>
          <w:color w:val="auto"/>
          <w:highlight w:val="none"/>
          <w:lang w:val="en-US" w:eastAsia="zh-CN"/>
        </w:rPr>
        <w:t>6</w:t>
      </w:r>
      <w:r>
        <w:rPr>
          <w:color w:val="auto"/>
          <w:highlight w:val="none"/>
        </w:rPr>
        <w:t xml:space="preserve"> </w:t>
      </w:r>
      <w:r>
        <w:rPr>
          <w:rFonts w:hint="eastAsia"/>
          <w:color w:val="auto"/>
          <w:highlight w:val="none"/>
        </w:rPr>
        <w:t>投标人提交投标文件、参加开标会须提交的文件等格式</w:t>
      </w:r>
      <w:bookmarkEnd w:id="426"/>
      <w:bookmarkEnd w:id="427"/>
      <w:bookmarkEnd w:id="428"/>
      <w:r>
        <w:rPr>
          <w:rFonts w:hint="eastAsia"/>
          <w:color w:val="auto"/>
          <w:highlight w:val="none"/>
        </w:rPr>
        <w:t xml:space="preserve"> </w:t>
      </w:r>
    </w:p>
    <w:p w14:paraId="59D07051">
      <w:pPr>
        <w:ind w:firstLine="420" w:firstLineChars="200"/>
        <w:rPr>
          <w:color w:val="auto"/>
          <w:highlight w:val="none"/>
          <w:lang w:val="zh-CN"/>
        </w:rPr>
      </w:pPr>
      <w:r>
        <w:rPr>
          <w:rFonts w:hint="eastAsia" w:cs="宋体"/>
          <w:color w:val="auto"/>
          <w:highlight w:val="none"/>
        </w:rPr>
        <w:t>见第九章。</w:t>
      </w:r>
    </w:p>
    <w:p w14:paraId="32710DDF">
      <w:pPr>
        <w:spacing w:line="480" w:lineRule="auto"/>
        <w:jc w:val="center"/>
        <w:rPr>
          <w:b/>
          <w:bCs/>
          <w:color w:val="auto"/>
          <w:sz w:val="28"/>
          <w:szCs w:val="28"/>
          <w:highlight w:val="none"/>
        </w:rPr>
        <w:sectPr>
          <w:footerReference r:id="rId4" w:type="default"/>
          <w:pgSz w:w="11906" w:h="16838"/>
          <w:pgMar w:top="1440" w:right="1440" w:bottom="1440" w:left="1797" w:header="851" w:footer="851" w:gutter="0"/>
          <w:cols w:space="720" w:num="1"/>
          <w:docGrid w:linePitch="312" w:charSpace="0"/>
        </w:sectPr>
      </w:pPr>
    </w:p>
    <w:p w14:paraId="445F732C">
      <w:pPr>
        <w:widowControl/>
        <w:ind w:firstLine="420" w:firstLineChars="200"/>
        <w:jc w:val="left"/>
        <w:rPr>
          <w:color w:val="auto"/>
          <w:highlight w:val="none"/>
        </w:rPr>
      </w:pPr>
    </w:p>
    <w:p w14:paraId="3059E645">
      <w:pPr>
        <w:pStyle w:val="3"/>
        <w:jc w:val="center"/>
        <w:rPr>
          <w:color w:val="auto"/>
          <w:highlight w:val="none"/>
        </w:rPr>
      </w:pPr>
      <w:bookmarkStart w:id="429" w:name="_Toc29783"/>
      <w:bookmarkStart w:id="430" w:name="_Toc78449733"/>
      <w:bookmarkStart w:id="431" w:name="_Toc407135168"/>
      <w:bookmarkStart w:id="432" w:name="_Toc190382899"/>
      <w:bookmarkStart w:id="433" w:name="_Toc389065238"/>
      <w:bookmarkStart w:id="434" w:name="_Toc184635071"/>
      <w:r>
        <w:rPr>
          <w:rFonts w:hint="eastAsia" w:cs="黑体"/>
          <w:color w:val="auto"/>
          <w:highlight w:val="none"/>
        </w:rPr>
        <w:t>第三章</w:t>
      </w:r>
      <w:r>
        <w:rPr>
          <w:color w:val="auto"/>
          <w:highlight w:val="none"/>
        </w:rPr>
        <w:t xml:space="preserve">  </w:t>
      </w:r>
      <w:r>
        <w:rPr>
          <w:rFonts w:hint="eastAsia" w:cs="黑体"/>
          <w:color w:val="auto"/>
          <w:highlight w:val="none"/>
        </w:rPr>
        <w:t>评标办法（综合评估法）</w:t>
      </w:r>
      <w:bookmarkEnd w:id="429"/>
      <w:bookmarkEnd w:id="430"/>
      <w:bookmarkEnd w:id="431"/>
      <w:bookmarkEnd w:id="432"/>
      <w:bookmarkEnd w:id="433"/>
    </w:p>
    <w:p w14:paraId="38634FA5">
      <w:pPr>
        <w:pStyle w:val="3"/>
        <w:jc w:val="center"/>
        <w:rPr>
          <w:color w:val="auto"/>
          <w:highlight w:val="none"/>
        </w:rPr>
      </w:pPr>
      <w:bookmarkStart w:id="435" w:name="_Toc78449734"/>
      <w:bookmarkStart w:id="436" w:name="_Toc407135169"/>
      <w:bookmarkStart w:id="437" w:name="_Toc20976"/>
      <w:bookmarkStart w:id="438" w:name="_Toc389065239"/>
      <w:bookmarkStart w:id="439" w:name="_Toc734019074"/>
      <w:r>
        <w:rPr>
          <w:rFonts w:hint="eastAsia" w:cs="黑体"/>
          <w:color w:val="auto"/>
          <w:highlight w:val="none"/>
        </w:rPr>
        <w:t>评标办法前附表</w:t>
      </w:r>
      <w:bookmarkEnd w:id="435"/>
      <w:bookmarkEnd w:id="436"/>
      <w:bookmarkEnd w:id="437"/>
      <w:bookmarkEnd w:id="438"/>
      <w:bookmarkEnd w:id="439"/>
    </w:p>
    <w:tbl>
      <w:tblPr>
        <w:tblStyle w:val="41"/>
        <w:tblW w:w="10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9"/>
        <w:gridCol w:w="1382"/>
        <w:gridCol w:w="561"/>
        <w:gridCol w:w="94"/>
        <w:gridCol w:w="1600"/>
        <w:gridCol w:w="236"/>
        <w:gridCol w:w="5369"/>
        <w:gridCol w:w="52"/>
      </w:tblGrid>
      <w:tr w14:paraId="0D6F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shd w:val="clear" w:color="auto" w:fill="E6E6E6"/>
            <w:noWrap w:val="0"/>
            <w:vAlign w:val="center"/>
          </w:tcPr>
          <w:p w14:paraId="15CCC2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条款号</w:t>
            </w:r>
          </w:p>
        </w:tc>
        <w:tc>
          <w:tcPr>
            <w:tcW w:w="3637" w:type="dxa"/>
            <w:gridSpan w:val="4"/>
            <w:shd w:val="clear" w:color="auto" w:fill="E6E6E6"/>
            <w:noWrap w:val="0"/>
            <w:vAlign w:val="center"/>
          </w:tcPr>
          <w:p w14:paraId="0FD759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评审因素</w:t>
            </w:r>
          </w:p>
        </w:tc>
        <w:tc>
          <w:tcPr>
            <w:tcW w:w="5657" w:type="dxa"/>
            <w:gridSpan w:val="3"/>
            <w:shd w:val="clear" w:color="auto" w:fill="E6E6E6"/>
            <w:noWrap w:val="0"/>
            <w:vAlign w:val="center"/>
          </w:tcPr>
          <w:p w14:paraId="5BBBE6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评审标准</w:t>
            </w:r>
          </w:p>
        </w:tc>
      </w:tr>
      <w:tr w14:paraId="3F92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restart"/>
            <w:shd w:val="clear" w:color="auto" w:fill="E6E6E6"/>
            <w:noWrap w:val="0"/>
            <w:vAlign w:val="center"/>
          </w:tcPr>
          <w:p w14:paraId="4FF04B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default" w:ascii="Calibri" w:hAnsi="Calibri" w:eastAsia="宋体" w:cs="Times New Roman"/>
                <w:color w:val="auto"/>
                <w:highlight w:val="none"/>
                <w:shd w:val="clear" w:color="auto" w:fill="auto"/>
              </w:rPr>
              <w:t>2.1.1</w:t>
            </w:r>
          </w:p>
        </w:tc>
        <w:tc>
          <w:tcPr>
            <w:tcW w:w="1382" w:type="dxa"/>
            <w:vMerge w:val="restart"/>
            <w:shd w:val="clear" w:color="auto" w:fill="E6E6E6"/>
            <w:noWrap w:val="0"/>
            <w:vAlign w:val="center"/>
          </w:tcPr>
          <w:p w14:paraId="67747F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形式</w:t>
            </w:r>
          </w:p>
          <w:p w14:paraId="00DA41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评审标准</w:t>
            </w:r>
          </w:p>
        </w:tc>
        <w:tc>
          <w:tcPr>
            <w:tcW w:w="7912" w:type="dxa"/>
            <w:gridSpan w:val="6"/>
            <w:shd w:val="clear" w:color="auto" w:fill="E6E6E6"/>
            <w:noWrap w:val="0"/>
            <w:vAlign w:val="center"/>
          </w:tcPr>
          <w:p w14:paraId="5B89A1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b/>
                <w:bCs/>
                <w:color w:val="auto"/>
                <w:highlight w:val="none"/>
                <w:shd w:val="clear" w:color="auto" w:fill="auto"/>
              </w:rPr>
              <w:t>合格标准：缺少任何一项或有任何一项不合格者，其形式评审视为不合格</w:t>
            </w:r>
          </w:p>
        </w:tc>
      </w:tr>
      <w:tr w14:paraId="51FA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5B0C8A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vMerge w:val="continue"/>
            <w:shd w:val="clear" w:color="auto" w:fill="E6E6E6"/>
            <w:noWrap w:val="0"/>
            <w:vAlign w:val="center"/>
          </w:tcPr>
          <w:p w14:paraId="43A9B5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05BCD2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投标人名称</w:t>
            </w:r>
          </w:p>
        </w:tc>
        <w:tc>
          <w:tcPr>
            <w:tcW w:w="5657" w:type="dxa"/>
            <w:gridSpan w:val="3"/>
            <w:shd w:val="clear" w:color="auto" w:fill="E6E6E6"/>
            <w:noWrap w:val="0"/>
            <w:vAlign w:val="center"/>
          </w:tcPr>
          <w:p w14:paraId="1CE7F0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与营业执照、资质证书、安全生产许可证一致</w:t>
            </w:r>
          </w:p>
        </w:tc>
      </w:tr>
      <w:tr w14:paraId="7BF83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38A1F6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vMerge w:val="continue"/>
            <w:shd w:val="clear" w:color="auto" w:fill="E6E6E6"/>
            <w:noWrap w:val="0"/>
            <w:vAlign w:val="center"/>
          </w:tcPr>
          <w:p w14:paraId="50680C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7894A8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投标函盖章</w:t>
            </w:r>
          </w:p>
        </w:tc>
        <w:tc>
          <w:tcPr>
            <w:tcW w:w="5657" w:type="dxa"/>
            <w:gridSpan w:val="3"/>
            <w:shd w:val="clear" w:color="auto" w:fill="E6E6E6"/>
            <w:noWrap w:val="0"/>
            <w:vAlign w:val="center"/>
          </w:tcPr>
          <w:p w14:paraId="7AA084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盖法人单位电子印章</w:t>
            </w:r>
          </w:p>
        </w:tc>
      </w:tr>
      <w:tr w14:paraId="3D5D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597D92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vMerge w:val="continue"/>
            <w:shd w:val="clear" w:color="auto" w:fill="E6E6E6"/>
            <w:noWrap w:val="0"/>
            <w:vAlign w:val="center"/>
          </w:tcPr>
          <w:p w14:paraId="16C75C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3E1B6D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lang w:val="en-US" w:eastAsia="zh-CN"/>
              </w:rPr>
              <w:t>投</w:t>
            </w:r>
            <w:r>
              <w:rPr>
                <w:rFonts w:hint="eastAsia" w:ascii="Calibri" w:hAnsi="Calibri" w:eastAsia="宋体" w:cs="宋体"/>
                <w:color w:val="auto"/>
                <w:highlight w:val="none"/>
                <w:shd w:val="clear" w:color="auto" w:fill="auto"/>
              </w:rPr>
              <w:t>标总价封面</w:t>
            </w:r>
            <w:r>
              <w:rPr>
                <w:rFonts w:hint="eastAsia" w:ascii="Calibri" w:hAnsi="Calibri" w:eastAsia="宋体" w:cs="宋体"/>
                <w:color w:val="auto"/>
                <w:highlight w:val="none"/>
                <w:shd w:val="clear" w:color="auto" w:fill="auto"/>
                <w:lang w:eastAsia="zh-CN"/>
              </w:rPr>
              <w:t>扫描件</w:t>
            </w:r>
          </w:p>
        </w:tc>
        <w:tc>
          <w:tcPr>
            <w:tcW w:w="5657" w:type="dxa"/>
            <w:gridSpan w:val="3"/>
            <w:shd w:val="clear" w:color="auto" w:fill="E6E6E6"/>
            <w:noWrap w:val="0"/>
            <w:vAlign w:val="center"/>
          </w:tcPr>
          <w:p w14:paraId="6042DB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在投标总价封面规定的相关位置盖投标人法人单位电子印章</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并由法定代表人盖电子签字章</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或盖电子</w:t>
            </w:r>
            <w:r>
              <w:rPr>
                <w:rFonts w:hint="eastAsia" w:ascii="Calibri" w:hAnsi="Calibri" w:cs="宋体"/>
                <w:color w:val="auto"/>
                <w:highlight w:val="none"/>
                <w:shd w:val="clear" w:color="auto" w:fill="auto"/>
                <w:lang w:val="en-US" w:eastAsia="zh-CN"/>
              </w:rPr>
              <w:t>印</w:t>
            </w:r>
            <w:r>
              <w:rPr>
                <w:rFonts w:hint="eastAsia" w:ascii="Calibri" w:hAnsi="Calibri" w:eastAsia="宋体" w:cs="宋体"/>
                <w:color w:val="auto"/>
                <w:highlight w:val="none"/>
                <w:shd w:val="clear" w:color="auto" w:fill="auto"/>
              </w:rPr>
              <w:t>章</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编制人在投标总价封面规定的相关位置签字盖专用章。</w:t>
            </w:r>
          </w:p>
        </w:tc>
      </w:tr>
      <w:tr w14:paraId="5B59D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4DF023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vMerge w:val="continue"/>
            <w:shd w:val="clear" w:color="auto" w:fill="E6E6E6"/>
            <w:noWrap w:val="0"/>
            <w:vAlign w:val="center"/>
          </w:tcPr>
          <w:p w14:paraId="569474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2324C6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投标文件格式</w:t>
            </w:r>
          </w:p>
        </w:tc>
        <w:tc>
          <w:tcPr>
            <w:tcW w:w="5657" w:type="dxa"/>
            <w:gridSpan w:val="3"/>
            <w:shd w:val="clear" w:color="auto" w:fill="E6E6E6"/>
            <w:noWrap w:val="0"/>
            <w:vAlign w:val="center"/>
          </w:tcPr>
          <w:p w14:paraId="5B11A9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符合第九章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投标文件格式</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的要求</w:t>
            </w:r>
          </w:p>
        </w:tc>
      </w:tr>
      <w:tr w14:paraId="0F645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36C2DA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vMerge w:val="continue"/>
            <w:shd w:val="clear" w:color="auto" w:fill="E6E6E6"/>
            <w:noWrap w:val="0"/>
            <w:vAlign w:val="center"/>
          </w:tcPr>
          <w:p w14:paraId="09395A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2AE32A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联合体投标人</w:t>
            </w:r>
            <w:r>
              <w:rPr>
                <w:rFonts w:hint="eastAsia" w:ascii="楷体_GB2312" w:hAnsi="Calibri" w:eastAsia="楷体_GB2312" w:cs="楷体_GB2312"/>
                <w:color w:val="auto"/>
                <w:highlight w:val="none"/>
                <w:shd w:val="clear" w:color="auto" w:fill="auto"/>
              </w:rPr>
              <w:t>（如有）</w:t>
            </w:r>
          </w:p>
        </w:tc>
        <w:tc>
          <w:tcPr>
            <w:tcW w:w="5657" w:type="dxa"/>
            <w:gridSpan w:val="3"/>
            <w:shd w:val="clear" w:color="auto" w:fill="E6E6E6"/>
            <w:noWrap w:val="0"/>
            <w:vAlign w:val="center"/>
          </w:tcPr>
          <w:p w14:paraId="171DDF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提交联合体协议书，并明确联合体牵头人</w:t>
            </w:r>
          </w:p>
        </w:tc>
      </w:tr>
      <w:tr w14:paraId="0633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5D093B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vMerge w:val="continue"/>
            <w:shd w:val="clear" w:color="auto" w:fill="E6E6E6"/>
            <w:noWrap w:val="0"/>
            <w:vAlign w:val="center"/>
          </w:tcPr>
          <w:p w14:paraId="7D7B6B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vMerge w:val="restart"/>
            <w:shd w:val="clear" w:color="auto" w:fill="E6E6E6"/>
            <w:noWrap w:val="0"/>
            <w:vAlign w:val="center"/>
          </w:tcPr>
          <w:p w14:paraId="2008CF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报价</w:t>
            </w:r>
          </w:p>
        </w:tc>
        <w:tc>
          <w:tcPr>
            <w:tcW w:w="5657" w:type="dxa"/>
            <w:gridSpan w:val="3"/>
            <w:shd w:val="clear" w:color="auto" w:fill="E6E6E6"/>
            <w:noWrap w:val="0"/>
            <w:vAlign w:val="center"/>
          </w:tcPr>
          <w:p w14:paraId="131346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报价唯一</w:t>
            </w:r>
            <w:r>
              <w:rPr>
                <w:rFonts w:hint="eastAsia" w:ascii="Calibri" w:hAnsi="Calibri" w:eastAsia="宋体" w:cs="宋体"/>
                <w:color w:val="auto"/>
                <w:highlight w:val="none"/>
                <w:shd w:val="clear" w:color="auto" w:fill="auto"/>
                <w:lang w:eastAsia="zh-CN"/>
              </w:rPr>
              <w:t>，</w:t>
            </w:r>
            <w:r>
              <w:rPr>
                <w:rFonts w:hint="eastAsia" w:ascii="Calibri" w:hAnsi="Calibri" w:eastAsia="宋体" w:cs="宋体"/>
                <w:color w:val="auto"/>
                <w:highlight w:val="none"/>
                <w:shd w:val="clear" w:color="auto" w:fill="auto"/>
              </w:rPr>
              <w:t>只能有一个有效报价。</w:t>
            </w:r>
          </w:p>
        </w:tc>
      </w:tr>
      <w:tr w14:paraId="1DF7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7EAC91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vMerge w:val="continue"/>
            <w:shd w:val="clear" w:color="auto" w:fill="E6E6E6"/>
            <w:noWrap w:val="0"/>
            <w:vAlign w:val="center"/>
          </w:tcPr>
          <w:p w14:paraId="112761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vMerge w:val="continue"/>
            <w:shd w:val="clear" w:color="auto" w:fill="E6E6E6"/>
            <w:noWrap w:val="0"/>
            <w:vAlign w:val="center"/>
          </w:tcPr>
          <w:p w14:paraId="5F4B3F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5657" w:type="dxa"/>
            <w:gridSpan w:val="3"/>
            <w:shd w:val="clear" w:color="auto" w:fill="E6E6E6"/>
            <w:noWrap w:val="0"/>
            <w:vAlign w:val="center"/>
          </w:tcPr>
          <w:p w14:paraId="7F3F80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所有投标报价均大于等于</w:t>
            </w:r>
            <w:r>
              <w:rPr>
                <w:rFonts w:hint="eastAsia" w:ascii="Calibri" w:hAnsi="Calibri" w:eastAsia="宋体" w:cs="宋体"/>
                <w:color w:val="auto"/>
                <w:highlight w:val="none"/>
                <w:shd w:val="clear" w:color="auto" w:fill="auto"/>
                <w:lang w:eastAsia="zh-CN"/>
              </w:rPr>
              <w:t>最高投标限价</w:t>
            </w:r>
            <w:r>
              <w:rPr>
                <w:rFonts w:hint="default" w:ascii="Calibri" w:hAnsi="Calibri" w:eastAsia="宋体" w:cs="宋体"/>
                <w:color w:val="auto"/>
                <w:highlight w:val="none"/>
                <w:shd w:val="clear" w:color="auto" w:fill="auto"/>
              </w:rPr>
              <w:t>x</w:t>
            </w:r>
            <w:r>
              <w:rPr>
                <w:rFonts w:hint="eastAsia" w:ascii="Calibri" w:hAnsi="Calibri" w:eastAsia="宋体" w:cs="宋体"/>
                <w:color w:val="auto"/>
                <w:highlight w:val="none"/>
                <w:shd w:val="clear" w:color="auto" w:fill="auto"/>
              </w:rPr>
              <w:t>（1-D%）的，则本项目招标失败，由招标人依法重新招标。D=</w:t>
            </w:r>
            <w:r>
              <w:rPr>
                <w:rFonts w:hint="eastAsia" w:ascii="Calibri" w:hAnsi="Calibri" w:eastAsia="宋体" w:cs="宋体"/>
                <w:color w:val="auto"/>
                <w:highlight w:val="none"/>
                <w:u w:val="single"/>
                <w:shd w:val="clear" w:color="auto" w:fill="auto"/>
              </w:rPr>
              <w:t xml:space="preserve">    </w:t>
            </w:r>
            <w:r>
              <w:rPr>
                <w:rFonts w:hint="eastAsia" w:ascii="方正楷体_GB2312" w:hAnsi="方正楷体_GB2312" w:eastAsia="方正楷体_GB2312" w:cs="方正楷体_GB2312"/>
                <w:color w:val="auto"/>
                <w:highlight w:val="none"/>
                <w:shd w:val="clear" w:color="auto" w:fill="auto"/>
              </w:rPr>
              <w:t>（备注：由招标人在招标文件中确定，D值可取0~5）</w:t>
            </w:r>
          </w:p>
        </w:tc>
      </w:tr>
      <w:tr w14:paraId="413B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514AF5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vMerge w:val="continue"/>
            <w:shd w:val="clear" w:color="auto" w:fill="E6E6E6"/>
            <w:noWrap w:val="0"/>
            <w:vAlign w:val="center"/>
          </w:tcPr>
          <w:p w14:paraId="2EA37F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5A5DF3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default" w:ascii="Calibri" w:hAnsi="Calibri" w:eastAsia="宋体" w:cs="Times New Roman"/>
                <w:color w:val="auto"/>
                <w:highlight w:val="none"/>
                <w:shd w:val="clear" w:color="auto" w:fill="auto"/>
              </w:rPr>
              <w:t>……</w:t>
            </w:r>
          </w:p>
        </w:tc>
        <w:tc>
          <w:tcPr>
            <w:tcW w:w="5657" w:type="dxa"/>
            <w:gridSpan w:val="3"/>
            <w:shd w:val="clear" w:color="auto" w:fill="E6E6E6"/>
            <w:noWrap w:val="0"/>
            <w:vAlign w:val="center"/>
          </w:tcPr>
          <w:p w14:paraId="5144FB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default" w:ascii="Calibri" w:hAnsi="Calibri" w:eastAsia="宋体" w:cs="Times New Roman"/>
                <w:color w:val="auto"/>
                <w:highlight w:val="none"/>
                <w:shd w:val="clear" w:color="auto" w:fill="auto"/>
              </w:rPr>
              <w:t>……</w:t>
            </w:r>
          </w:p>
        </w:tc>
      </w:tr>
      <w:tr w14:paraId="52CC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restart"/>
            <w:shd w:val="clear" w:color="auto" w:fill="E6E6E6"/>
            <w:noWrap w:val="0"/>
            <w:vAlign w:val="center"/>
          </w:tcPr>
          <w:p w14:paraId="363216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default" w:ascii="Calibri" w:hAnsi="Calibri" w:eastAsia="宋体" w:cs="Times New Roman"/>
                <w:color w:val="auto"/>
                <w:highlight w:val="none"/>
                <w:shd w:val="clear" w:color="auto" w:fill="auto"/>
              </w:rPr>
              <w:t>2.1.2</w:t>
            </w:r>
          </w:p>
        </w:tc>
        <w:tc>
          <w:tcPr>
            <w:tcW w:w="1382" w:type="dxa"/>
            <w:vMerge w:val="restart"/>
            <w:shd w:val="clear" w:color="auto" w:fill="E6E6E6"/>
            <w:noWrap w:val="0"/>
            <w:vAlign w:val="center"/>
          </w:tcPr>
          <w:p w14:paraId="14957C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响应性</w:t>
            </w:r>
          </w:p>
          <w:p w14:paraId="10EE9B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评审标准</w:t>
            </w:r>
          </w:p>
          <w:p w14:paraId="4980D7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楷体_GB2312" w:cs="楷体_GB2312"/>
                <w:color w:val="auto"/>
                <w:highlight w:val="none"/>
                <w:shd w:val="clear" w:color="auto" w:fill="auto"/>
              </w:rPr>
              <w:t>【备注：招标人可按项目需求分为商务标响应性评审和技术标响应性评审两部分】</w:t>
            </w:r>
          </w:p>
        </w:tc>
        <w:tc>
          <w:tcPr>
            <w:tcW w:w="7912" w:type="dxa"/>
            <w:gridSpan w:val="6"/>
            <w:shd w:val="clear" w:color="auto" w:fill="E6E6E6"/>
            <w:noWrap w:val="0"/>
            <w:vAlign w:val="center"/>
          </w:tcPr>
          <w:p w14:paraId="6D9919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b/>
                <w:bCs/>
                <w:color w:val="auto"/>
                <w:highlight w:val="none"/>
                <w:shd w:val="clear" w:color="auto" w:fill="auto"/>
              </w:rPr>
              <w:t>合格标准：缺少任何一项或有任何一项不合格者，其响应性评审视为不合格</w:t>
            </w:r>
          </w:p>
        </w:tc>
      </w:tr>
      <w:tr w14:paraId="0D1C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28EC01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vMerge w:val="continue"/>
            <w:shd w:val="clear" w:color="auto" w:fill="E6E6E6"/>
            <w:noWrap w:val="0"/>
            <w:vAlign w:val="center"/>
          </w:tcPr>
          <w:p w14:paraId="7E6E4D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3040F5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投标内容</w:t>
            </w:r>
          </w:p>
        </w:tc>
        <w:tc>
          <w:tcPr>
            <w:tcW w:w="5657" w:type="dxa"/>
            <w:gridSpan w:val="3"/>
            <w:shd w:val="clear" w:color="auto" w:fill="E6E6E6"/>
            <w:noWrap w:val="0"/>
            <w:vAlign w:val="center"/>
          </w:tcPr>
          <w:p w14:paraId="170D4E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1.3.1</w:t>
            </w:r>
            <w:r>
              <w:rPr>
                <w:rFonts w:hint="eastAsia" w:ascii="Calibri" w:hAnsi="Calibri" w:eastAsia="宋体" w:cs="宋体"/>
                <w:color w:val="auto"/>
                <w:highlight w:val="none"/>
                <w:shd w:val="clear" w:color="auto" w:fill="auto"/>
              </w:rPr>
              <w:t>项规定</w:t>
            </w:r>
          </w:p>
        </w:tc>
      </w:tr>
      <w:tr w14:paraId="14C57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45037C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vMerge w:val="continue"/>
            <w:shd w:val="clear" w:color="auto" w:fill="E6E6E6"/>
            <w:noWrap w:val="0"/>
            <w:vAlign w:val="center"/>
          </w:tcPr>
          <w:p w14:paraId="099FFA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101686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工期</w:t>
            </w:r>
          </w:p>
        </w:tc>
        <w:tc>
          <w:tcPr>
            <w:tcW w:w="5657" w:type="dxa"/>
            <w:gridSpan w:val="3"/>
            <w:shd w:val="clear" w:color="auto" w:fill="E6E6E6"/>
            <w:noWrap w:val="0"/>
            <w:vAlign w:val="center"/>
          </w:tcPr>
          <w:p w14:paraId="7EA57E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1.3.2</w:t>
            </w:r>
            <w:r>
              <w:rPr>
                <w:rFonts w:hint="eastAsia" w:ascii="Calibri" w:hAnsi="Calibri" w:eastAsia="宋体" w:cs="宋体"/>
                <w:color w:val="auto"/>
                <w:highlight w:val="none"/>
                <w:shd w:val="clear" w:color="auto" w:fill="auto"/>
              </w:rPr>
              <w:t>项规定</w:t>
            </w:r>
          </w:p>
        </w:tc>
      </w:tr>
      <w:tr w14:paraId="1DBE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75BC13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vMerge w:val="continue"/>
            <w:shd w:val="clear" w:color="auto" w:fill="E6E6E6"/>
            <w:noWrap w:val="0"/>
            <w:vAlign w:val="center"/>
          </w:tcPr>
          <w:p w14:paraId="77940C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7B640D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工程质量</w:t>
            </w:r>
          </w:p>
        </w:tc>
        <w:tc>
          <w:tcPr>
            <w:tcW w:w="5657" w:type="dxa"/>
            <w:gridSpan w:val="3"/>
            <w:shd w:val="clear" w:color="auto" w:fill="E6E6E6"/>
            <w:noWrap w:val="0"/>
            <w:vAlign w:val="center"/>
          </w:tcPr>
          <w:p w14:paraId="525953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1.3.3</w:t>
            </w:r>
            <w:r>
              <w:rPr>
                <w:rFonts w:hint="eastAsia" w:ascii="Calibri" w:hAnsi="Calibri" w:eastAsia="宋体" w:cs="宋体"/>
                <w:color w:val="auto"/>
                <w:highlight w:val="none"/>
                <w:shd w:val="clear" w:color="auto" w:fill="auto"/>
              </w:rPr>
              <w:t>项规定</w:t>
            </w:r>
          </w:p>
        </w:tc>
      </w:tr>
      <w:tr w14:paraId="7805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35947E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vMerge w:val="continue"/>
            <w:shd w:val="clear" w:color="auto" w:fill="E6E6E6"/>
            <w:noWrap w:val="0"/>
            <w:vAlign w:val="center"/>
          </w:tcPr>
          <w:p w14:paraId="122053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12DE5C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投标有效期</w:t>
            </w:r>
          </w:p>
        </w:tc>
        <w:tc>
          <w:tcPr>
            <w:tcW w:w="5657" w:type="dxa"/>
            <w:gridSpan w:val="3"/>
            <w:shd w:val="clear" w:color="auto" w:fill="E6E6E6"/>
            <w:noWrap w:val="0"/>
            <w:vAlign w:val="center"/>
          </w:tcPr>
          <w:p w14:paraId="422B0A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3.3.1</w:t>
            </w:r>
            <w:r>
              <w:rPr>
                <w:rFonts w:hint="eastAsia" w:ascii="Calibri" w:hAnsi="Calibri" w:eastAsia="宋体" w:cs="宋体"/>
                <w:color w:val="auto"/>
                <w:highlight w:val="none"/>
                <w:shd w:val="clear" w:color="auto" w:fill="auto"/>
              </w:rPr>
              <w:t>项规定</w:t>
            </w:r>
          </w:p>
        </w:tc>
      </w:tr>
      <w:tr w14:paraId="40D7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353B85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vMerge w:val="continue"/>
            <w:shd w:val="clear" w:color="auto" w:fill="E6E6E6"/>
            <w:noWrap w:val="0"/>
            <w:vAlign w:val="center"/>
          </w:tcPr>
          <w:p w14:paraId="5C661D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27DDE6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权利义务</w:t>
            </w:r>
          </w:p>
        </w:tc>
        <w:tc>
          <w:tcPr>
            <w:tcW w:w="5657" w:type="dxa"/>
            <w:gridSpan w:val="3"/>
            <w:shd w:val="clear" w:color="auto" w:fill="E6E6E6"/>
            <w:noWrap w:val="0"/>
            <w:vAlign w:val="center"/>
          </w:tcPr>
          <w:p w14:paraId="2B65B7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投标函附录中的相关承诺符合或优于第四章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合同条款及格式</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的相关规定</w:t>
            </w:r>
          </w:p>
        </w:tc>
      </w:tr>
      <w:tr w14:paraId="0571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3C661E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vMerge w:val="continue"/>
            <w:shd w:val="clear" w:color="auto" w:fill="E6E6E6"/>
            <w:noWrap w:val="0"/>
            <w:vAlign w:val="center"/>
          </w:tcPr>
          <w:p w14:paraId="42D0DC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220237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技术标准和要求</w:t>
            </w:r>
          </w:p>
        </w:tc>
        <w:tc>
          <w:tcPr>
            <w:tcW w:w="5657" w:type="dxa"/>
            <w:gridSpan w:val="3"/>
            <w:shd w:val="clear" w:color="auto" w:fill="E6E6E6"/>
            <w:noWrap w:val="0"/>
            <w:vAlign w:val="center"/>
          </w:tcPr>
          <w:p w14:paraId="5E9D5C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符合第八章</w:t>
            </w:r>
            <w:r>
              <w:rPr>
                <w:rFonts w:hint="default" w:ascii="Calibri" w:hAnsi="Calibri" w:eastAsia="宋体" w:cs="Times New Roman"/>
                <w:color w:val="auto"/>
                <w:highlight w:val="none"/>
                <w:shd w:val="clear" w:color="auto" w:fill="auto"/>
              </w:rPr>
              <w:t xml:space="preserve"> </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技术标准和要求</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规定（包括建筑材料和设备的节能环保要求）</w:t>
            </w:r>
          </w:p>
        </w:tc>
      </w:tr>
      <w:tr w14:paraId="123E5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02AE00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vMerge w:val="continue"/>
            <w:shd w:val="clear" w:color="auto" w:fill="E6E6E6"/>
            <w:noWrap w:val="0"/>
            <w:vAlign w:val="center"/>
          </w:tcPr>
          <w:p w14:paraId="3E0661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251D49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投标价格</w:t>
            </w:r>
          </w:p>
        </w:tc>
        <w:tc>
          <w:tcPr>
            <w:tcW w:w="5657" w:type="dxa"/>
            <w:gridSpan w:val="3"/>
            <w:shd w:val="clear" w:color="auto" w:fill="E6E6E6"/>
            <w:noWrap w:val="0"/>
            <w:vAlign w:val="center"/>
          </w:tcPr>
          <w:p w14:paraId="36D6DB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低于（含等于）招标人公布的</w:t>
            </w:r>
            <w:r>
              <w:rPr>
                <w:rFonts w:hint="eastAsia" w:ascii="Calibri" w:hAnsi="Calibri" w:eastAsia="宋体" w:cs="宋体"/>
                <w:color w:val="auto"/>
                <w:highlight w:val="none"/>
                <w:shd w:val="clear" w:color="auto" w:fill="auto"/>
                <w:lang w:eastAsia="zh-CN"/>
              </w:rPr>
              <w:t>最高投标限价</w:t>
            </w:r>
            <w:r>
              <w:rPr>
                <w:rFonts w:hint="eastAsia" w:ascii="Calibri" w:hAnsi="Calibri" w:eastAsia="宋体" w:cs="宋体"/>
                <w:color w:val="auto"/>
                <w:highlight w:val="none"/>
                <w:shd w:val="clear" w:color="auto" w:fill="auto"/>
              </w:rPr>
              <w:t>且无本章附件</w:t>
            </w:r>
            <w:r>
              <w:rPr>
                <w:rFonts w:hint="default" w:ascii="Calibri" w:hAnsi="Calibri" w:eastAsia="宋体" w:cs="Times New Roman"/>
                <w:color w:val="auto"/>
                <w:highlight w:val="none"/>
                <w:shd w:val="clear" w:color="auto" w:fill="auto"/>
              </w:rPr>
              <w:t>B</w:t>
            </w:r>
            <w:r>
              <w:rPr>
                <w:rFonts w:hint="eastAsia" w:ascii="Calibri" w:hAnsi="Calibri" w:eastAsia="宋体" w:cs="宋体"/>
                <w:color w:val="auto"/>
                <w:highlight w:val="none"/>
                <w:shd w:val="clear" w:color="auto" w:fill="auto"/>
              </w:rPr>
              <w:t>否决投标条件的相应情况的。</w:t>
            </w:r>
          </w:p>
        </w:tc>
      </w:tr>
      <w:tr w14:paraId="3DE7F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4BFE47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vMerge w:val="continue"/>
            <w:shd w:val="clear" w:color="auto" w:fill="E6E6E6"/>
            <w:noWrap w:val="0"/>
            <w:vAlign w:val="center"/>
          </w:tcPr>
          <w:p w14:paraId="1091CE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29457D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分包计划</w:t>
            </w:r>
          </w:p>
        </w:tc>
        <w:tc>
          <w:tcPr>
            <w:tcW w:w="5657" w:type="dxa"/>
            <w:gridSpan w:val="3"/>
            <w:shd w:val="clear" w:color="auto" w:fill="E6E6E6"/>
            <w:noWrap w:val="0"/>
            <w:vAlign w:val="center"/>
          </w:tcPr>
          <w:p w14:paraId="20BDC2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符合第二章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1.11</w:t>
            </w:r>
            <w:r>
              <w:rPr>
                <w:rFonts w:hint="eastAsia" w:ascii="Calibri" w:hAnsi="Calibri" w:eastAsia="宋体" w:cs="宋体"/>
                <w:color w:val="auto"/>
                <w:highlight w:val="none"/>
                <w:shd w:val="clear" w:color="auto" w:fill="auto"/>
              </w:rPr>
              <w:t>款规定</w:t>
            </w:r>
          </w:p>
        </w:tc>
      </w:tr>
      <w:tr w14:paraId="3DE7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67FD0B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vMerge w:val="continue"/>
            <w:shd w:val="clear" w:color="auto" w:fill="E6E6E6"/>
            <w:noWrap w:val="0"/>
            <w:vAlign w:val="center"/>
          </w:tcPr>
          <w:p w14:paraId="1767F5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4F2878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已标价工程量清单</w:t>
            </w:r>
          </w:p>
        </w:tc>
        <w:tc>
          <w:tcPr>
            <w:tcW w:w="5657" w:type="dxa"/>
            <w:gridSpan w:val="3"/>
            <w:shd w:val="clear" w:color="auto" w:fill="E6E6E6"/>
            <w:noWrap w:val="0"/>
            <w:vAlign w:val="center"/>
          </w:tcPr>
          <w:p w14:paraId="2E3ADB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无本章附件</w:t>
            </w:r>
            <w:r>
              <w:rPr>
                <w:rFonts w:hint="default" w:ascii="Calibri" w:hAnsi="Calibri" w:eastAsia="宋体" w:cs="Times New Roman"/>
                <w:color w:val="auto"/>
                <w:highlight w:val="none"/>
                <w:shd w:val="clear" w:color="auto" w:fill="auto"/>
              </w:rPr>
              <w:t>B</w:t>
            </w:r>
            <w:r>
              <w:rPr>
                <w:rFonts w:hint="eastAsia" w:ascii="Calibri" w:hAnsi="Calibri" w:eastAsia="宋体" w:cs="宋体"/>
                <w:color w:val="auto"/>
                <w:highlight w:val="none"/>
                <w:shd w:val="clear" w:color="auto" w:fill="auto"/>
              </w:rPr>
              <w:t>否决投标条件的相应情况。</w:t>
            </w:r>
          </w:p>
        </w:tc>
      </w:tr>
      <w:tr w14:paraId="3A15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shd w:val="clear" w:color="auto" w:fill="E6E6E6"/>
            <w:noWrap w:val="0"/>
            <w:vAlign w:val="center"/>
          </w:tcPr>
          <w:p w14:paraId="1B496B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1382" w:type="dxa"/>
            <w:vMerge w:val="continue"/>
            <w:shd w:val="clear" w:color="auto" w:fill="E6E6E6"/>
            <w:noWrap w:val="0"/>
            <w:vAlign w:val="center"/>
          </w:tcPr>
          <w:p w14:paraId="5F1F71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c>
          <w:tcPr>
            <w:tcW w:w="2255" w:type="dxa"/>
            <w:gridSpan w:val="3"/>
            <w:shd w:val="clear" w:color="auto" w:fill="E6E6E6"/>
            <w:noWrap w:val="0"/>
            <w:vAlign w:val="center"/>
          </w:tcPr>
          <w:p w14:paraId="3BE80F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default" w:ascii="Calibri" w:hAnsi="Calibri" w:eastAsia="宋体" w:cs="Times New Roman"/>
                <w:color w:val="auto"/>
                <w:highlight w:val="none"/>
                <w:shd w:val="clear" w:color="auto" w:fill="auto"/>
              </w:rPr>
              <w:t>……</w:t>
            </w:r>
          </w:p>
        </w:tc>
        <w:tc>
          <w:tcPr>
            <w:tcW w:w="5657" w:type="dxa"/>
            <w:gridSpan w:val="3"/>
            <w:shd w:val="clear" w:color="auto" w:fill="E6E6E6"/>
            <w:noWrap w:val="0"/>
            <w:vAlign w:val="center"/>
          </w:tcPr>
          <w:p w14:paraId="2FC527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p>
        </w:tc>
      </w:tr>
      <w:tr w14:paraId="2E43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jc w:val="center"/>
        </w:trPr>
        <w:tc>
          <w:tcPr>
            <w:tcW w:w="780" w:type="dxa"/>
            <w:gridSpan w:val="2"/>
            <w:vMerge w:val="continue"/>
            <w:noWrap w:val="0"/>
            <w:vAlign w:val="center"/>
          </w:tcPr>
          <w:p w14:paraId="339661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vMerge w:val="restart"/>
            <w:noWrap w:val="0"/>
            <w:vAlign w:val="center"/>
          </w:tcPr>
          <w:p w14:paraId="051952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资格评审标准</w:t>
            </w:r>
          </w:p>
        </w:tc>
        <w:tc>
          <w:tcPr>
            <w:tcW w:w="655" w:type="dxa"/>
            <w:gridSpan w:val="2"/>
            <w:vMerge w:val="restart"/>
            <w:noWrap w:val="0"/>
            <w:vAlign w:val="center"/>
          </w:tcPr>
          <w:p w14:paraId="001A76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有限数量制</w:t>
            </w:r>
          </w:p>
        </w:tc>
        <w:tc>
          <w:tcPr>
            <w:tcW w:w="7257" w:type="dxa"/>
            <w:gridSpan w:val="4"/>
            <w:noWrap w:val="0"/>
            <w:vAlign w:val="center"/>
          </w:tcPr>
          <w:p w14:paraId="4663F4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cs="Times New Roman"/>
                <w:color w:val="auto"/>
                <w:highlight w:val="none"/>
                <w:shd w:val="clear" w:color="auto" w:fill="auto"/>
                <w:lang w:eastAsia="zh-CN"/>
              </w:rPr>
              <w:t>1.</w:t>
            </w:r>
            <w:r>
              <w:rPr>
                <w:rFonts w:hint="eastAsia" w:ascii="Calibri" w:hAnsi="Calibri" w:eastAsia="宋体" w:cs="宋体"/>
                <w:color w:val="auto"/>
                <w:highlight w:val="none"/>
                <w:shd w:val="clear" w:color="auto" w:fill="auto"/>
              </w:rPr>
              <w:t>投标人符合第二章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1.4</w:t>
            </w:r>
            <w:r>
              <w:rPr>
                <w:rFonts w:hint="eastAsia" w:ascii="Calibri" w:hAnsi="Calibri" w:eastAsia="宋体" w:cs="宋体"/>
                <w:color w:val="auto"/>
                <w:highlight w:val="none"/>
                <w:shd w:val="clear" w:color="auto" w:fill="auto"/>
              </w:rPr>
              <w:t>项规定的，且按规定提交了第二章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投标人须知前附表</w:t>
            </w:r>
            <w:r>
              <w:rPr>
                <w:rFonts w:hint="eastAsia" w:ascii="Calibri" w:hAnsi="Calibri" w:cs="Times New Roman"/>
                <w:color w:val="auto"/>
                <w:highlight w:val="none"/>
                <w:shd w:val="clear" w:color="auto" w:fill="auto"/>
                <w:lang w:eastAsia="zh-CN"/>
              </w:rPr>
              <w:t>”</w:t>
            </w:r>
            <w:r>
              <w:rPr>
                <w:rFonts w:hint="default" w:ascii="Calibri" w:hAnsi="Calibri" w:eastAsia="宋体" w:cs="Times New Roman"/>
                <w:color w:val="auto"/>
                <w:highlight w:val="none"/>
                <w:shd w:val="clear" w:color="auto" w:fill="auto"/>
              </w:rPr>
              <w:t>3.1.1</w:t>
            </w:r>
            <w:r>
              <w:rPr>
                <w:rFonts w:hint="eastAsia" w:ascii="Calibri" w:hAnsi="Calibri" w:eastAsia="宋体" w:cs="宋体"/>
                <w:color w:val="auto"/>
                <w:highlight w:val="none"/>
                <w:shd w:val="clear" w:color="auto" w:fill="auto"/>
              </w:rPr>
              <w:t>项资格审查部分（</w:t>
            </w:r>
            <w:r>
              <w:rPr>
                <w:rFonts w:hint="eastAsia" w:ascii="Calibri" w:hAnsi="Calibri" w:cs="宋体"/>
                <w:color w:val="auto"/>
                <w:highlight w:val="none"/>
                <w:shd w:val="clear" w:color="auto" w:fill="auto"/>
                <w:lang w:val="en-US" w:eastAsia="zh-CN"/>
              </w:rPr>
              <w:t>1</w:t>
            </w:r>
            <w:r>
              <w:rPr>
                <w:rFonts w:hint="default" w:ascii="Calibri" w:hAnsi="Calibri" w:eastAsia="宋体" w:cs="Times New Roman"/>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u w:val="single"/>
                <w:shd w:val="clear" w:color="auto" w:fill="auto"/>
              </w:rPr>
              <w:t xml:space="preserve"> </w:t>
            </w:r>
            <w:r>
              <w:rPr>
                <w:rFonts w:hint="eastAsia" w:ascii="Calibri" w:hAnsi="Calibri" w:cs="Times New Roman"/>
                <w:color w:val="auto"/>
                <w:highlight w:val="none"/>
                <w:u w:val="single"/>
                <w:shd w:val="clear" w:color="auto" w:fill="auto"/>
                <w:lang w:val="en-US" w:eastAsia="zh-CN"/>
              </w:rPr>
              <w:t>9</w:t>
            </w:r>
            <w:r>
              <w:rPr>
                <w:rFonts w:hint="default" w:ascii="Calibri" w:hAnsi="Calibri" w:eastAsia="宋体" w:cs="Times New Roman"/>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）项内容的，方可进行资格审查评分。</w:t>
            </w:r>
          </w:p>
          <w:p w14:paraId="773F26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cs="Times New Roman"/>
                <w:color w:val="auto"/>
                <w:highlight w:val="none"/>
                <w:shd w:val="clear" w:color="auto" w:fill="auto"/>
                <w:lang w:eastAsia="zh-CN"/>
              </w:rPr>
              <w:t>2.</w:t>
            </w:r>
            <w:r>
              <w:rPr>
                <w:rFonts w:hint="eastAsia" w:ascii="Calibri" w:hAnsi="Calibri" w:eastAsia="宋体" w:cs="宋体"/>
                <w:color w:val="auto"/>
                <w:highlight w:val="none"/>
                <w:shd w:val="clear" w:color="auto" w:fill="auto"/>
              </w:rPr>
              <w:t>资格</w:t>
            </w:r>
            <w:r>
              <w:rPr>
                <w:rFonts w:hint="eastAsia" w:ascii="Calibri" w:hAnsi="Calibri" w:cs="宋体"/>
                <w:color w:val="auto"/>
                <w:highlight w:val="none"/>
                <w:shd w:val="clear" w:color="auto" w:fill="auto"/>
                <w:lang w:val="en-US" w:eastAsia="zh-CN"/>
              </w:rPr>
              <w:t>评</w:t>
            </w:r>
            <w:r>
              <w:rPr>
                <w:rFonts w:hint="eastAsia" w:ascii="Calibri" w:hAnsi="Calibri" w:eastAsia="宋体" w:cs="宋体"/>
                <w:color w:val="auto"/>
                <w:highlight w:val="none"/>
                <w:shd w:val="clear" w:color="auto" w:fill="auto"/>
              </w:rPr>
              <w:t>审满分为</w:t>
            </w:r>
            <w:r>
              <w:rPr>
                <w:rFonts w:hint="default" w:ascii="Calibri" w:hAnsi="Calibri" w:eastAsia="宋体" w:cs="Times New Roman"/>
                <w:color w:val="auto"/>
                <w:highlight w:val="none"/>
                <w:shd w:val="clear" w:color="auto" w:fill="auto"/>
              </w:rPr>
              <w:t>100</w:t>
            </w:r>
            <w:r>
              <w:rPr>
                <w:rFonts w:hint="eastAsia" w:ascii="Calibri" w:hAnsi="Calibri" w:eastAsia="宋体" w:cs="宋体"/>
                <w:color w:val="auto"/>
                <w:highlight w:val="none"/>
                <w:shd w:val="clear" w:color="auto" w:fill="auto"/>
              </w:rPr>
              <w:t>分，</w:t>
            </w:r>
            <w:r>
              <w:rPr>
                <w:rFonts w:hint="eastAsia" w:ascii="Calibri" w:hAnsi="Calibri" w:cs="宋体"/>
                <w:color w:val="auto"/>
                <w:highlight w:val="none"/>
                <w:shd w:val="clear" w:color="auto" w:fill="auto"/>
                <w:lang w:val="en-US" w:eastAsia="zh-CN"/>
              </w:rPr>
              <w:t>得</w:t>
            </w:r>
            <w:r>
              <w:rPr>
                <w:rFonts w:hint="eastAsia" w:ascii="Calibri" w:hAnsi="Calibri" w:eastAsia="宋体" w:cs="宋体"/>
                <w:color w:val="auto"/>
                <w:highlight w:val="none"/>
                <w:shd w:val="clear" w:color="auto" w:fill="auto"/>
              </w:rPr>
              <w:t>分</w:t>
            </w:r>
            <w:r>
              <w:rPr>
                <w:rFonts w:hint="default" w:ascii="Calibri" w:hAnsi="Calibri" w:eastAsia="宋体" w:cs="Times New Roman"/>
                <w:color w:val="auto"/>
                <w:highlight w:val="none"/>
                <w:shd w:val="clear" w:color="auto" w:fill="auto"/>
              </w:rPr>
              <w:t>60</w:t>
            </w:r>
            <w:r>
              <w:rPr>
                <w:rFonts w:hint="eastAsia" w:ascii="Calibri" w:hAnsi="Calibri" w:eastAsia="宋体" w:cs="宋体"/>
                <w:color w:val="auto"/>
                <w:highlight w:val="none"/>
                <w:shd w:val="clear" w:color="auto" w:fill="auto"/>
              </w:rPr>
              <w:t>分及以上为合格，按得分由高到低的顺序选择</w:t>
            </w:r>
            <w:r>
              <w:rPr>
                <w:rFonts w:hint="eastAsia" w:ascii="Calibri" w:hAnsi="Calibri" w:cs="宋体"/>
                <w:color w:val="auto"/>
                <w:highlight w:val="none"/>
                <w:u w:val="single"/>
                <w:shd w:val="clear" w:color="auto" w:fill="auto"/>
                <w:lang w:val="en-US" w:eastAsia="zh-CN"/>
              </w:rPr>
              <w:t>7</w:t>
            </w:r>
            <w:r>
              <w:rPr>
                <w:rFonts w:hint="eastAsia" w:ascii="Calibri" w:hAnsi="Calibri" w:eastAsia="宋体" w:cs="宋体"/>
                <w:color w:val="auto"/>
                <w:highlight w:val="none"/>
                <w:shd w:val="clear" w:color="auto" w:fill="auto"/>
              </w:rPr>
              <w:t>家投标单位作为合格投标人进入本工程的下一阶段评审，如前第</w:t>
            </w:r>
            <w:r>
              <w:rPr>
                <w:rFonts w:hint="default" w:ascii="Calibri" w:hAnsi="Calibri" w:eastAsia="宋体" w:cs="Times New Roman"/>
                <w:color w:val="auto"/>
                <w:highlight w:val="none"/>
                <w:u w:val="single"/>
                <w:shd w:val="clear" w:color="auto" w:fill="auto"/>
              </w:rPr>
              <w:t xml:space="preserve">  </w:t>
            </w:r>
            <w:r>
              <w:rPr>
                <w:rFonts w:hint="eastAsia" w:ascii="Calibri" w:hAnsi="Calibri" w:cs="Times New Roman"/>
                <w:color w:val="auto"/>
                <w:highlight w:val="none"/>
                <w:u w:val="single"/>
                <w:shd w:val="clear" w:color="auto" w:fill="auto"/>
                <w:lang w:val="en-US" w:eastAsia="zh-CN"/>
              </w:rPr>
              <w:t>9</w:t>
            </w:r>
            <w:r>
              <w:rPr>
                <w:rFonts w:hint="default" w:ascii="Calibri" w:hAnsi="Calibri" w:eastAsia="宋体" w:cs="Times New Roman"/>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名有得分相同的，则一并进入下一阶段评审，如参加投标的单位不足</w:t>
            </w:r>
            <w:r>
              <w:rPr>
                <w:rFonts w:hint="default" w:ascii="Calibri" w:hAnsi="Calibri" w:eastAsia="宋体" w:cs="Times New Roman"/>
                <w:color w:val="auto"/>
                <w:highlight w:val="none"/>
                <w:u w:val="single"/>
                <w:shd w:val="clear" w:color="auto" w:fill="auto"/>
              </w:rPr>
              <w:t xml:space="preserve"> </w:t>
            </w:r>
            <w:r>
              <w:rPr>
                <w:rFonts w:hint="eastAsia" w:ascii="Calibri" w:hAnsi="Calibri" w:cs="Times New Roman"/>
                <w:color w:val="auto"/>
                <w:highlight w:val="none"/>
                <w:u w:val="single"/>
                <w:shd w:val="clear" w:color="auto" w:fill="auto"/>
                <w:lang w:val="en-US" w:eastAsia="zh-CN"/>
              </w:rPr>
              <w:t>9</w:t>
            </w:r>
            <w:r>
              <w:rPr>
                <w:rFonts w:hint="default" w:ascii="Calibri" w:hAnsi="Calibri" w:eastAsia="宋体" w:cs="Times New Roman"/>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名（含</w:t>
            </w:r>
            <w:r>
              <w:rPr>
                <w:rFonts w:hint="default" w:ascii="Calibri" w:hAnsi="Calibri" w:eastAsia="宋体" w:cs="Times New Roman"/>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名），则全部达到合格分数线的投标人进入下一阶段评审。</w:t>
            </w:r>
          </w:p>
          <w:p w14:paraId="240B5D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Calibri" w:hAnsi="Calibri" w:eastAsia="楷体_GB2312" w:cs="楷体_GB2312"/>
                <w:color w:val="auto"/>
                <w:highlight w:val="none"/>
                <w:shd w:val="clear" w:color="auto" w:fill="auto"/>
              </w:rPr>
            </w:pPr>
            <w:r>
              <w:rPr>
                <w:rFonts w:hint="eastAsia" w:cs="Times New Roman"/>
                <w:b/>
                <w:bCs/>
                <w:color w:val="auto"/>
                <w:highlight w:val="none"/>
                <w:shd w:val="clear" w:color="auto" w:fill="auto"/>
                <w:lang w:val="en-US" w:eastAsia="zh-CN"/>
              </w:rPr>
              <w:t>3.因技术标</w:t>
            </w:r>
            <w:r>
              <w:rPr>
                <w:rFonts w:hint="eastAsia" w:ascii="Times New Roman" w:hAnsi="Times New Roman" w:eastAsia="宋体" w:cs="Times New Roman"/>
                <w:b/>
                <w:bCs/>
                <w:color w:val="auto"/>
                <w:highlight w:val="none"/>
                <w:shd w:val="clear" w:color="auto" w:fill="auto"/>
                <w:lang w:eastAsia="zh-CN"/>
              </w:rPr>
              <w:t>详细评审</w:t>
            </w:r>
            <w:r>
              <w:rPr>
                <w:rFonts w:hint="eastAsia" w:cs="Times New Roman"/>
                <w:b/>
                <w:bCs/>
                <w:color w:val="auto"/>
                <w:highlight w:val="none"/>
                <w:shd w:val="clear" w:color="auto" w:fill="auto"/>
                <w:lang w:val="en-US" w:eastAsia="zh-CN"/>
              </w:rPr>
              <w:t>否决投标导致参与详细评审的投标人少于3家时，可以从资格评审合格的投标人中增补满足第2点要求的投标人数量（指</w:t>
            </w:r>
            <w:r>
              <w:rPr>
                <w:rFonts w:hint="eastAsia" w:cs="Times New Roman"/>
                <w:b/>
                <w:bCs/>
                <w:color w:val="auto"/>
                <w:highlight w:val="none"/>
                <w:u w:val="single"/>
                <w:shd w:val="clear" w:color="auto" w:fill="auto"/>
                <w:lang w:val="en-US" w:eastAsia="zh-CN"/>
              </w:rPr>
              <w:t>9</w:t>
            </w:r>
            <w:r>
              <w:rPr>
                <w:rFonts w:hint="eastAsia" w:cs="Times New Roman"/>
                <w:b/>
                <w:bCs/>
                <w:color w:val="auto"/>
                <w:highlight w:val="none"/>
                <w:shd w:val="clear" w:color="auto" w:fill="auto"/>
                <w:lang w:val="en-US" w:eastAsia="zh-CN"/>
              </w:rPr>
              <w:t>家投标单位）进入详细评审。如增补后投标人的数量无法满足第2点要求的，则按剩余资格评审合格的实际数量增补。可以增补数量不足2家或其他情形</w:t>
            </w:r>
            <w:r>
              <w:rPr>
                <w:rFonts w:hint="eastAsia" w:ascii="Times New Roman" w:hAnsi="Times New Roman" w:eastAsia="宋体" w:cs="Times New Roman"/>
                <w:b/>
                <w:bCs/>
                <w:color w:val="auto"/>
                <w:highlight w:val="none"/>
                <w:shd w:val="clear" w:color="auto" w:fill="auto"/>
                <w:lang w:eastAsia="zh-CN"/>
              </w:rPr>
              <w:t>不再</w:t>
            </w:r>
            <w:r>
              <w:rPr>
                <w:rFonts w:hint="eastAsia" w:cs="Times New Roman"/>
                <w:b/>
                <w:bCs/>
                <w:color w:val="auto"/>
                <w:highlight w:val="none"/>
                <w:shd w:val="clear" w:color="auto" w:fill="auto"/>
                <w:lang w:val="en-US" w:eastAsia="zh-CN"/>
              </w:rPr>
              <w:t>增</w:t>
            </w:r>
            <w:r>
              <w:rPr>
                <w:rFonts w:hint="eastAsia" w:ascii="Times New Roman" w:hAnsi="Times New Roman" w:eastAsia="宋体" w:cs="Times New Roman"/>
                <w:b/>
                <w:bCs/>
                <w:color w:val="auto"/>
                <w:highlight w:val="none"/>
                <w:shd w:val="clear" w:color="auto" w:fill="auto"/>
                <w:lang w:eastAsia="zh-CN"/>
              </w:rPr>
              <w:t>补。</w:t>
            </w:r>
          </w:p>
          <w:p w14:paraId="1B2F32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楷体_GB2312" w:cs="楷体_GB2312"/>
                <w:color w:val="auto"/>
                <w:highlight w:val="none"/>
                <w:shd w:val="clear" w:color="auto" w:fill="auto"/>
              </w:rPr>
              <w:t>【备注：参照建市〔</w:t>
            </w:r>
            <w:r>
              <w:rPr>
                <w:rFonts w:hint="default" w:ascii="Calibri" w:hAnsi="Calibri" w:eastAsia="楷体_GB2312" w:cs="Times New Roman"/>
                <w:color w:val="auto"/>
                <w:highlight w:val="none"/>
                <w:shd w:val="clear" w:color="auto" w:fill="auto"/>
              </w:rPr>
              <w:t>2005</w:t>
            </w:r>
            <w:r>
              <w:rPr>
                <w:rFonts w:hint="eastAsia" w:ascii="Calibri" w:hAnsi="Calibri" w:eastAsia="楷体_GB2312" w:cs="楷体_GB2312"/>
                <w:color w:val="auto"/>
                <w:highlight w:val="none"/>
                <w:shd w:val="clear" w:color="auto" w:fill="auto"/>
              </w:rPr>
              <w:t>〕</w:t>
            </w:r>
            <w:r>
              <w:rPr>
                <w:rFonts w:hint="default" w:ascii="Calibri" w:hAnsi="Calibri" w:eastAsia="楷体_GB2312" w:cs="Times New Roman"/>
                <w:color w:val="auto"/>
                <w:highlight w:val="none"/>
                <w:shd w:val="clear" w:color="auto" w:fill="auto"/>
              </w:rPr>
              <w:t>208</w:t>
            </w:r>
            <w:r>
              <w:rPr>
                <w:rFonts w:hint="eastAsia" w:ascii="Calibri" w:hAnsi="Calibri" w:eastAsia="楷体_GB2312" w:cs="楷体_GB2312"/>
                <w:color w:val="auto"/>
                <w:highlight w:val="none"/>
                <w:shd w:val="clear" w:color="auto" w:fill="auto"/>
              </w:rPr>
              <w:t>号文，原则上工程投资额</w:t>
            </w:r>
            <w:r>
              <w:rPr>
                <w:rFonts w:hint="default" w:ascii="Calibri" w:hAnsi="Calibri" w:eastAsia="楷体_GB2312" w:cs="Times New Roman"/>
                <w:color w:val="auto"/>
                <w:highlight w:val="none"/>
                <w:shd w:val="clear" w:color="auto" w:fill="auto"/>
              </w:rPr>
              <w:t>1000</w:t>
            </w:r>
            <w:r>
              <w:rPr>
                <w:rFonts w:hint="eastAsia" w:ascii="Calibri" w:hAnsi="Calibri" w:eastAsia="楷体_GB2312" w:cs="楷体_GB2312"/>
                <w:color w:val="auto"/>
                <w:highlight w:val="none"/>
                <w:shd w:val="clear" w:color="auto" w:fill="auto"/>
              </w:rPr>
              <w:t>万元以上的工程项目，合格投标人家数应当不少于</w:t>
            </w:r>
            <w:r>
              <w:rPr>
                <w:rFonts w:hint="eastAsia" w:ascii="Calibri" w:hAnsi="Calibri" w:eastAsia="楷体_GB2312" w:cs="Times New Roman"/>
                <w:color w:val="auto"/>
                <w:highlight w:val="none"/>
                <w:shd w:val="clear" w:color="auto" w:fill="auto"/>
                <w:lang w:eastAsia="zh-CN"/>
              </w:rPr>
              <w:t>9</w:t>
            </w:r>
            <w:r>
              <w:rPr>
                <w:rFonts w:hint="eastAsia" w:ascii="Calibri" w:hAnsi="Calibri" w:eastAsia="楷体_GB2312" w:cs="楷体_GB2312"/>
                <w:color w:val="auto"/>
                <w:highlight w:val="none"/>
                <w:shd w:val="clear" w:color="auto" w:fill="auto"/>
              </w:rPr>
              <w:t>个】</w:t>
            </w:r>
          </w:p>
        </w:tc>
      </w:tr>
      <w:tr w14:paraId="772C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noWrap w:val="0"/>
            <w:vAlign w:val="center"/>
          </w:tcPr>
          <w:p w14:paraId="7E3EDA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vMerge w:val="continue"/>
            <w:noWrap w:val="0"/>
            <w:vAlign w:val="center"/>
          </w:tcPr>
          <w:p w14:paraId="6D494E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continue"/>
            <w:noWrap w:val="0"/>
            <w:vAlign w:val="center"/>
          </w:tcPr>
          <w:p w14:paraId="1DD53B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836" w:type="dxa"/>
            <w:gridSpan w:val="2"/>
            <w:noWrap w:val="0"/>
            <w:vAlign w:val="center"/>
          </w:tcPr>
          <w:p w14:paraId="2FCF01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（一）企业基本情况</w:t>
            </w:r>
          </w:p>
          <w:p w14:paraId="073A66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Style w:val="43"/>
                <w:rFonts w:hint="default" w:ascii="宋体" w:hAnsi="宋体" w:eastAsia="宋体" w:cs="宋体"/>
                <w:b w:val="0"/>
                <w:color w:val="auto"/>
                <w:sz w:val="21"/>
                <w:szCs w:val="24"/>
                <w:highlight w:val="none"/>
              </w:rPr>
              <w:t>（0.0-20.0分）</w:t>
            </w:r>
          </w:p>
        </w:tc>
        <w:tc>
          <w:tcPr>
            <w:tcW w:w="5421" w:type="dxa"/>
            <w:gridSpan w:val="2"/>
            <w:noWrap w:val="0"/>
            <w:vAlign w:val="center"/>
          </w:tcPr>
          <w:p w14:paraId="17C472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方正楷体_GB2312" w:hAnsi="方正楷体_GB2312" w:eastAsia="方正楷体_GB2312" w:cs="方正楷体_GB2312"/>
                <w:color w:val="auto"/>
                <w:highlight w:val="none"/>
                <w:shd w:val="clear" w:color="auto" w:fill="auto"/>
              </w:rPr>
            </w:pP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1</w:t>
            </w:r>
            <w:r>
              <w:rPr>
                <w:rFonts w:hint="eastAsia" w:ascii="Calibri" w:hAnsi="Calibri" w:eastAsia="宋体" w:cs="宋体"/>
                <w:color w:val="auto"/>
                <w:highlight w:val="none"/>
                <w:shd w:val="clear" w:color="auto" w:fill="auto"/>
              </w:rPr>
              <w:t>）资质条件：</w:t>
            </w:r>
            <w:r>
              <w:rPr>
                <w:rStyle w:val="43"/>
                <w:rFonts w:hint="default" w:ascii="宋体" w:hAnsi="宋体" w:eastAsia="宋体" w:cs="宋体"/>
                <w:b w:val="0"/>
                <w:color w:val="auto"/>
                <w:sz w:val="21"/>
                <w:szCs w:val="24"/>
                <w:highlight w:val="none"/>
              </w:rPr>
              <w:t>具备建筑工程施工总承包</w:t>
            </w:r>
            <w:r>
              <w:rPr>
                <w:rStyle w:val="43"/>
                <w:rFonts w:hint="eastAsia" w:ascii="宋体" w:hAnsi="宋体" w:eastAsia="宋体" w:cs="宋体"/>
                <w:b w:val="0"/>
                <w:color w:val="auto"/>
                <w:sz w:val="21"/>
                <w:szCs w:val="24"/>
                <w:highlight w:val="none"/>
                <w:lang w:eastAsia="zh-CN"/>
              </w:rPr>
              <w:t>三</w:t>
            </w:r>
            <w:r>
              <w:rPr>
                <w:rStyle w:val="43"/>
                <w:rFonts w:hint="default" w:ascii="宋体" w:hAnsi="宋体" w:eastAsia="宋体" w:cs="宋体"/>
                <w:b w:val="0"/>
                <w:color w:val="auto"/>
                <w:sz w:val="21"/>
                <w:szCs w:val="24"/>
                <w:highlight w:val="none"/>
              </w:rPr>
              <w:t>级及以上资质和具有有效期内《安全生产许可证》的，得 5 分；</w:t>
            </w:r>
            <w:r>
              <w:rPr>
                <w:rFonts w:hint="eastAsia" w:ascii="方正楷体_GB2312" w:hAnsi="方正楷体_GB2312" w:eastAsia="方正楷体_GB2312" w:cs="方正楷体_GB2312"/>
                <w:color w:val="auto"/>
                <w:highlight w:val="none"/>
                <w:shd w:val="clear" w:color="auto" w:fill="auto"/>
              </w:rPr>
              <w:t>（备注：</w:t>
            </w:r>
            <w:r>
              <w:rPr>
                <w:rFonts w:hint="eastAsia" w:ascii="方正楷体_GB2312" w:hAnsi="方正楷体_GB2312" w:eastAsia="方正楷体_GB2312" w:cs="方正楷体_GB2312"/>
                <w:color w:val="auto"/>
                <w:highlight w:val="none"/>
                <w:shd w:val="clear" w:color="auto" w:fill="auto"/>
                <w:lang w:eastAsia="zh-CN"/>
              </w:rPr>
              <w:t>1.</w:t>
            </w:r>
            <w:r>
              <w:rPr>
                <w:rFonts w:hint="eastAsia" w:ascii="方正楷体_GB2312" w:hAnsi="方正楷体_GB2312" w:eastAsia="方正楷体_GB2312" w:cs="方正楷体_GB2312"/>
                <w:color w:val="auto"/>
                <w:highlight w:val="none"/>
                <w:shd w:val="clear" w:color="auto" w:fill="auto"/>
              </w:rPr>
              <w:t>使用最低资质的项目不对优于资格要求的资质另外加分。</w:t>
            </w:r>
            <w:r>
              <w:rPr>
                <w:rFonts w:hint="eastAsia" w:ascii="方正楷体_GB2312" w:hAnsi="方正楷体_GB2312" w:eastAsia="方正楷体_GB2312" w:cs="方正楷体_GB2312"/>
                <w:color w:val="auto"/>
                <w:highlight w:val="none"/>
                <w:shd w:val="clear" w:color="auto" w:fill="auto"/>
                <w:lang w:eastAsia="zh-CN"/>
              </w:rPr>
              <w:t>2.</w:t>
            </w:r>
            <w:r>
              <w:rPr>
                <w:rFonts w:hint="eastAsia" w:ascii="方正楷体_GB2312" w:hAnsi="方正楷体_GB2312" w:eastAsia="方正楷体_GB2312" w:cs="方正楷体_GB2312"/>
                <w:color w:val="auto"/>
                <w:highlight w:val="none"/>
                <w:u w:val="none"/>
                <w:shd w:val="clear" w:color="auto" w:fill="auto"/>
                <w:lang w:val="en-US" w:eastAsia="zh-CN"/>
              </w:rPr>
              <w:t xml:space="preserve"> </w:t>
            </w:r>
            <w:r>
              <w:rPr>
                <w:rFonts w:hint="eastAsia" w:ascii="方正楷体_GB2312" w:hAnsi="方正楷体_GB2312" w:eastAsia="方正楷体_GB2312" w:cs="方正楷体_GB2312"/>
                <w:color w:val="auto"/>
                <w:highlight w:val="none"/>
                <w:u w:val="single"/>
                <w:shd w:val="clear" w:color="auto" w:fill="auto"/>
                <w:lang w:val="en-US" w:eastAsia="zh-CN"/>
              </w:rPr>
              <w:t xml:space="preserve">  /     </w:t>
            </w:r>
            <w:r>
              <w:rPr>
                <w:rFonts w:hint="eastAsia" w:ascii="方正楷体_GB2312" w:hAnsi="方正楷体_GB2312" w:eastAsia="方正楷体_GB2312" w:cs="方正楷体_GB2312"/>
                <w:color w:val="auto"/>
                <w:highlight w:val="none"/>
                <w:u w:val="none"/>
                <w:shd w:val="clear" w:color="auto" w:fill="auto"/>
                <w:lang w:val="en-US" w:eastAsia="zh-CN"/>
              </w:rPr>
              <w:t xml:space="preserve">  )</w:t>
            </w:r>
          </w:p>
          <w:p w14:paraId="7F6ED9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Times New Roman" w:hAnsi="Times New Roman" w:eastAsia="宋体" w:cs="宋体"/>
                <w:color w:val="auto"/>
                <w:highlight w:val="none"/>
                <w:shd w:val="clear" w:color="auto" w:fill="auto"/>
                <w:lang w:bidi="ar-SA"/>
              </w:rPr>
            </w:pPr>
            <w:r>
              <w:rPr>
                <w:rFonts w:hint="eastAsia" w:ascii="Times New Roman" w:hAnsi="Times New Roman" w:eastAsia="宋体" w:cs="宋体"/>
                <w:color w:val="auto"/>
                <w:highlight w:val="none"/>
                <w:shd w:val="clear" w:color="auto" w:fill="auto"/>
                <w:lang w:bidi="ar-SA"/>
              </w:rPr>
              <w:t>（2）考核期内完成过类似工程项目：</w:t>
            </w:r>
            <w:r>
              <w:rPr>
                <w:rStyle w:val="43"/>
                <w:rFonts w:hint="default" w:ascii="宋体" w:hAnsi="宋体" w:eastAsia="宋体" w:cs="宋体"/>
                <w:b w:val="0"/>
                <w:color w:val="auto"/>
                <w:sz w:val="21"/>
                <w:szCs w:val="24"/>
                <w:highlight w:val="none"/>
              </w:rPr>
              <w:t>202</w:t>
            </w:r>
            <w:r>
              <w:rPr>
                <w:rStyle w:val="43"/>
                <w:rFonts w:hint="eastAsia" w:ascii="宋体" w:hAnsi="宋体" w:eastAsia="宋体" w:cs="宋体"/>
                <w:b w:val="0"/>
                <w:color w:val="auto"/>
                <w:sz w:val="21"/>
                <w:szCs w:val="24"/>
                <w:highlight w:val="none"/>
                <w:lang w:val="en-US" w:eastAsia="zh-CN"/>
              </w:rPr>
              <w:t>3</w:t>
            </w:r>
            <w:r>
              <w:rPr>
                <w:rStyle w:val="43"/>
                <w:rFonts w:hint="default" w:ascii="宋体" w:hAnsi="宋体" w:eastAsia="宋体" w:cs="宋体"/>
                <w:b w:val="0"/>
                <w:color w:val="auto"/>
                <w:sz w:val="21"/>
                <w:szCs w:val="24"/>
                <w:highlight w:val="none"/>
              </w:rPr>
              <w:t>年</w:t>
            </w:r>
            <w:r>
              <w:rPr>
                <w:rStyle w:val="43"/>
                <w:rFonts w:hint="eastAsia" w:ascii="宋体" w:hAnsi="宋体" w:eastAsia="宋体" w:cs="宋体"/>
                <w:b w:val="0"/>
                <w:color w:val="auto"/>
                <w:sz w:val="21"/>
                <w:szCs w:val="24"/>
                <w:highlight w:val="none"/>
                <w:lang w:val="en-US" w:eastAsia="zh-CN"/>
              </w:rPr>
              <w:t>5</w:t>
            </w:r>
            <w:r>
              <w:rPr>
                <w:rStyle w:val="43"/>
                <w:rFonts w:hint="default" w:ascii="宋体" w:hAnsi="宋体" w:eastAsia="宋体" w:cs="宋体"/>
                <w:b w:val="0"/>
                <w:color w:val="auto"/>
                <w:sz w:val="21"/>
                <w:szCs w:val="24"/>
                <w:highlight w:val="none"/>
              </w:rPr>
              <w:t>月起至投标截止时间止，企业完成过单项合同金额达</w:t>
            </w:r>
            <w:r>
              <w:rPr>
                <w:rStyle w:val="43"/>
                <w:rFonts w:hint="eastAsia" w:ascii="宋体" w:hAnsi="宋体" w:eastAsia="宋体" w:cs="宋体"/>
                <w:b w:val="0"/>
                <w:color w:val="auto"/>
                <w:sz w:val="21"/>
                <w:szCs w:val="24"/>
                <w:highlight w:val="none"/>
                <w:lang w:val="en-US" w:eastAsia="zh-CN"/>
              </w:rPr>
              <w:t>4</w:t>
            </w:r>
            <w:r>
              <w:rPr>
                <w:rStyle w:val="43"/>
                <w:rFonts w:hint="default" w:ascii="宋体" w:hAnsi="宋体" w:eastAsia="宋体" w:cs="宋体"/>
                <w:b w:val="0"/>
                <w:color w:val="auto"/>
                <w:sz w:val="21"/>
                <w:szCs w:val="24"/>
                <w:highlight w:val="none"/>
              </w:rPr>
              <w:t>00万元及以上的或者建筑总面积达2000平方米及以上的</w:t>
            </w:r>
            <w:r>
              <w:rPr>
                <w:rStyle w:val="43"/>
                <w:rFonts w:hint="eastAsia" w:ascii="宋体" w:hAnsi="宋体" w:eastAsia="宋体" w:cs="宋体"/>
                <w:b w:val="0"/>
                <w:color w:val="auto"/>
                <w:sz w:val="21"/>
                <w:szCs w:val="24"/>
                <w:highlight w:val="none"/>
              </w:rPr>
              <w:t>建筑装饰装修</w:t>
            </w:r>
            <w:r>
              <w:rPr>
                <w:rStyle w:val="43"/>
                <w:rFonts w:hint="default" w:ascii="宋体" w:hAnsi="宋体" w:eastAsia="宋体" w:cs="宋体"/>
                <w:b w:val="0"/>
                <w:color w:val="auto"/>
                <w:sz w:val="21"/>
                <w:szCs w:val="24"/>
                <w:highlight w:val="none"/>
              </w:rPr>
              <w:t>工程类施工业绩，每个 5 分，满分15 分。</w:t>
            </w:r>
            <w:r>
              <w:rPr>
                <w:rFonts w:hint="eastAsia" w:ascii="方正楷体_GB2312" w:hAnsi="方正楷体_GB2312" w:eastAsia="方正楷体_GB2312" w:cs="方正楷体_GB2312"/>
                <w:color w:val="auto"/>
                <w:highlight w:val="none"/>
                <w:shd w:val="clear" w:color="auto" w:fill="auto"/>
                <w:lang w:bidi="ar-SA"/>
              </w:rPr>
              <w:t>（注：</w:t>
            </w:r>
            <w:r>
              <w:rPr>
                <w:rFonts w:hint="eastAsia" w:ascii="方正楷体_GB2312" w:hAnsi="方正楷体_GB2312" w:eastAsia="方正楷体_GB2312" w:cs="方正楷体_GB2312"/>
                <w:color w:val="auto"/>
                <w:highlight w:val="none"/>
                <w:shd w:val="clear" w:color="auto" w:fill="auto"/>
                <w:lang w:val="en-US" w:eastAsia="zh-CN" w:bidi="ar-SA"/>
              </w:rPr>
              <w:t>1.</w:t>
            </w:r>
            <w:r>
              <w:rPr>
                <w:rFonts w:hint="eastAsia" w:ascii="方正楷体_GB2312" w:hAnsi="方正楷体_GB2312" w:eastAsia="方正楷体_GB2312" w:cs="方正楷体_GB2312"/>
                <w:color w:val="auto"/>
                <w:highlight w:val="none"/>
                <w:shd w:val="clear" w:color="auto" w:fill="auto"/>
                <w:lang w:bidi="ar-SA"/>
              </w:rPr>
              <w:t>采用装配式建造方式建设的项目，在进行设计、施工、监理招标时，应将装配式建筑项目业绩列为评分项，优先选择有装配式建筑项目业绩的企业</w:t>
            </w:r>
            <w:r>
              <w:rPr>
                <w:rFonts w:hint="eastAsia" w:ascii="方正楷体_GB2312" w:hAnsi="方正楷体_GB2312" w:eastAsia="方正楷体_GB2312" w:cs="方正楷体_GB2312"/>
                <w:color w:val="auto"/>
                <w:highlight w:val="none"/>
                <w:shd w:val="clear" w:color="auto" w:fill="auto"/>
                <w:lang w:eastAsia="zh-CN" w:bidi="ar-SA"/>
              </w:rPr>
              <w:t>；</w:t>
            </w:r>
            <w:r>
              <w:rPr>
                <w:rFonts w:hint="eastAsia" w:ascii="方正楷体_GB2312" w:hAnsi="方正楷体_GB2312" w:eastAsia="方正楷体_GB2312" w:cs="方正楷体_GB2312"/>
                <w:color w:val="auto"/>
                <w:highlight w:val="none"/>
                <w:shd w:val="clear" w:color="auto" w:fill="auto"/>
                <w:lang w:val="en-US" w:eastAsia="zh-CN" w:bidi="ar-SA"/>
              </w:rPr>
              <w:t>2.</w:t>
            </w:r>
            <w:r>
              <w:rPr>
                <w:rFonts w:hint="eastAsia" w:ascii="方正楷体_GB2312" w:hAnsi="方正楷体_GB2312" w:eastAsia="方正楷体_GB2312" w:cs="方正楷体_GB2312"/>
                <w:color w:val="auto"/>
                <w:highlight w:val="none"/>
                <w:u w:val="single"/>
                <w:shd w:val="clear" w:color="auto" w:fill="auto"/>
              </w:rPr>
              <w:t xml:space="preserve">      </w:t>
            </w:r>
            <w:r>
              <w:rPr>
                <w:rFonts w:hint="eastAsia" w:ascii="方正楷体_GB2312" w:hAnsi="方正楷体_GB2312" w:eastAsia="方正楷体_GB2312" w:cs="方正楷体_GB2312"/>
                <w:color w:val="auto"/>
                <w:highlight w:val="none"/>
                <w:u w:val="single"/>
                <w:shd w:val="clear" w:color="auto" w:fill="auto"/>
                <w:lang w:val="en-US" w:eastAsia="zh-CN"/>
              </w:rPr>
              <w:t>/</w:t>
            </w:r>
            <w:r>
              <w:rPr>
                <w:rFonts w:hint="eastAsia" w:ascii="方正楷体_GB2312" w:hAnsi="方正楷体_GB2312" w:eastAsia="方正楷体_GB2312" w:cs="方正楷体_GB2312"/>
                <w:color w:val="auto"/>
                <w:highlight w:val="none"/>
                <w:u w:val="single"/>
                <w:shd w:val="clear" w:color="auto" w:fill="auto"/>
              </w:rPr>
              <w:t xml:space="preserve">        </w:t>
            </w:r>
            <w:r>
              <w:rPr>
                <w:rFonts w:hint="eastAsia" w:ascii="方正楷体_GB2312" w:hAnsi="方正楷体_GB2312" w:eastAsia="方正楷体_GB2312" w:cs="方正楷体_GB2312"/>
                <w:color w:val="auto"/>
                <w:highlight w:val="none"/>
                <w:u w:val="single"/>
                <w:shd w:val="clear" w:color="auto" w:fill="auto"/>
                <w:lang w:bidi="ar-SA"/>
              </w:rPr>
              <w:t>。</w:t>
            </w:r>
            <w:r>
              <w:rPr>
                <w:rFonts w:hint="eastAsia" w:ascii="方正楷体_GB2312" w:hAnsi="方正楷体_GB2312" w:eastAsia="方正楷体_GB2312" w:cs="方正楷体_GB2312"/>
                <w:color w:val="auto"/>
                <w:highlight w:val="none"/>
                <w:shd w:val="clear" w:color="auto" w:fill="auto"/>
                <w:lang w:bidi="ar-SA"/>
              </w:rPr>
              <w:t>）</w:t>
            </w:r>
          </w:p>
          <w:p w14:paraId="20D605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Calibri" w:hAnsi="Calibri" w:eastAsia="宋体" w:cs="Times New Roman"/>
                <w:color w:val="auto"/>
                <w:highlight w:val="none"/>
                <w:shd w:val="clear" w:color="auto" w:fill="auto"/>
              </w:rPr>
            </w:pPr>
            <w:r>
              <w:rPr>
                <w:rFonts w:hint="eastAsia" w:ascii="Times New Roman" w:hAnsi="Times New Roman" w:eastAsia="宋体" w:cs="宋体"/>
                <w:color w:val="auto"/>
                <w:highlight w:val="none"/>
                <w:shd w:val="clear" w:color="auto" w:fill="auto"/>
              </w:rPr>
              <w:t>（3）考核期内承接过类似工程项目（招标人定是</w:t>
            </w:r>
            <w:r>
              <w:rPr>
                <w:rFonts w:hint="default" w:ascii="Calibri" w:hAnsi="Calibri" w:eastAsia="宋体" w:cs="Times New Roman"/>
                <w:color w:val="auto"/>
                <w:highlight w:val="none"/>
                <w:shd w:val="clear" w:color="auto" w:fill="auto"/>
              </w:rPr>
              <w:t>否考核）</w:t>
            </w:r>
            <w:r>
              <w:rPr>
                <w:rFonts w:hint="eastAsia" w:ascii="Calibri" w:hAnsi="Calibri" w:eastAsia="宋体" w:cs="Times New Roman"/>
                <w:color w:val="auto"/>
                <w:highlight w:val="none"/>
                <w:shd w:val="clear" w:color="auto" w:fill="auto"/>
              </w:rPr>
              <w:t>：</w:t>
            </w:r>
          </w:p>
          <w:p w14:paraId="004356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p>
        </w:tc>
      </w:tr>
      <w:tr w14:paraId="6D0F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noWrap w:val="0"/>
            <w:vAlign w:val="center"/>
          </w:tcPr>
          <w:p w14:paraId="55DAC6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vMerge w:val="continue"/>
            <w:noWrap w:val="0"/>
            <w:vAlign w:val="center"/>
          </w:tcPr>
          <w:p w14:paraId="3B736F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continue"/>
            <w:noWrap w:val="0"/>
            <w:vAlign w:val="center"/>
          </w:tcPr>
          <w:p w14:paraId="68A5E6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836" w:type="dxa"/>
            <w:gridSpan w:val="2"/>
            <w:noWrap w:val="0"/>
            <w:vAlign w:val="center"/>
          </w:tcPr>
          <w:p w14:paraId="6AB858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（二）企业信誉实力分评分标准【分值权重（</w:t>
            </w:r>
            <w:r>
              <w:rPr>
                <w:rFonts w:hint="default" w:ascii="Calibri" w:hAnsi="Calibri" w:eastAsia="宋体" w:cs="宋体"/>
                <w:color w:val="auto"/>
                <w:highlight w:val="none"/>
                <w:shd w:val="clear" w:color="auto" w:fill="auto"/>
              </w:rPr>
              <w:t>20</w:t>
            </w:r>
            <w:r>
              <w:rPr>
                <w:rFonts w:hint="eastAsia" w:ascii="Calibri" w:hAnsi="Calibri" w:eastAsia="宋体" w:cs="宋体"/>
                <w:color w:val="auto"/>
                <w:highlight w:val="none"/>
                <w:shd w:val="clear" w:color="auto" w:fill="auto"/>
              </w:rPr>
              <w:t>%）</w:t>
            </w:r>
          </w:p>
        </w:tc>
        <w:tc>
          <w:tcPr>
            <w:tcW w:w="5421" w:type="dxa"/>
            <w:gridSpan w:val="2"/>
            <w:noWrap w:val="0"/>
            <w:vAlign w:val="center"/>
          </w:tcPr>
          <w:p w14:paraId="2848A9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textAlignment w:val="auto"/>
              <w:rPr>
                <w:rFonts w:hint="default" w:ascii="宋体" w:hAnsi="宋体" w:eastAsia="宋体" w:cs="宋体"/>
                <w:b/>
                <w:color w:val="auto"/>
                <w:highlight w:val="none"/>
                <w:shd w:val="clear" w:color="auto" w:fill="auto"/>
                <w:lang w:val="en-US" w:eastAsia="zh-CN"/>
              </w:rPr>
            </w:pP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招标人不应用信用评价结果，评标时各投标人</w:t>
            </w: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诚信综合评价分</w:t>
            </w: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分值均以满分</w:t>
            </w:r>
            <w:r>
              <w:rPr>
                <w:rFonts w:hint="eastAsia" w:ascii="宋体" w:hAnsi="宋体" w:cs="宋体"/>
                <w:b/>
                <w:color w:val="auto"/>
                <w:highlight w:val="none"/>
                <w:shd w:val="clear" w:color="auto" w:fill="auto"/>
                <w:lang w:val="en-US" w:eastAsia="zh-CN"/>
              </w:rPr>
              <w:t>（100分）</w:t>
            </w:r>
            <w:r>
              <w:rPr>
                <w:rFonts w:hint="eastAsia" w:ascii="宋体" w:hAnsi="宋体" w:eastAsia="宋体" w:cs="宋体"/>
                <w:b/>
                <w:color w:val="auto"/>
                <w:highlight w:val="none"/>
                <w:shd w:val="clear" w:color="auto" w:fill="auto"/>
                <w:lang w:val="en-US" w:eastAsia="zh-CN"/>
              </w:rPr>
              <w:t>计</w:t>
            </w:r>
            <w:r>
              <w:rPr>
                <w:rFonts w:hint="eastAsia" w:ascii="宋体" w:hAnsi="宋体" w:cs="宋体"/>
                <w:b/>
                <w:color w:val="auto"/>
                <w:highlight w:val="none"/>
                <w:shd w:val="clear" w:color="auto" w:fill="auto"/>
                <w:lang w:val="en-US" w:eastAsia="zh-CN"/>
              </w:rPr>
              <w:t>，按20%权重计入资格评审得分</w:t>
            </w:r>
            <w:r>
              <w:rPr>
                <w:rFonts w:hint="eastAsia" w:ascii="宋体" w:hAnsi="宋体" w:eastAsia="宋体" w:cs="宋体"/>
                <w:b/>
                <w:color w:val="auto"/>
                <w:highlight w:val="none"/>
                <w:shd w:val="clear" w:color="auto" w:fill="auto"/>
                <w:lang w:val="en-US" w:eastAsia="zh-CN"/>
              </w:rPr>
              <w:t>。</w:t>
            </w:r>
          </w:p>
          <w:p w14:paraId="7A68E7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textAlignment w:val="auto"/>
              <w:rPr>
                <w:rFonts w:hint="eastAsia"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□招标人应用信用评价结果，具体如下：</w:t>
            </w:r>
          </w:p>
          <w:p w14:paraId="55C640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方正楷体_GB2312" w:hAnsi="方正楷体_GB2312" w:eastAsia="方正楷体_GB2312" w:cs="方正楷体_GB2312"/>
                <w:color w:val="auto"/>
                <w:highlight w:val="none"/>
                <w:shd w:val="clear" w:color="auto" w:fill="auto"/>
              </w:rPr>
            </w:pPr>
            <w:r>
              <w:rPr>
                <w:rFonts w:hint="eastAsia" w:ascii="Calibri" w:hAnsi="Calibri" w:eastAsia="宋体" w:cs="宋体"/>
                <w:color w:val="auto"/>
                <w:highlight w:val="none"/>
                <w:shd w:val="clear" w:color="auto" w:fill="auto"/>
              </w:rPr>
              <w:t>企业信誉实力得分的确定</w:t>
            </w:r>
            <w:r>
              <w:rPr>
                <w:rFonts w:hint="eastAsia" w:ascii="方正楷体_GB2312" w:hAnsi="方正楷体_GB2312" w:eastAsia="方正楷体_GB2312" w:cs="方正楷体_GB2312"/>
                <w:color w:val="auto"/>
                <w:highlight w:val="none"/>
                <w:shd w:val="clear" w:color="auto" w:fill="auto"/>
              </w:rPr>
              <w:t>（</w:t>
            </w:r>
            <w:r>
              <w:rPr>
                <w:rFonts w:hint="eastAsia" w:ascii="方正楷体_GB2312" w:hAnsi="方正楷体_GB2312" w:eastAsia="方正楷体_GB2312" w:cs="方正楷体_GB2312"/>
                <w:b w:val="0"/>
                <w:bCs w:val="0"/>
                <w:color w:val="auto"/>
                <w:highlight w:val="none"/>
                <w:shd w:val="clear" w:color="auto" w:fill="auto"/>
                <w:lang w:eastAsia="zh-CN"/>
              </w:rPr>
              <w:t>备注：1.</w:t>
            </w:r>
            <w:r>
              <w:rPr>
                <w:rFonts w:hint="eastAsia" w:ascii="方正楷体_GB2312" w:hAnsi="方正楷体_GB2312" w:eastAsia="方正楷体_GB2312" w:cs="方正楷体_GB2312"/>
                <w:b w:val="0"/>
                <w:i w:val="0"/>
                <w:caps w:val="0"/>
                <w:color w:val="auto"/>
                <w:spacing w:val="0"/>
                <w:sz w:val="21"/>
                <w:szCs w:val="21"/>
                <w:highlight w:val="none"/>
                <w:shd w:val="clear" w:color="auto" w:fill="auto"/>
                <w:lang w:eastAsia="zh-CN"/>
              </w:rPr>
              <w:t>联合体的诚信综合评价分按联合体牵头人的企业诚信综合评价分认定；</w:t>
            </w:r>
            <w:r>
              <w:rPr>
                <w:rFonts w:hint="eastAsia" w:ascii="方正楷体_GB2312" w:hAnsi="方正楷体_GB2312" w:eastAsia="方正楷体_GB2312" w:cs="方正楷体_GB2312"/>
                <w:b w:val="0"/>
                <w:i w:val="0"/>
                <w:caps w:val="0"/>
                <w:color w:val="auto"/>
                <w:spacing w:val="0"/>
                <w:sz w:val="21"/>
                <w:szCs w:val="21"/>
                <w:highlight w:val="none"/>
                <w:shd w:val="clear" w:color="auto" w:fill="auto"/>
                <w:lang w:val="en-US" w:eastAsia="zh-CN"/>
              </w:rPr>
              <w:t>2.</w:t>
            </w:r>
            <w:r>
              <w:rPr>
                <w:rFonts w:hint="eastAsia" w:ascii="方正楷体_GB2312" w:hAnsi="方正楷体_GB2312" w:eastAsia="方正楷体_GB2312" w:cs="方正楷体_GB2312"/>
                <w:b w:val="0"/>
                <w:color w:val="auto"/>
                <w:highlight w:val="none"/>
                <w:u w:val="none"/>
                <w:shd w:val="clear" w:color="auto" w:fill="auto"/>
              </w:rPr>
              <w:t xml:space="preserve"> </w:t>
            </w:r>
            <w:r>
              <w:rPr>
                <w:rFonts w:hint="eastAsia" w:ascii="方正楷体_GB2312" w:hAnsi="方正楷体_GB2312" w:eastAsia="方正楷体_GB2312" w:cs="方正楷体_GB2312"/>
                <w:b w:val="0"/>
                <w:color w:val="auto"/>
                <w:highlight w:val="none"/>
                <w:u w:val="single"/>
                <w:shd w:val="clear" w:color="auto" w:fill="auto"/>
              </w:rPr>
              <w:t xml:space="preserve">        </w:t>
            </w:r>
            <w:r>
              <w:rPr>
                <w:rFonts w:hint="eastAsia" w:ascii="方正楷体_GB2312" w:hAnsi="方正楷体_GB2312" w:eastAsia="方正楷体_GB2312" w:cs="方正楷体_GB2312"/>
                <w:color w:val="auto"/>
                <w:highlight w:val="none"/>
                <w:u w:val="single"/>
                <w:shd w:val="clear" w:color="auto" w:fill="auto"/>
              </w:rPr>
              <w:t xml:space="preserve"> </w:t>
            </w:r>
            <w:r>
              <w:rPr>
                <w:rFonts w:hint="eastAsia" w:ascii="方正楷体_GB2312" w:hAnsi="方正楷体_GB2312" w:eastAsia="方正楷体_GB2312" w:cs="方正楷体_GB2312"/>
                <w:color w:val="auto"/>
                <w:highlight w:val="none"/>
                <w:u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w:t>
            </w:r>
          </w:p>
          <w:p w14:paraId="41D475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企业信誉实力加权得分=根据实时公布的自治区级诚信综合评价分（百分制）×</w:t>
            </w:r>
            <w:r>
              <w:rPr>
                <w:rFonts w:hint="eastAsia" w:ascii="Calibri" w:hAnsi="Calibri" w:eastAsia="宋体" w:cs="宋体"/>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lang w:eastAsia="zh-CN"/>
              </w:rPr>
              <w:t>最高投标限价</w:t>
            </w:r>
            <w:r>
              <w:rPr>
                <w:rFonts w:hint="eastAsia" w:ascii="Calibri" w:hAnsi="Calibri" w:eastAsia="宋体" w:cs="宋体"/>
                <w:color w:val="auto"/>
                <w:highlight w:val="none"/>
                <w:shd w:val="clear" w:color="auto" w:fill="auto"/>
              </w:rPr>
              <w:t>1亿元以上取50%-100%，1亿元以下取</w:t>
            </w:r>
            <w:r>
              <w:rPr>
                <w:rFonts w:hint="eastAsia" w:ascii="Calibri" w:hAnsi="Calibri" w:cs="宋体"/>
                <w:color w:val="auto"/>
                <w:highlight w:val="none"/>
                <w:shd w:val="clear" w:color="auto" w:fill="auto"/>
                <w:lang w:val="en-US" w:eastAsia="zh-CN"/>
              </w:rPr>
              <w:t>4</w:t>
            </w:r>
            <w:r>
              <w:rPr>
                <w:rFonts w:hint="eastAsia" w:ascii="Calibri" w:hAnsi="Calibri" w:eastAsia="宋体" w:cs="宋体"/>
                <w:color w:val="auto"/>
                <w:highlight w:val="none"/>
                <w:shd w:val="clear" w:color="auto" w:fill="auto"/>
              </w:rPr>
              <w:t>0%-100%）×企业信誉实力分分值权重（</w:t>
            </w:r>
            <w:r>
              <w:rPr>
                <w:rFonts w:hint="default" w:ascii="Calibri" w:hAnsi="Calibri" w:eastAsia="宋体" w:cs="宋体"/>
                <w:color w:val="auto"/>
                <w:highlight w:val="none"/>
                <w:shd w:val="clear" w:color="auto" w:fill="auto"/>
              </w:rPr>
              <w:t>2</w:t>
            </w:r>
            <w:r>
              <w:rPr>
                <w:rFonts w:hint="eastAsia" w:ascii="Calibri" w:hAnsi="Calibri" w:eastAsia="宋体" w:cs="宋体"/>
                <w:color w:val="auto"/>
                <w:highlight w:val="none"/>
                <w:shd w:val="clear" w:color="auto" w:fill="auto"/>
              </w:rPr>
              <w:t>0%）+根据实时公布的项目所在地设区市级诚信综合评价分（百分制）×</w:t>
            </w:r>
            <w:r>
              <w:rPr>
                <w:rFonts w:hint="eastAsia" w:ascii="Calibri" w:hAnsi="Calibri" w:eastAsia="宋体" w:cs="宋体"/>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lang w:eastAsia="zh-CN"/>
              </w:rPr>
              <w:t>最高投标限价</w:t>
            </w:r>
            <w:r>
              <w:rPr>
                <w:rFonts w:hint="eastAsia" w:ascii="Calibri" w:hAnsi="Calibri" w:eastAsia="宋体" w:cs="宋体"/>
                <w:color w:val="auto"/>
                <w:highlight w:val="none"/>
                <w:shd w:val="clear" w:color="auto" w:fill="auto"/>
              </w:rPr>
              <w:t>1亿元以上取50%-0%，1亿元以下</w:t>
            </w:r>
            <w:r>
              <w:rPr>
                <w:rFonts w:hint="eastAsia" w:ascii="Calibri" w:hAnsi="Calibri" w:cs="宋体"/>
                <w:color w:val="auto"/>
                <w:highlight w:val="none"/>
                <w:shd w:val="clear" w:color="auto" w:fill="auto"/>
                <w:lang w:val="en-US" w:eastAsia="zh-CN"/>
              </w:rPr>
              <w:t>6</w:t>
            </w:r>
            <w:r>
              <w:rPr>
                <w:rFonts w:hint="eastAsia" w:ascii="Calibri" w:hAnsi="Calibri" w:eastAsia="宋体" w:cs="宋体"/>
                <w:color w:val="auto"/>
                <w:highlight w:val="none"/>
                <w:shd w:val="clear" w:color="auto" w:fill="auto"/>
              </w:rPr>
              <w:t>0%-0%）×企业信誉实力分分值权重（</w:t>
            </w:r>
            <w:r>
              <w:rPr>
                <w:rFonts w:hint="default" w:ascii="Calibri" w:hAnsi="Calibri" w:eastAsia="宋体" w:cs="宋体"/>
                <w:color w:val="auto"/>
                <w:highlight w:val="none"/>
                <w:shd w:val="clear" w:color="auto" w:fill="auto"/>
              </w:rPr>
              <w:t>2</w:t>
            </w:r>
            <w:r>
              <w:rPr>
                <w:rFonts w:hint="eastAsia" w:ascii="Calibri" w:hAnsi="Calibri" w:eastAsia="宋体" w:cs="宋体"/>
                <w:color w:val="auto"/>
                <w:highlight w:val="none"/>
                <w:shd w:val="clear" w:color="auto" w:fill="auto"/>
              </w:rPr>
              <w:t>0%）</w:t>
            </w:r>
            <w:r>
              <w:rPr>
                <w:rFonts w:hint="eastAsia" w:ascii="方正楷体_GB2312" w:hAnsi="方正楷体_GB2312" w:eastAsia="方正楷体_GB2312" w:cs="方正楷体_GB2312"/>
                <w:color w:val="auto"/>
                <w:highlight w:val="none"/>
                <w:shd w:val="clear" w:color="auto" w:fill="auto"/>
              </w:rPr>
              <w:t>【备注：自治区级诚信综合评价分占比与项目所在地设区市级诚信综合评价分占比之和为100%，具体权重由各设区市在比例范围内在发出招标文件前自行决定，把确定后的比例填入招标文件内】</w:t>
            </w:r>
            <w:r>
              <w:rPr>
                <w:rFonts w:hint="eastAsia" w:ascii="Calibri" w:hAnsi="Calibri" w:eastAsia="宋体" w:cs="宋体"/>
                <w:color w:val="auto"/>
                <w:highlight w:val="none"/>
                <w:shd w:val="clear" w:color="auto" w:fill="auto"/>
              </w:rPr>
              <w:t xml:space="preserve"> </w:t>
            </w:r>
            <w:r>
              <w:rPr>
                <w:rFonts w:hint="eastAsia" w:ascii="方正楷体_GB2312" w:hAnsi="方正楷体_GB2312" w:eastAsia="方正楷体_GB2312" w:cs="方正楷体_GB2312"/>
                <w:color w:val="auto"/>
                <w:highlight w:val="none"/>
                <w:shd w:val="clear" w:color="auto" w:fill="auto"/>
              </w:rPr>
              <w:t>注：自治区级诚信综合评价分由系统自动读取，评委在</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桂建云</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信息发布的诚信评分公示栏目中查询、核实。项目所在地设区市级诚信综合评价分由评委在</w:t>
            </w:r>
            <w:r>
              <w:rPr>
                <w:rFonts w:hint="eastAsia" w:ascii="方正楷体_GB2312" w:hAnsi="方正楷体_GB2312" w:eastAsia="方正楷体_GB2312" w:cs="方正楷体_GB2312"/>
                <w:color w:val="auto"/>
                <w:highlight w:val="none"/>
                <w:u w:val="none"/>
                <w:shd w:val="clear" w:color="auto" w:fill="auto"/>
              </w:rPr>
              <w:t xml:space="preserve">               </w:t>
            </w:r>
            <w:r>
              <w:rPr>
                <w:rFonts w:hint="eastAsia" w:ascii="方正楷体_GB2312" w:hAnsi="方正楷体_GB2312" w:eastAsia="方正楷体_GB2312" w:cs="方正楷体_GB2312"/>
                <w:color w:val="auto"/>
                <w:highlight w:val="none"/>
                <w:shd w:val="clear" w:color="auto" w:fill="auto"/>
              </w:rPr>
              <w:t>中查询。</w:t>
            </w:r>
          </w:p>
        </w:tc>
      </w:tr>
      <w:tr w14:paraId="3718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noWrap w:val="0"/>
            <w:vAlign w:val="center"/>
          </w:tcPr>
          <w:p w14:paraId="717E50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vMerge w:val="continue"/>
            <w:noWrap w:val="0"/>
            <w:vAlign w:val="center"/>
          </w:tcPr>
          <w:p w14:paraId="3A3298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continue"/>
            <w:noWrap w:val="0"/>
            <w:vAlign w:val="center"/>
          </w:tcPr>
          <w:p w14:paraId="2D03B6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836" w:type="dxa"/>
            <w:gridSpan w:val="2"/>
            <w:noWrap w:val="0"/>
            <w:vAlign w:val="center"/>
          </w:tcPr>
          <w:p w14:paraId="66B98E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（三）项目经理情况</w:t>
            </w:r>
          </w:p>
          <w:p w14:paraId="1B1464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Style w:val="43"/>
                <w:rFonts w:hint="default" w:ascii="宋体" w:hAnsi="宋体" w:eastAsia="宋体" w:cs="宋体"/>
                <w:b w:val="0"/>
                <w:color w:val="auto"/>
                <w:sz w:val="21"/>
                <w:szCs w:val="24"/>
                <w:highlight w:val="none"/>
              </w:rPr>
              <w:t>（0.0-15.0分）</w:t>
            </w:r>
          </w:p>
        </w:tc>
        <w:tc>
          <w:tcPr>
            <w:tcW w:w="5421" w:type="dxa"/>
            <w:gridSpan w:val="2"/>
            <w:noWrap w:val="0"/>
            <w:vAlign w:val="center"/>
          </w:tcPr>
          <w:p w14:paraId="703908DF">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(1) 项目经理注册资格</w:t>
            </w:r>
          </w:p>
          <w:p w14:paraId="4D1C0200">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 xml:space="preserve">  拟投入项目经理具备建 筑工程专业二级以上（含本级） 注册建造师资格且具备有效的安全  生产考核合格证书（B 类）的，得5分。</w:t>
            </w:r>
          </w:p>
          <w:p w14:paraId="04E279C9">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(2)项目经理职称</w:t>
            </w:r>
          </w:p>
          <w:p w14:paraId="0BD0CCFC">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拟投入项目经理具有工程类专业高级及以上工程师职称的，得 5分，具有工程类专业中级工程师职称的，得2分。满分5分。</w:t>
            </w:r>
          </w:p>
          <w:p w14:paraId="0437C889">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（3）拟投入项目经理须具备相应管理业绩经验：自202</w:t>
            </w:r>
            <w:r>
              <w:rPr>
                <w:rStyle w:val="43"/>
                <w:rFonts w:hint="eastAsia" w:ascii="宋体" w:hAnsi="宋体" w:eastAsia="宋体" w:cs="宋体"/>
                <w:b w:val="0"/>
                <w:color w:val="auto"/>
                <w:kern w:val="2"/>
                <w:sz w:val="21"/>
                <w:szCs w:val="24"/>
                <w:highlight w:val="none"/>
                <w:lang w:val="en-US" w:eastAsia="zh-CN"/>
              </w:rPr>
              <w:t>3</w:t>
            </w:r>
            <w:r>
              <w:rPr>
                <w:rStyle w:val="43"/>
                <w:rFonts w:hint="default" w:ascii="宋体" w:hAnsi="宋体" w:eastAsia="宋体" w:cs="宋体"/>
                <w:b w:val="0"/>
                <w:color w:val="auto"/>
                <w:kern w:val="2"/>
                <w:sz w:val="21"/>
                <w:szCs w:val="24"/>
                <w:highlight w:val="none"/>
              </w:rPr>
              <w:t>年</w:t>
            </w:r>
            <w:r>
              <w:rPr>
                <w:rStyle w:val="43"/>
                <w:rFonts w:hint="eastAsia" w:ascii="宋体" w:hAnsi="宋体" w:eastAsia="宋体" w:cs="宋体"/>
                <w:b w:val="0"/>
                <w:color w:val="auto"/>
                <w:kern w:val="2"/>
                <w:sz w:val="21"/>
                <w:szCs w:val="24"/>
                <w:highlight w:val="none"/>
                <w:lang w:val="en-US" w:eastAsia="zh-CN"/>
              </w:rPr>
              <w:t>5</w:t>
            </w:r>
            <w:r>
              <w:rPr>
                <w:rStyle w:val="43"/>
                <w:rFonts w:hint="default" w:ascii="宋体" w:hAnsi="宋体" w:eastAsia="宋体" w:cs="宋体"/>
                <w:b w:val="0"/>
                <w:color w:val="auto"/>
                <w:kern w:val="2"/>
                <w:sz w:val="21"/>
                <w:szCs w:val="24"/>
                <w:highlight w:val="none"/>
              </w:rPr>
              <w:t>月起至投标截止时间止，曾以项目经理身份完成过单项合同金额</w:t>
            </w:r>
            <w:r>
              <w:rPr>
                <w:rStyle w:val="43"/>
                <w:rFonts w:hint="eastAsia" w:ascii="宋体" w:hAnsi="宋体" w:eastAsia="宋体" w:cs="宋体"/>
                <w:b w:val="0"/>
                <w:color w:val="auto"/>
                <w:kern w:val="2"/>
                <w:sz w:val="21"/>
                <w:szCs w:val="24"/>
                <w:highlight w:val="none"/>
                <w:lang w:val="en-US" w:eastAsia="zh-CN"/>
              </w:rPr>
              <w:t>4</w:t>
            </w:r>
            <w:r>
              <w:rPr>
                <w:rStyle w:val="43"/>
                <w:rFonts w:hint="default" w:ascii="宋体" w:hAnsi="宋体" w:eastAsia="宋体" w:cs="宋体"/>
                <w:b w:val="0"/>
                <w:color w:val="auto"/>
                <w:kern w:val="2"/>
                <w:sz w:val="21"/>
                <w:szCs w:val="24"/>
                <w:highlight w:val="none"/>
              </w:rPr>
              <w:t>00万元及以上或建筑总面积2000平方米及以上的</w:t>
            </w:r>
            <w:r>
              <w:rPr>
                <w:rStyle w:val="43"/>
                <w:rFonts w:hint="eastAsia" w:ascii="宋体" w:hAnsi="宋体" w:eastAsia="宋体" w:cs="宋体"/>
                <w:b w:val="0"/>
                <w:color w:val="auto"/>
                <w:kern w:val="2"/>
                <w:sz w:val="21"/>
                <w:szCs w:val="24"/>
                <w:highlight w:val="none"/>
              </w:rPr>
              <w:t>建筑装饰装修</w:t>
            </w:r>
            <w:r>
              <w:rPr>
                <w:rStyle w:val="43"/>
                <w:rFonts w:hint="default" w:ascii="宋体" w:hAnsi="宋体" w:eastAsia="宋体" w:cs="宋体"/>
                <w:b w:val="0"/>
                <w:color w:val="auto"/>
                <w:kern w:val="2"/>
                <w:sz w:val="21"/>
                <w:szCs w:val="24"/>
                <w:highlight w:val="none"/>
              </w:rPr>
              <w:t>工程项目，满足该条件得5分，满分5分。</w:t>
            </w:r>
          </w:p>
          <w:p w14:paraId="189B86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Style w:val="43"/>
                <w:rFonts w:hint="default" w:ascii="宋体" w:hAnsi="宋体" w:eastAsia="宋体" w:cs="宋体"/>
                <w:b w:val="0"/>
                <w:color w:val="auto"/>
                <w:sz w:val="21"/>
                <w:szCs w:val="24"/>
                <w:highlight w:val="none"/>
              </w:rPr>
              <w:t xml:space="preserve"> 注：提供上述人员近 </w:t>
            </w:r>
            <w:r>
              <w:rPr>
                <w:rStyle w:val="43"/>
                <w:rFonts w:hint="eastAsia" w:ascii="宋体" w:hAnsi="宋体" w:cs="宋体"/>
                <w:b w:val="0"/>
                <w:color w:val="auto"/>
                <w:sz w:val="21"/>
                <w:szCs w:val="24"/>
                <w:highlight w:val="none"/>
                <w:lang w:val="en-US" w:eastAsia="zh-CN"/>
              </w:rPr>
              <w:t>3</w:t>
            </w:r>
            <w:r>
              <w:rPr>
                <w:rStyle w:val="43"/>
                <w:rFonts w:hint="default" w:ascii="宋体" w:hAnsi="宋体" w:eastAsia="宋体" w:cs="宋体"/>
                <w:b w:val="0"/>
                <w:color w:val="auto"/>
                <w:sz w:val="21"/>
                <w:szCs w:val="24"/>
                <w:highlight w:val="none"/>
              </w:rPr>
              <w:t>个月（202</w:t>
            </w:r>
            <w:r>
              <w:rPr>
                <w:rStyle w:val="43"/>
                <w:rFonts w:hint="eastAsia" w:ascii="宋体" w:hAnsi="宋体" w:eastAsia="宋体" w:cs="宋体"/>
                <w:b w:val="0"/>
                <w:color w:val="auto"/>
                <w:sz w:val="21"/>
                <w:szCs w:val="24"/>
                <w:highlight w:val="none"/>
                <w:lang w:val="en-US" w:eastAsia="zh-CN"/>
              </w:rPr>
              <w:t>6</w:t>
            </w:r>
            <w:r>
              <w:rPr>
                <w:rStyle w:val="43"/>
                <w:rFonts w:hint="default" w:ascii="宋体" w:hAnsi="宋体" w:eastAsia="宋体" w:cs="宋体"/>
                <w:b w:val="0"/>
                <w:color w:val="auto"/>
                <w:sz w:val="21"/>
                <w:szCs w:val="24"/>
                <w:highlight w:val="none"/>
              </w:rPr>
              <w:t xml:space="preserve"> 年 4月至投标截止时间止任意一个月）投标人为其依法缴纳社会保险的证明材料，且以上信息与录入“桂建云 ”的信息相符，否则该项不予计分。</w:t>
            </w:r>
          </w:p>
        </w:tc>
      </w:tr>
      <w:tr w14:paraId="7E03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noWrap w:val="0"/>
            <w:vAlign w:val="center"/>
          </w:tcPr>
          <w:p w14:paraId="6D078D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vMerge w:val="continue"/>
            <w:noWrap w:val="0"/>
            <w:vAlign w:val="center"/>
          </w:tcPr>
          <w:p w14:paraId="1BBC0D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continue"/>
            <w:noWrap w:val="0"/>
            <w:vAlign w:val="center"/>
          </w:tcPr>
          <w:p w14:paraId="760D4F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836" w:type="dxa"/>
            <w:gridSpan w:val="2"/>
            <w:noWrap w:val="0"/>
            <w:vAlign w:val="center"/>
          </w:tcPr>
          <w:p w14:paraId="6EBC65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（四）技术负责人情况</w:t>
            </w:r>
          </w:p>
          <w:p w14:paraId="7C0CFF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Style w:val="43"/>
                <w:rFonts w:hint="default" w:ascii="宋体" w:hAnsi="宋体" w:eastAsia="宋体" w:cs="宋体"/>
                <w:b w:val="0"/>
                <w:color w:val="auto"/>
                <w:sz w:val="21"/>
                <w:szCs w:val="24"/>
                <w:highlight w:val="none"/>
              </w:rPr>
              <w:t>（0.0-10.0分）</w:t>
            </w:r>
          </w:p>
        </w:tc>
        <w:tc>
          <w:tcPr>
            <w:tcW w:w="5421" w:type="dxa"/>
            <w:gridSpan w:val="2"/>
            <w:noWrap w:val="0"/>
            <w:vAlign w:val="center"/>
          </w:tcPr>
          <w:p w14:paraId="0784C53E">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（1）技术负责人职称</w:t>
            </w:r>
          </w:p>
          <w:p w14:paraId="4D321050">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拟投入技术负责人具有土木工程类或建筑工程相关专业高级及以上职称的，得7分；具有其他专业的高级及以上职称或具有土木工程类（或建筑工程相关）专业中级职称的，得4分；具有其他专业中级工程师职称的，得2分。满分7分。</w:t>
            </w:r>
          </w:p>
          <w:p w14:paraId="54D553AE">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（2）技术负责人业绩</w:t>
            </w:r>
          </w:p>
          <w:p w14:paraId="0A27B48C">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拟投入技术负责人须具备相应业绩经验：自202</w:t>
            </w:r>
            <w:r>
              <w:rPr>
                <w:rStyle w:val="43"/>
                <w:rFonts w:hint="eastAsia" w:ascii="宋体" w:hAnsi="宋体" w:eastAsia="宋体" w:cs="宋体"/>
                <w:b w:val="0"/>
                <w:color w:val="auto"/>
                <w:kern w:val="2"/>
                <w:sz w:val="21"/>
                <w:szCs w:val="24"/>
                <w:highlight w:val="none"/>
                <w:lang w:val="en-US" w:eastAsia="zh-CN"/>
              </w:rPr>
              <w:t>3</w:t>
            </w:r>
            <w:r>
              <w:rPr>
                <w:rStyle w:val="43"/>
                <w:rFonts w:hint="default" w:ascii="宋体" w:hAnsi="宋体" w:eastAsia="宋体" w:cs="宋体"/>
                <w:b w:val="0"/>
                <w:color w:val="auto"/>
                <w:kern w:val="2"/>
                <w:sz w:val="21"/>
                <w:szCs w:val="24"/>
                <w:highlight w:val="none"/>
              </w:rPr>
              <w:t>年</w:t>
            </w:r>
            <w:r>
              <w:rPr>
                <w:rStyle w:val="43"/>
                <w:rFonts w:hint="eastAsia" w:ascii="宋体" w:hAnsi="宋体" w:eastAsia="宋体" w:cs="宋体"/>
                <w:b w:val="0"/>
                <w:color w:val="auto"/>
                <w:kern w:val="2"/>
                <w:sz w:val="21"/>
                <w:szCs w:val="24"/>
                <w:highlight w:val="none"/>
                <w:lang w:val="en-US" w:eastAsia="zh-CN"/>
              </w:rPr>
              <w:t>5</w:t>
            </w:r>
            <w:r>
              <w:rPr>
                <w:rStyle w:val="43"/>
                <w:rFonts w:hint="default" w:ascii="宋体" w:hAnsi="宋体" w:eastAsia="宋体" w:cs="宋体"/>
                <w:b w:val="0"/>
                <w:color w:val="auto"/>
                <w:kern w:val="2"/>
                <w:sz w:val="21"/>
                <w:szCs w:val="24"/>
                <w:highlight w:val="none"/>
              </w:rPr>
              <w:t>月起至投标截止时间止，曾以技术负责人身份完成或承接过单项合同金额</w:t>
            </w:r>
            <w:r>
              <w:rPr>
                <w:rStyle w:val="43"/>
                <w:rFonts w:hint="eastAsia" w:ascii="宋体" w:hAnsi="宋体" w:eastAsia="宋体" w:cs="宋体"/>
                <w:b w:val="0"/>
                <w:color w:val="auto"/>
                <w:kern w:val="2"/>
                <w:sz w:val="21"/>
                <w:szCs w:val="24"/>
                <w:highlight w:val="none"/>
                <w:lang w:val="en-US" w:eastAsia="zh-CN"/>
              </w:rPr>
              <w:t>4</w:t>
            </w:r>
            <w:r>
              <w:rPr>
                <w:rStyle w:val="43"/>
                <w:rFonts w:hint="default" w:ascii="宋体" w:hAnsi="宋体" w:eastAsia="宋体" w:cs="宋体"/>
                <w:b w:val="0"/>
                <w:color w:val="auto"/>
                <w:kern w:val="2"/>
                <w:sz w:val="21"/>
                <w:szCs w:val="24"/>
                <w:highlight w:val="none"/>
              </w:rPr>
              <w:t>00万元及以上或建筑总面积2000平方米及以上的</w:t>
            </w:r>
            <w:r>
              <w:rPr>
                <w:rStyle w:val="43"/>
                <w:rFonts w:hint="eastAsia" w:ascii="宋体" w:hAnsi="宋体" w:eastAsia="宋体" w:cs="宋体"/>
                <w:b w:val="0"/>
                <w:color w:val="auto"/>
                <w:kern w:val="2"/>
                <w:sz w:val="21"/>
                <w:szCs w:val="24"/>
                <w:highlight w:val="none"/>
              </w:rPr>
              <w:t>建筑装饰装修</w:t>
            </w:r>
            <w:r>
              <w:rPr>
                <w:rStyle w:val="43"/>
                <w:rFonts w:hint="default" w:ascii="宋体" w:hAnsi="宋体" w:eastAsia="宋体" w:cs="宋体"/>
                <w:b w:val="0"/>
                <w:color w:val="auto"/>
                <w:kern w:val="2"/>
                <w:sz w:val="21"/>
                <w:szCs w:val="24"/>
                <w:highlight w:val="none"/>
              </w:rPr>
              <w:t>工程项目，每满足1项得1.5分，满分3分。</w:t>
            </w:r>
          </w:p>
          <w:p w14:paraId="5E590A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Style w:val="43"/>
                <w:rFonts w:hint="default" w:ascii="宋体" w:hAnsi="宋体" w:eastAsia="宋体" w:cs="宋体"/>
                <w:b w:val="0"/>
                <w:color w:val="auto"/>
                <w:sz w:val="21"/>
                <w:szCs w:val="24"/>
                <w:highlight w:val="none"/>
              </w:rPr>
              <w:t xml:space="preserve">注：提供上述人员近 </w:t>
            </w:r>
            <w:r>
              <w:rPr>
                <w:rStyle w:val="43"/>
                <w:rFonts w:hint="eastAsia" w:ascii="宋体" w:hAnsi="宋体" w:cs="宋体"/>
                <w:b w:val="0"/>
                <w:color w:val="auto"/>
                <w:sz w:val="21"/>
                <w:szCs w:val="24"/>
                <w:highlight w:val="none"/>
                <w:lang w:val="en-US" w:eastAsia="zh-CN"/>
              </w:rPr>
              <w:t>3</w:t>
            </w:r>
            <w:r>
              <w:rPr>
                <w:rStyle w:val="43"/>
                <w:rFonts w:hint="default" w:ascii="宋体" w:hAnsi="宋体" w:eastAsia="宋体" w:cs="宋体"/>
                <w:b w:val="0"/>
                <w:color w:val="auto"/>
                <w:sz w:val="21"/>
                <w:szCs w:val="24"/>
                <w:highlight w:val="none"/>
              </w:rPr>
              <w:t xml:space="preserve"> 个月（202</w:t>
            </w:r>
            <w:r>
              <w:rPr>
                <w:rStyle w:val="43"/>
                <w:rFonts w:hint="eastAsia" w:ascii="宋体" w:hAnsi="宋体" w:eastAsia="宋体" w:cs="宋体"/>
                <w:b w:val="0"/>
                <w:color w:val="auto"/>
                <w:sz w:val="21"/>
                <w:szCs w:val="24"/>
                <w:highlight w:val="none"/>
                <w:lang w:val="en-US" w:eastAsia="zh-CN"/>
              </w:rPr>
              <w:t>6</w:t>
            </w:r>
            <w:r>
              <w:rPr>
                <w:rStyle w:val="43"/>
                <w:rFonts w:hint="default" w:ascii="宋体" w:hAnsi="宋体" w:eastAsia="宋体" w:cs="宋体"/>
                <w:b w:val="0"/>
                <w:color w:val="auto"/>
                <w:sz w:val="21"/>
                <w:szCs w:val="24"/>
                <w:highlight w:val="none"/>
              </w:rPr>
              <w:t xml:space="preserve"> 年 4月至投标截止时间止任意一个月）投标人为其依法缴纳社会保险的证明材料，且以上信息与录入“桂建云 ”的信息相符，否则该项不予计分。</w:t>
            </w:r>
          </w:p>
        </w:tc>
      </w:tr>
      <w:tr w14:paraId="57EA6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gridSpan w:val="2"/>
            <w:vMerge w:val="continue"/>
            <w:noWrap w:val="0"/>
            <w:vAlign w:val="center"/>
          </w:tcPr>
          <w:p w14:paraId="6B348E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vMerge w:val="continue"/>
            <w:noWrap w:val="0"/>
            <w:vAlign w:val="center"/>
          </w:tcPr>
          <w:p w14:paraId="2D560D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continue"/>
            <w:noWrap w:val="0"/>
            <w:vAlign w:val="center"/>
          </w:tcPr>
          <w:p w14:paraId="7B9052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836" w:type="dxa"/>
            <w:gridSpan w:val="2"/>
            <w:noWrap w:val="0"/>
            <w:vAlign w:val="center"/>
          </w:tcPr>
          <w:p w14:paraId="7E30D8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（五）拟投入本工程管理人员情况（</w:t>
            </w:r>
            <w:r>
              <w:rPr>
                <w:rStyle w:val="43"/>
                <w:rFonts w:hint="default" w:ascii="宋体" w:hAnsi="宋体" w:eastAsia="宋体" w:cs="宋体"/>
                <w:b w:val="0"/>
                <w:color w:val="auto"/>
                <w:sz w:val="21"/>
                <w:szCs w:val="24"/>
                <w:highlight w:val="none"/>
              </w:rPr>
              <w:t>3.0-15.0分）</w:t>
            </w:r>
          </w:p>
        </w:tc>
        <w:tc>
          <w:tcPr>
            <w:tcW w:w="5421" w:type="dxa"/>
            <w:gridSpan w:val="2"/>
            <w:noWrap w:val="0"/>
            <w:vAlign w:val="center"/>
          </w:tcPr>
          <w:p w14:paraId="1382E6EE">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 xml:space="preserve">拟投入本工程施工的主要管理人员满足项目情况，施工组织结构完善，施工现场专业人员配备齐全，全部持证上岗，人员搭配合理，满足施工需要。（拟投入本工程的施工员、质量员、材料员应具有相应施工现场专业人员职业培训合格证书，专职安全生产管理人员需有效建筑施工企业三类人员 C 证，且拟投入的项目管理人员符合国家及广西壮族自治区的规定），并按以下标准评分： </w:t>
            </w:r>
          </w:p>
          <w:p w14:paraId="626CBAC1">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优（15 分）：</w:t>
            </w:r>
            <w:r>
              <w:rPr>
                <w:rStyle w:val="43"/>
                <w:rFonts w:hint="eastAsia" w:ascii="宋体" w:hAnsi="宋体" w:eastAsia="宋体" w:cs="宋体"/>
                <w:b w:val="0"/>
                <w:color w:val="auto"/>
                <w:kern w:val="2"/>
                <w:sz w:val="21"/>
                <w:szCs w:val="24"/>
                <w:highlight w:val="none"/>
              </w:rPr>
              <w:t>拟投入的主要管理人员 8 人及以上，其中施工员 3 人及以上， 质量员 2 人及以上， 材料员 2 人及以 上，安全员不少于 1 人， 且人员配备 完全满足施工需要并有一定储备，管  理人员配备齐全且经验及综合素质优 秀</w:t>
            </w:r>
            <w:r>
              <w:rPr>
                <w:rStyle w:val="43"/>
                <w:rFonts w:hint="default" w:ascii="宋体" w:hAnsi="宋体" w:eastAsia="宋体" w:cs="宋体"/>
                <w:b w:val="0"/>
                <w:color w:val="auto"/>
                <w:kern w:val="2"/>
                <w:sz w:val="21"/>
                <w:szCs w:val="24"/>
                <w:highlight w:val="none"/>
              </w:rPr>
              <w:t>；</w:t>
            </w:r>
          </w:p>
          <w:p w14:paraId="6C5823AF">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良（12分）：</w:t>
            </w:r>
            <w:r>
              <w:rPr>
                <w:rStyle w:val="43"/>
                <w:rFonts w:hint="eastAsia" w:ascii="宋体" w:hAnsi="宋体" w:eastAsia="宋体" w:cs="宋体"/>
                <w:color w:val="auto"/>
                <w:kern w:val="2"/>
                <w:sz w:val="21"/>
                <w:highlight w:val="none"/>
              </w:rPr>
              <w:t xml:space="preserve"> 拟投入的主要管理人员 7 人及以上，其中施工员 2 人及以上， 质量员 2 人及以上， 材料员 2 人及以 上，安全员不少于 1 人， 且人员配备 满足施工需要， 管理人员配备齐全且 经验及综合素质良好</w:t>
            </w:r>
            <w:r>
              <w:rPr>
                <w:rStyle w:val="43"/>
                <w:rFonts w:hint="default" w:ascii="宋体" w:hAnsi="宋体" w:eastAsia="宋体" w:cs="宋体"/>
                <w:b w:val="0"/>
                <w:color w:val="auto"/>
                <w:kern w:val="2"/>
                <w:sz w:val="21"/>
                <w:szCs w:val="24"/>
                <w:highlight w:val="none"/>
              </w:rPr>
              <w:t>；</w:t>
            </w:r>
          </w:p>
          <w:p w14:paraId="42F4C5D5">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中（9分）：</w:t>
            </w:r>
            <w:r>
              <w:rPr>
                <w:rStyle w:val="43"/>
                <w:rFonts w:hint="eastAsia" w:ascii="宋体" w:hAnsi="宋体" w:eastAsia="宋体" w:cs="宋体"/>
                <w:b w:val="0"/>
                <w:color w:val="auto"/>
                <w:kern w:val="2"/>
                <w:sz w:val="21"/>
                <w:szCs w:val="24"/>
                <w:highlight w:val="none"/>
              </w:rPr>
              <w:t>拟投入的主要管理人员 6 人及以上，其中施工员 2 人及以上， 质量员 1 人及以上， 材料员 2 人及以 上，安全员不少于 1 人， 且人员配备 基本满足施工需要， 管理人员配备齐 全且有经验</w:t>
            </w:r>
            <w:r>
              <w:rPr>
                <w:rStyle w:val="43"/>
                <w:rFonts w:hint="default" w:ascii="宋体" w:hAnsi="宋体" w:eastAsia="宋体" w:cs="宋体"/>
                <w:b w:val="0"/>
                <w:color w:val="auto"/>
                <w:kern w:val="2"/>
                <w:sz w:val="21"/>
                <w:szCs w:val="24"/>
                <w:highlight w:val="none"/>
              </w:rPr>
              <w:t>；</w:t>
            </w:r>
          </w:p>
          <w:p w14:paraId="5952022F">
            <w:pPr>
              <w:pStyle w:val="162"/>
              <w:keepNext w:val="0"/>
              <w:keepLines w:val="0"/>
              <w:widowControl/>
              <w:suppressLineNumbers w:val="0"/>
              <w:spacing w:before="0" w:beforeAutospacing="0" w:after="0" w:afterAutospacing="0"/>
              <w:ind w:left="0" w:right="0"/>
              <w:jc w:val="left"/>
              <w:rPr>
                <w:rStyle w:val="43"/>
                <w:rFonts w:hint="eastAsia"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一般（6分）：</w:t>
            </w:r>
            <w:r>
              <w:rPr>
                <w:rStyle w:val="43"/>
                <w:rFonts w:hint="eastAsia" w:ascii="宋体" w:hAnsi="宋体" w:eastAsia="宋体" w:cs="宋体"/>
                <w:b w:val="0"/>
                <w:color w:val="auto"/>
                <w:kern w:val="2"/>
                <w:sz w:val="21"/>
                <w:szCs w:val="24"/>
                <w:highlight w:val="none"/>
              </w:rPr>
              <w:t>拟投入的主要管理人 员 5 人及以上， 其中施工员 2 人及以 上，质量员 1 人及以上， 材料员 1 人 及以上，安全员不少于 1 人，且人员 配备基本满足施工需要， 管理人员配 备齐全且无经验。</w:t>
            </w:r>
          </w:p>
          <w:p w14:paraId="29CCE27A">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差（3分）：</w:t>
            </w:r>
            <w:r>
              <w:rPr>
                <w:rStyle w:val="43"/>
                <w:rFonts w:hint="eastAsia" w:ascii="宋体" w:hAnsi="宋体" w:eastAsia="宋体" w:cs="宋体"/>
                <w:b w:val="0"/>
                <w:color w:val="auto"/>
                <w:kern w:val="2"/>
                <w:sz w:val="21"/>
                <w:szCs w:val="24"/>
                <w:highlight w:val="none"/>
              </w:rPr>
              <w:t>投入本工程主要管理 人员配备不齐全，不满足施工需  要</w:t>
            </w:r>
            <w:r>
              <w:rPr>
                <w:rStyle w:val="43"/>
                <w:rFonts w:hint="default" w:ascii="宋体" w:hAnsi="宋体" w:eastAsia="宋体" w:cs="宋体"/>
                <w:b w:val="0"/>
                <w:color w:val="auto"/>
                <w:kern w:val="2"/>
                <w:sz w:val="21"/>
                <w:szCs w:val="24"/>
                <w:highlight w:val="none"/>
              </w:rPr>
              <w:t xml:space="preserve">。 </w:t>
            </w:r>
          </w:p>
          <w:p w14:paraId="76F967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Style w:val="43"/>
                <w:rFonts w:hint="default" w:ascii="宋体" w:hAnsi="宋体" w:eastAsia="宋体" w:cs="宋体"/>
                <w:b w:val="0"/>
                <w:color w:val="auto"/>
                <w:sz w:val="21"/>
                <w:szCs w:val="24"/>
                <w:highlight w:val="none"/>
              </w:rPr>
              <w:t xml:space="preserve">注：提供上述人员近 </w:t>
            </w:r>
            <w:r>
              <w:rPr>
                <w:rStyle w:val="43"/>
                <w:rFonts w:hint="eastAsia" w:ascii="宋体" w:hAnsi="宋体" w:cs="宋体"/>
                <w:b w:val="0"/>
                <w:color w:val="auto"/>
                <w:sz w:val="21"/>
                <w:szCs w:val="24"/>
                <w:highlight w:val="none"/>
                <w:lang w:val="en-US" w:eastAsia="zh-CN"/>
              </w:rPr>
              <w:t>3</w:t>
            </w:r>
            <w:r>
              <w:rPr>
                <w:rStyle w:val="43"/>
                <w:rFonts w:hint="default" w:ascii="宋体" w:hAnsi="宋体" w:eastAsia="宋体" w:cs="宋体"/>
                <w:b w:val="0"/>
                <w:color w:val="auto"/>
                <w:sz w:val="21"/>
                <w:szCs w:val="24"/>
                <w:highlight w:val="none"/>
              </w:rPr>
              <w:t xml:space="preserve"> 个月（202</w:t>
            </w:r>
            <w:r>
              <w:rPr>
                <w:rStyle w:val="43"/>
                <w:rFonts w:hint="eastAsia" w:ascii="宋体" w:hAnsi="宋体" w:eastAsia="宋体" w:cs="宋体"/>
                <w:b w:val="0"/>
                <w:color w:val="auto"/>
                <w:sz w:val="21"/>
                <w:szCs w:val="24"/>
                <w:highlight w:val="none"/>
                <w:lang w:val="en-US" w:eastAsia="zh-CN"/>
              </w:rPr>
              <w:t>6</w:t>
            </w:r>
            <w:r>
              <w:rPr>
                <w:rStyle w:val="43"/>
                <w:rFonts w:hint="default" w:ascii="宋体" w:hAnsi="宋体" w:eastAsia="宋体" w:cs="宋体"/>
                <w:b w:val="0"/>
                <w:color w:val="auto"/>
                <w:sz w:val="21"/>
                <w:szCs w:val="24"/>
                <w:highlight w:val="none"/>
              </w:rPr>
              <w:t xml:space="preserve"> 年 4月至投标截止时间止任意一个月）投标人为其依法缴纳社会保险的证明材料，且以上信息与录入“桂建云 ”的信息相符，否则该项不予计分。</w:t>
            </w:r>
          </w:p>
        </w:tc>
      </w:tr>
      <w:tr w14:paraId="5459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780" w:type="dxa"/>
            <w:gridSpan w:val="2"/>
            <w:vMerge w:val="continue"/>
            <w:noWrap w:val="0"/>
            <w:vAlign w:val="center"/>
          </w:tcPr>
          <w:p w14:paraId="2B0DD7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vMerge w:val="continue"/>
            <w:noWrap w:val="0"/>
            <w:vAlign w:val="center"/>
          </w:tcPr>
          <w:p w14:paraId="1D52AF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continue"/>
            <w:noWrap w:val="0"/>
            <w:vAlign w:val="center"/>
          </w:tcPr>
          <w:p w14:paraId="2B8566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836" w:type="dxa"/>
            <w:gridSpan w:val="2"/>
            <w:noWrap w:val="0"/>
            <w:vAlign w:val="center"/>
          </w:tcPr>
          <w:p w14:paraId="075B87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（六）拟投入施工机械设备情况（</w:t>
            </w:r>
            <w:r>
              <w:rPr>
                <w:rStyle w:val="43"/>
                <w:rFonts w:hint="default" w:ascii="宋体" w:hAnsi="宋体" w:eastAsia="宋体" w:cs="宋体"/>
                <w:b w:val="0"/>
                <w:color w:val="auto"/>
                <w:sz w:val="21"/>
                <w:szCs w:val="24"/>
                <w:highlight w:val="none"/>
              </w:rPr>
              <w:t>2.0-10.0分）</w:t>
            </w:r>
          </w:p>
        </w:tc>
        <w:tc>
          <w:tcPr>
            <w:tcW w:w="5421" w:type="dxa"/>
            <w:gridSpan w:val="2"/>
            <w:noWrap w:val="0"/>
            <w:vAlign w:val="center"/>
          </w:tcPr>
          <w:p w14:paraId="0236CCEA">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投入的施工机械、设备、机具有详细的组织计划且计划周密，设备数量、选型配置、进场时间安排合理，满足施工需要。</w:t>
            </w:r>
          </w:p>
          <w:p w14:paraId="7D40BD80">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优（10分）：</w:t>
            </w:r>
            <w:r>
              <w:rPr>
                <w:rStyle w:val="43"/>
                <w:rFonts w:hint="eastAsia" w:ascii="宋体" w:hAnsi="宋体" w:eastAsia="宋体" w:cs="宋体"/>
                <w:b w:val="0"/>
                <w:color w:val="auto"/>
                <w:kern w:val="2"/>
                <w:sz w:val="21"/>
                <w:szCs w:val="24"/>
                <w:highlight w:val="none"/>
              </w:rPr>
              <w:t>拟投入的主要机械设备、辅助施工设备器具齐全且配备 科学合理，资源配备计划完善，主要机械设备、施工机具、架料、仪器完全满足工程进度计划及施工管理措施需要，且拟投入的施工机械设备中至少具有切割机5 台及以上、电焊机5台及以上、空压机5台及以上、热熔机5台及以上的</w:t>
            </w:r>
            <w:r>
              <w:rPr>
                <w:rStyle w:val="43"/>
                <w:rFonts w:hint="default" w:ascii="宋体" w:hAnsi="宋体" w:eastAsia="宋体" w:cs="宋体"/>
                <w:b w:val="0"/>
                <w:color w:val="auto"/>
                <w:kern w:val="2"/>
                <w:sz w:val="21"/>
                <w:szCs w:val="24"/>
                <w:highlight w:val="none"/>
              </w:rPr>
              <w:t>。</w:t>
            </w:r>
          </w:p>
          <w:p w14:paraId="37559562">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eastAsia" w:ascii="宋体" w:hAnsi="宋体" w:eastAsia="宋体" w:cs="宋体"/>
                <w:b w:val="0"/>
                <w:color w:val="auto"/>
                <w:kern w:val="2"/>
                <w:sz w:val="21"/>
                <w:szCs w:val="24"/>
                <w:highlight w:val="none"/>
              </w:rPr>
              <w:t>良</w:t>
            </w:r>
            <w:r>
              <w:rPr>
                <w:rStyle w:val="43"/>
                <w:rFonts w:hint="default" w:ascii="宋体" w:hAnsi="宋体" w:eastAsia="宋体" w:cs="宋体"/>
                <w:b w:val="0"/>
                <w:color w:val="auto"/>
                <w:kern w:val="2"/>
                <w:sz w:val="21"/>
                <w:szCs w:val="24"/>
                <w:highlight w:val="none"/>
              </w:rPr>
              <w:t>（8分）：</w:t>
            </w:r>
            <w:r>
              <w:rPr>
                <w:rStyle w:val="43"/>
                <w:rFonts w:hint="eastAsia" w:ascii="宋体" w:hAnsi="宋体" w:eastAsia="宋体" w:cs="宋体"/>
                <w:b w:val="0"/>
                <w:color w:val="auto"/>
                <w:kern w:val="2"/>
                <w:sz w:val="21"/>
                <w:szCs w:val="24"/>
                <w:highlight w:val="none"/>
              </w:rPr>
              <w:t>拟投入的主要机械设备、辅助施工设备、器具齐全且配备较合理，资源配备计划较完善，主要机械设备、施工机具、架料、仪器较好满足工程进度计划及施工管理措施需要，且拟投入的施工机械设备中至少具有切割机4台及以上、电焊机4台及以上、空压机4台及以上、热熔机4台及以上的</w:t>
            </w:r>
            <w:r>
              <w:rPr>
                <w:rStyle w:val="43"/>
                <w:rFonts w:hint="default" w:ascii="宋体" w:hAnsi="宋体" w:eastAsia="宋体" w:cs="宋体"/>
                <w:b w:val="0"/>
                <w:color w:val="auto"/>
                <w:kern w:val="2"/>
                <w:sz w:val="21"/>
                <w:szCs w:val="24"/>
                <w:highlight w:val="none"/>
              </w:rPr>
              <w:t>。</w:t>
            </w:r>
          </w:p>
          <w:p w14:paraId="26B79E3D">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eastAsia" w:ascii="宋体" w:hAnsi="宋体" w:eastAsia="宋体" w:cs="宋体"/>
                <w:b w:val="0"/>
                <w:color w:val="auto"/>
                <w:kern w:val="2"/>
                <w:sz w:val="21"/>
                <w:szCs w:val="24"/>
                <w:highlight w:val="none"/>
              </w:rPr>
              <w:t>中</w:t>
            </w:r>
            <w:r>
              <w:rPr>
                <w:rStyle w:val="43"/>
                <w:rFonts w:hint="default" w:ascii="宋体" w:hAnsi="宋体" w:eastAsia="宋体" w:cs="宋体"/>
                <w:b w:val="0"/>
                <w:color w:val="auto"/>
                <w:kern w:val="2"/>
                <w:sz w:val="21"/>
                <w:szCs w:val="24"/>
                <w:highlight w:val="none"/>
              </w:rPr>
              <w:t>（6分）：</w:t>
            </w:r>
            <w:r>
              <w:rPr>
                <w:rStyle w:val="43"/>
                <w:rFonts w:hint="eastAsia" w:ascii="宋体" w:hAnsi="宋体" w:eastAsia="宋体" w:cs="宋体"/>
                <w:b w:val="0"/>
                <w:color w:val="auto"/>
                <w:kern w:val="2"/>
                <w:sz w:val="21"/>
                <w:szCs w:val="24"/>
                <w:highlight w:val="none"/>
              </w:rPr>
              <w:t>拟投入的主要机械设备、辅助施工设备、器具基本齐全，资源配备计划基本完整，主要机械设备、施工机具、架料、仪器基本满足工程进度计划及施工管理措施需要，且拟投入的施工机械设备中至少具有切割机3台及以上、电焊机3台及以上、空压机3台及以上、热熔机3台及以上的</w:t>
            </w:r>
            <w:r>
              <w:rPr>
                <w:rStyle w:val="43"/>
                <w:rFonts w:hint="default" w:ascii="宋体" w:hAnsi="宋体" w:eastAsia="宋体" w:cs="宋体"/>
                <w:b w:val="0"/>
                <w:color w:val="auto"/>
                <w:kern w:val="2"/>
                <w:sz w:val="21"/>
                <w:szCs w:val="24"/>
                <w:highlight w:val="none"/>
              </w:rPr>
              <w:t>。</w:t>
            </w:r>
          </w:p>
          <w:p w14:paraId="1BD8E760">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一般（4分）：</w:t>
            </w:r>
            <w:r>
              <w:rPr>
                <w:rStyle w:val="43"/>
                <w:rFonts w:hint="eastAsia" w:ascii="宋体" w:hAnsi="宋体" w:eastAsia="宋体" w:cs="宋体"/>
                <w:b w:val="0"/>
                <w:color w:val="auto"/>
                <w:kern w:val="2"/>
                <w:sz w:val="21"/>
                <w:szCs w:val="24"/>
                <w:highlight w:val="none"/>
              </w:rPr>
              <w:t xml:space="preserve"> 拟投入的设备、器具配备一般，资源配备计划简单，主要机械设备、施工机具、架料、仪器不能完全满足工程进度计划及施工管理措施需要，且拟投入的 施工机械设备中至少具有切割机2台及以上、电焊机2台及以上、空压机2台及以上、热熔机2台及以上的</w:t>
            </w:r>
            <w:r>
              <w:rPr>
                <w:rStyle w:val="43"/>
                <w:rFonts w:hint="default" w:ascii="宋体" w:hAnsi="宋体" w:eastAsia="宋体" w:cs="宋体"/>
                <w:b w:val="0"/>
                <w:color w:val="auto"/>
                <w:kern w:val="2"/>
                <w:sz w:val="21"/>
                <w:szCs w:val="24"/>
                <w:highlight w:val="none"/>
              </w:rPr>
              <w:t>。</w:t>
            </w:r>
          </w:p>
          <w:p w14:paraId="11E9719E">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差（2分）：</w:t>
            </w:r>
            <w:r>
              <w:rPr>
                <w:rStyle w:val="43"/>
                <w:rFonts w:hint="eastAsia" w:ascii="宋体" w:hAnsi="宋体" w:eastAsia="宋体" w:cs="宋体"/>
                <w:b w:val="0"/>
                <w:color w:val="auto"/>
                <w:kern w:val="2"/>
                <w:sz w:val="21"/>
                <w:szCs w:val="24"/>
                <w:highlight w:val="none"/>
              </w:rPr>
              <w:t>拟投入的主要机械设备、辅助施工设备、器具不齐全，投入计划与进度计划不呼应，基本满足施工需要</w:t>
            </w:r>
            <w:r>
              <w:rPr>
                <w:rStyle w:val="43"/>
                <w:rFonts w:hint="default" w:ascii="宋体" w:hAnsi="宋体" w:eastAsia="宋体" w:cs="宋体"/>
                <w:b w:val="0"/>
                <w:color w:val="auto"/>
                <w:kern w:val="2"/>
                <w:sz w:val="21"/>
                <w:szCs w:val="24"/>
                <w:highlight w:val="none"/>
              </w:rPr>
              <w:t>。</w:t>
            </w:r>
          </w:p>
          <w:p w14:paraId="472469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Style w:val="43"/>
                <w:rFonts w:hint="default" w:ascii="宋体" w:hAnsi="宋体" w:eastAsia="宋体" w:cs="宋体"/>
                <w:b w:val="0"/>
                <w:color w:val="auto"/>
                <w:sz w:val="21"/>
                <w:szCs w:val="24"/>
                <w:highlight w:val="none"/>
              </w:rPr>
              <w:t>注：未达到上述评分标准的得0分</w:t>
            </w:r>
          </w:p>
        </w:tc>
      </w:tr>
      <w:tr w14:paraId="7311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80" w:type="dxa"/>
            <w:gridSpan w:val="2"/>
            <w:vMerge w:val="continue"/>
            <w:noWrap w:val="0"/>
            <w:vAlign w:val="center"/>
          </w:tcPr>
          <w:p w14:paraId="727D3E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vMerge w:val="continue"/>
            <w:noWrap w:val="0"/>
            <w:vAlign w:val="center"/>
          </w:tcPr>
          <w:p w14:paraId="256122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655" w:type="dxa"/>
            <w:gridSpan w:val="2"/>
            <w:vMerge w:val="continue"/>
            <w:noWrap w:val="0"/>
            <w:vAlign w:val="center"/>
          </w:tcPr>
          <w:p w14:paraId="38114A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836" w:type="dxa"/>
            <w:gridSpan w:val="2"/>
            <w:noWrap w:val="0"/>
            <w:vAlign w:val="center"/>
          </w:tcPr>
          <w:p w14:paraId="4F5D4B7B">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highlight w:val="none"/>
                <w:shd w:val="clear" w:color="auto" w:fill="auto"/>
              </w:rPr>
            </w:pPr>
            <w:r>
              <w:rPr>
                <w:rStyle w:val="43"/>
                <w:rFonts w:hint="default" w:ascii="宋体" w:hAnsi="宋体" w:eastAsia="宋体" w:cs="宋体"/>
                <w:b w:val="0"/>
                <w:color w:val="auto"/>
                <w:kern w:val="2"/>
                <w:sz w:val="21"/>
                <w:szCs w:val="24"/>
                <w:highlight w:val="none"/>
              </w:rPr>
              <w:t>（七）企业财务状况（0.0-10.0分）</w:t>
            </w:r>
          </w:p>
        </w:tc>
        <w:tc>
          <w:tcPr>
            <w:tcW w:w="5421" w:type="dxa"/>
            <w:gridSpan w:val="2"/>
            <w:noWrap w:val="0"/>
            <w:vAlign w:val="center"/>
          </w:tcPr>
          <w:p w14:paraId="48F37F2C">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highlight w:val="none"/>
                <w:shd w:val="clear" w:color="auto" w:fill="auto"/>
              </w:rPr>
            </w:pPr>
            <w:r>
              <w:rPr>
                <w:rStyle w:val="43"/>
                <w:rFonts w:hint="default" w:ascii="宋体" w:hAnsi="宋体" w:eastAsia="宋体" w:cs="宋体"/>
                <w:b w:val="0"/>
                <w:color w:val="auto"/>
                <w:kern w:val="2"/>
                <w:sz w:val="21"/>
                <w:szCs w:val="24"/>
                <w:highlight w:val="none"/>
              </w:rPr>
              <w:t>提供2022年、2023年、2024年度经会计师事务所审计的财务报表的，每年得3.0分，提供三年的得满分10分。（对于从取得营业执照时间起到投标截止时间为止不足要求年数的企业，只需提交企业取得营业执照年份至所要求最近年份经审计的财务报表，若是投标当年成立的企业，其财务报表不要求经审计，得满分10分）。</w:t>
            </w:r>
          </w:p>
        </w:tc>
      </w:tr>
      <w:tr w14:paraId="5890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80" w:type="dxa"/>
            <w:gridSpan w:val="2"/>
            <w:noWrap w:val="0"/>
            <w:vAlign w:val="center"/>
          </w:tcPr>
          <w:p w14:paraId="087A1F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2.2</w:t>
            </w:r>
          </w:p>
        </w:tc>
        <w:tc>
          <w:tcPr>
            <w:tcW w:w="1382" w:type="dxa"/>
            <w:noWrap w:val="0"/>
            <w:vAlign w:val="center"/>
          </w:tcPr>
          <w:p w14:paraId="55D2D8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详细评审</w:t>
            </w:r>
          </w:p>
        </w:tc>
        <w:tc>
          <w:tcPr>
            <w:tcW w:w="7912" w:type="dxa"/>
            <w:gridSpan w:val="6"/>
            <w:noWrap w:val="0"/>
            <w:vAlign w:val="center"/>
          </w:tcPr>
          <w:p w14:paraId="4C2BE7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投标人通过</w:t>
            </w:r>
            <w:r>
              <w:rPr>
                <w:rFonts w:hint="eastAsia" w:ascii="Calibri" w:hAnsi="Calibri" w:eastAsia="宋体" w:cs="宋体"/>
                <w:color w:val="auto"/>
                <w:highlight w:val="none"/>
                <w:shd w:val="clear" w:color="auto" w:fill="auto"/>
                <w:lang w:eastAsia="zh-CN"/>
              </w:rPr>
              <w:t>了</w:t>
            </w:r>
            <w:r>
              <w:rPr>
                <w:rFonts w:hint="eastAsia" w:ascii="Calibri" w:hAnsi="Calibri" w:eastAsia="宋体" w:cs="宋体"/>
                <w:color w:val="auto"/>
                <w:highlight w:val="none"/>
                <w:shd w:val="clear" w:color="auto" w:fill="auto"/>
              </w:rPr>
              <w:t>形式评审和响应性评审</w:t>
            </w:r>
            <w:r>
              <w:rPr>
                <w:rFonts w:hint="eastAsia" w:ascii="Calibri" w:hAnsi="Calibri" w:eastAsia="宋体" w:cs="宋体"/>
                <w:color w:val="auto"/>
                <w:highlight w:val="none"/>
                <w:shd w:val="clear" w:color="auto" w:fill="auto"/>
                <w:lang w:eastAsia="zh-CN"/>
              </w:rPr>
              <w:t>后</w:t>
            </w:r>
            <w:r>
              <w:rPr>
                <w:rFonts w:hint="eastAsia" w:ascii="Calibri" w:hAnsi="Calibri" w:eastAsia="宋体" w:cs="宋体"/>
                <w:color w:val="auto"/>
                <w:highlight w:val="none"/>
                <w:shd w:val="clear" w:color="auto" w:fill="auto"/>
              </w:rPr>
              <w:t>，资格审查合格的，才能进入详细评审程序。</w:t>
            </w:r>
          </w:p>
        </w:tc>
      </w:tr>
      <w:tr w14:paraId="3081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80" w:type="dxa"/>
            <w:gridSpan w:val="2"/>
            <w:noWrap w:val="0"/>
            <w:vAlign w:val="center"/>
          </w:tcPr>
          <w:p w14:paraId="57B022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2.2.1</w:t>
            </w:r>
          </w:p>
        </w:tc>
        <w:tc>
          <w:tcPr>
            <w:tcW w:w="1382" w:type="dxa"/>
            <w:noWrap w:val="0"/>
            <w:vAlign w:val="center"/>
          </w:tcPr>
          <w:p w14:paraId="662150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分值构成</w:t>
            </w:r>
          </w:p>
        </w:tc>
        <w:tc>
          <w:tcPr>
            <w:tcW w:w="655" w:type="dxa"/>
            <w:gridSpan w:val="2"/>
            <w:noWrap w:val="0"/>
            <w:vAlign w:val="center"/>
          </w:tcPr>
          <w:p w14:paraId="166F33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630" w:firstLineChars="30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分</w:t>
            </w:r>
            <w:r>
              <w:rPr>
                <w:rFonts w:hint="eastAsia" w:ascii="Calibri" w:hAnsi="Calibri" w:cs="宋体"/>
                <w:color w:val="auto"/>
                <w:highlight w:val="none"/>
                <w:shd w:val="clear" w:color="auto" w:fill="auto"/>
                <w:lang w:val="en-US" w:eastAsia="zh-CN"/>
              </w:rPr>
              <w:t>分</w:t>
            </w:r>
            <w:r>
              <w:rPr>
                <w:rFonts w:hint="eastAsia" w:ascii="Calibri" w:hAnsi="Calibri" w:eastAsia="宋体" w:cs="宋体"/>
                <w:color w:val="auto"/>
                <w:highlight w:val="none"/>
                <w:shd w:val="clear" w:color="auto" w:fill="auto"/>
              </w:rPr>
              <w:t>值权重构成</w:t>
            </w:r>
          </w:p>
          <w:p w14:paraId="6E9B3D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100%</w:t>
            </w:r>
            <w:r>
              <w:rPr>
                <w:rFonts w:hint="eastAsia" w:ascii="Calibri" w:hAnsi="Calibri" w:cs="宋体"/>
                <w:color w:val="auto"/>
                <w:highlight w:val="none"/>
                <w:shd w:val="clear" w:color="auto" w:fill="auto"/>
                <w:lang w:eastAsia="zh-CN"/>
              </w:rPr>
              <w:t>)</w:t>
            </w:r>
          </w:p>
        </w:tc>
        <w:tc>
          <w:tcPr>
            <w:tcW w:w="7257" w:type="dxa"/>
            <w:gridSpan w:val="4"/>
            <w:noWrap w:val="0"/>
            <w:vAlign w:val="center"/>
          </w:tcPr>
          <w:p w14:paraId="4B4532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 xml:space="preserve">（1）技术标分值权重： </w:t>
            </w:r>
            <w:r>
              <w:rPr>
                <w:rFonts w:hint="default" w:ascii="Calibri" w:hAnsi="Calibri" w:eastAsia="宋体" w:cs="Times New Roman"/>
                <w:color w:val="auto"/>
                <w:highlight w:val="none"/>
                <w:u w:val="single"/>
                <w:shd w:val="clear" w:color="auto" w:fill="auto"/>
              </w:rPr>
              <w:t>35</w:t>
            </w:r>
            <w:r>
              <w:rPr>
                <w:rFonts w:hint="eastAsia" w:ascii="Calibri" w:hAnsi="Calibri" w:eastAsia="宋体" w:cs="宋体"/>
                <w:color w:val="auto"/>
                <w:highlight w:val="none"/>
                <w:u w:val="single"/>
                <w:shd w:val="clear" w:color="auto" w:fill="auto"/>
              </w:rPr>
              <w:t>%</w:t>
            </w:r>
          </w:p>
          <w:p w14:paraId="04C81D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Calibri" w:hAnsi="Calibri" w:eastAsia="宋体" w:cs="Times New Roman"/>
                <w:color w:val="auto"/>
                <w:highlight w:val="none"/>
                <w:u w:val="single"/>
                <w:shd w:val="clear" w:color="auto" w:fill="auto"/>
              </w:rPr>
            </w:pPr>
            <w:r>
              <w:rPr>
                <w:rFonts w:hint="eastAsia" w:ascii="Calibri" w:hAnsi="Calibri" w:eastAsia="宋体" w:cs="宋体"/>
                <w:color w:val="auto"/>
                <w:highlight w:val="none"/>
                <w:shd w:val="clear" w:color="auto" w:fill="auto"/>
              </w:rPr>
              <w:t>（2）</w:t>
            </w:r>
            <w:r>
              <w:rPr>
                <w:rFonts w:hint="eastAsia" w:ascii="宋体" w:hAnsi="宋体" w:eastAsia="宋体" w:cs="宋体"/>
                <w:color w:val="auto"/>
                <w:highlight w:val="none"/>
                <w:shd w:val="clear" w:color="auto" w:fill="auto"/>
              </w:rPr>
              <w:t xml:space="preserve">商务标分值权重： </w:t>
            </w:r>
            <w:r>
              <w:rPr>
                <w:rFonts w:hint="eastAsia" w:ascii="Calibri" w:hAnsi="Calibri" w:eastAsia="宋体" w:cs="Times New Roman"/>
                <w:color w:val="auto"/>
                <w:highlight w:val="none"/>
                <w:u w:val="single"/>
                <w:shd w:val="clear" w:color="auto" w:fill="auto"/>
              </w:rPr>
              <w:t>65%</w:t>
            </w:r>
          </w:p>
          <w:p w14:paraId="2B6A90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 xml:space="preserve"> 报价分分值权重=商务标分值权重</w:t>
            </w:r>
            <w:r>
              <w:rPr>
                <w:rFonts w:hint="eastAsia" w:ascii="宋体" w:hAnsi="宋体" w:cs="宋体"/>
                <w:color w:val="auto"/>
                <w:highlight w:val="none"/>
                <w:shd w:val="clear" w:color="auto" w:fill="auto"/>
                <w:lang w:val="en-US" w:eastAsia="zh-CN"/>
              </w:rPr>
              <w:t>-</w:t>
            </w:r>
            <w:r>
              <w:rPr>
                <w:rFonts w:hint="eastAsia" w:ascii="宋体" w:hAnsi="宋体" w:eastAsia="宋体" w:cs="宋体"/>
                <w:color w:val="auto"/>
                <w:highlight w:val="none"/>
                <w:shd w:val="clear" w:color="auto" w:fill="auto"/>
              </w:rPr>
              <w:t>企业信誉实力分分值权重（</w:t>
            </w:r>
            <w:r>
              <w:rPr>
                <w:rFonts w:hint="default" w:ascii="宋体" w:hAnsi="宋体" w:eastAsia="宋体" w:cs="宋体"/>
                <w:color w:val="auto"/>
                <w:highlight w:val="none"/>
                <w:shd w:val="clear" w:color="auto" w:fill="auto"/>
              </w:rPr>
              <w:t>20%</w:t>
            </w:r>
            <w:r>
              <w:rPr>
                <w:rFonts w:hint="eastAsia" w:ascii="宋体" w:hAnsi="宋体" w:eastAsia="宋体" w:cs="宋体"/>
                <w:color w:val="auto"/>
                <w:highlight w:val="none"/>
                <w:shd w:val="clear" w:color="auto" w:fill="auto"/>
              </w:rPr>
              <w:t xml:space="preserve">） </w:t>
            </w:r>
          </w:p>
          <w:p w14:paraId="28A4A8E3">
            <w:pPr>
              <w:keepNext w:val="0"/>
              <w:keepLines w:val="0"/>
              <w:suppressLineNumbers w:val="0"/>
              <w:adjustRightInd/>
              <w:spacing w:before="0" w:beforeAutospacing="0" w:after="0" w:afterAutospacing="0" w:line="360" w:lineRule="exact"/>
              <w:ind w:left="0" w:right="0" w:firstLine="420" w:firstLineChars="200"/>
              <w:textAlignment w:val="auto"/>
              <w:rPr>
                <w:rFonts w:hint="eastAsia" w:eastAsia="宋体"/>
                <w:color w:val="auto"/>
                <w:highlight w:val="none"/>
                <w:shd w:val="clear" w:color="auto" w:fill="auto"/>
                <w:lang w:val="en-US" w:eastAsia="zh-CN"/>
              </w:rPr>
            </w:pPr>
            <w:r>
              <w:rPr>
                <w:rFonts w:hint="eastAsia" w:ascii="Calibri" w:hAnsi="Calibri" w:eastAsia="宋体" w:cs="宋体"/>
                <w:color w:val="auto"/>
                <w:highlight w:val="none"/>
                <w:shd w:val="clear" w:color="auto" w:fill="auto"/>
              </w:rPr>
              <w:t>企业信誉实力加权得分=根据实时公布的自治区级诚信综合评价分（百分制）×</w:t>
            </w:r>
            <w:r>
              <w:rPr>
                <w:rFonts w:hint="eastAsia" w:ascii="Calibri" w:hAnsi="Calibri" w:eastAsia="宋体" w:cs="宋体"/>
                <w:color w:val="auto"/>
                <w:highlight w:val="none"/>
                <w:u w:val="single"/>
                <w:shd w:val="clear" w:color="auto" w:fill="auto"/>
              </w:rPr>
              <w:t xml:space="preserve">  </w:t>
            </w:r>
            <w:r>
              <w:rPr>
                <w:rFonts w:hint="eastAsia" w:ascii="Calibri" w:hAnsi="Calibri" w:cs="宋体"/>
                <w:color w:val="auto"/>
                <w:highlight w:val="none"/>
                <w:u w:val="single"/>
                <w:shd w:val="clear" w:color="auto" w:fill="auto"/>
                <w:lang w:val="en-US" w:eastAsia="zh-CN"/>
              </w:rPr>
              <w:t>20</w:t>
            </w:r>
            <w:r>
              <w:rPr>
                <w:rFonts w:hint="eastAsia" w:ascii="Calibri" w:hAnsi="Calibri" w:eastAsia="宋体" w:cs="宋体"/>
                <w:color w:val="auto"/>
                <w:highlight w:val="none"/>
                <w:u w:val="single"/>
                <w:shd w:val="clear" w:color="auto" w:fill="auto"/>
              </w:rPr>
              <w:t xml:space="preserve">  </w:t>
            </w:r>
            <w:r>
              <w:rPr>
                <w:rFonts w:hint="eastAsia"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lang w:eastAsia="zh-CN"/>
              </w:rPr>
              <w:t>最高投标限价</w:t>
            </w:r>
            <w:r>
              <w:rPr>
                <w:rFonts w:hint="eastAsia" w:ascii="Calibri" w:hAnsi="Calibri" w:eastAsia="宋体" w:cs="宋体"/>
                <w:color w:val="auto"/>
                <w:highlight w:val="none"/>
                <w:shd w:val="clear" w:color="auto" w:fill="auto"/>
              </w:rPr>
              <w:t>1亿元以上取50%-100%，1亿元以下取</w:t>
            </w:r>
            <w:r>
              <w:rPr>
                <w:rFonts w:hint="eastAsia" w:ascii="Calibri" w:hAnsi="Calibri" w:cs="宋体"/>
                <w:color w:val="auto"/>
                <w:highlight w:val="none"/>
                <w:shd w:val="clear" w:color="auto" w:fill="auto"/>
                <w:lang w:val="en-US" w:eastAsia="zh-CN"/>
              </w:rPr>
              <w:t>4</w:t>
            </w:r>
            <w:r>
              <w:rPr>
                <w:rFonts w:hint="eastAsia" w:ascii="Calibri" w:hAnsi="Calibri" w:eastAsia="宋体" w:cs="宋体"/>
                <w:color w:val="auto"/>
                <w:highlight w:val="none"/>
                <w:shd w:val="clear" w:color="auto" w:fill="auto"/>
              </w:rPr>
              <w:t>0%-100%）×企业信誉实力分分值权重（</w:t>
            </w:r>
            <w:r>
              <w:rPr>
                <w:rFonts w:hint="default" w:ascii="Calibri" w:hAnsi="Calibri" w:eastAsia="宋体" w:cs="宋体"/>
                <w:color w:val="auto"/>
                <w:highlight w:val="none"/>
                <w:shd w:val="clear" w:color="auto" w:fill="auto"/>
              </w:rPr>
              <w:t>2</w:t>
            </w:r>
            <w:r>
              <w:rPr>
                <w:rFonts w:hint="eastAsia" w:ascii="Calibri" w:hAnsi="Calibri" w:eastAsia="宋体" w:cs="宋体"/>
                <w:color w:val="auto"/>
                <w:highlight w:val="none"/>
                <w:shd w:val="clear" w:color="auto" w:fill="auto"/>
              </w:rPr>
              <w:t>0%）+根据实时公布的项目所在地设区市级诚信综合评价分（百分制）×</w:t>
            </w:r>
            <w:r>
              <w:rPr>
                <w:rFonts w:hint="eastAsia" w:ascii="Calibri" w:hAnsi="Calibri" w:eastAsia="宋体" w:cs="宋体"/>
                <w:color w:val="auto"/>
                <w:highlight w:val="none"/>
                <w:u w:val="single"/>
                <w:shd w:val="clear" w:color="auto" w:fill="auto"/>
              </w:rPr>
              <w:t xml:space="preserve"> </w:t>
            </w:r>
            <w:r>
              <w:rPr>
                <w:rFonts w:hint="eastAsia" w:ascii="Calibri" w:hAnsi="Calibri" w:cs="宋体"/>
                <w:color w:val="auto"/>
                <w:highlight w:val="none"/>
                <w:u w:val="single"/>
                <w:shd w:val="clear" w:color="auto" w:fill="auto"/>
                <w:lang w:val="en-US" w:eastAsia="zh-CN"/>
              </w:rPr>
              <w:t xml:space="preserve">20   </w:t>
            </w:r>
            <w:r>
              <w:rPr>
                <w:rFonts w:hint="eastAsia"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lang w:eastAsia="zh-CN"/>
              </w:rPr>
              <w:t>最高投标限价</w:t>
            </w:r>
            <w:r>
              <w:rPr>
                <w:rFonts w:hint="eastAsia" w:ascii="Calibri" w:hAnsi="Calibri" w:eastAsia="宋体" w:cs="宋体"/>
                <w:color w:val="auto"/>
                <w:highlight w:val="none"/>
                <w:shd w:val="clear" w:color="auto" w:fill="auto"/>
              </w:rPr>
              <w:t>1亿元以上取50%-0%，1亿元以下</w:t>
            </w:r>
            <w:r>
              <w:rPr>
                <w:rFonts w:hint="eastAsia" w:ascii="Calibri" w:hAnsi="Calibri" w:cs="宋体"/>
                <w:color w:val="auto"/>
                <w:highlight w:val="none"/>
                <w:shd w:val="clear" w:color="auto" w:fill="auto"/>
                <w:lang w:val="en-US" w:eastAsia="zh-CN"/>
              </w:rPr>
              <w:t>6</w:t>
            </w:r>
            <w:r>
              <w:rPr>
                <w:rFonts w:hint="eastAsia" w:ascii="Calibri" w:hAnsi="Calibri" w:eastAsia="宋体" w:cs="宋体"/>
                <w:color w:val="auto"/>
                <w:highlight w:val="none"/>
                <w:shd w:val="clear" w:color="auto" w:fill="auto"/>
              </w:rPr>
              <w:t>0%-0%）×企业信誉实力分分值权重（</w:t>
            </w:r>
            <w:r>
              <w:rPr>
                <w:rFonts w:hint="default" w:ascii="Calibri" w:hAnsi="Calibri" w:eastAsia="宋体" w:cs="宋体"/>
                <w:color w:val="auto"/>
                <w:highlight w:val="none"/>
                <w:shd w:val="clear" w:color="auto" w:fill="auto"/>
              </w:rPr>
              <w:t>2</w:t>
            </w:r>
            <w:r>
              <w:rPr>
                <w:rFonts w:hint="eastAsia" w:ascii="Calibri" w:hAnsi="Calibri" w:eastAsia="宋体" w:cs="宋体"/>
                <w:color w:val="auto"/>
                <w:highlight w:val="none"/>
                <w:shd w:val="clear" w:color="auto" w:fill="auto"/>
              </w:rPr>
              <w:t>0%）</w:t>
            </w:r>
          </w:p>
        </w:tc>
      </w:tr>
      <w:tr w14:paraId="358D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80" w:type="dxa"/>
            <w:gridSpan w:val="2"/>
            <w:vMerge w:val="restart"/>
            <w:noWrap w:val="0"/>
            <w:vAlign w:val="center"/>
          </w:tcPr>
          <w:p w14:paraId="7FD3F4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2.2.2</w:t>
            </w:r>
            <w:r>
              <w:rPr>
                <w:rFonts w:hint="eastAsia" w:ascii="Calibri" w:hAnsi="Calibri" w:cs="Times New Roman"/>
                <w:color w:val="auto"/>
                <w:highlight w:val="none"/>
                <w:shd w:val="clear" w:color="auto" w:fill="auto"/>
                <w:lang w:eastAsia="zh-CN"/>
              </w:rPr>
              <w:t>(</w:t>
            </w:r>
            <w:r>
              <w:rPr>
                <w:rFonts w:hint="default" w:ascii="Calibri" w:hAnsi="Calibri" w:eastAsia="宋体" w:cs="Times New Roman"/>
                <w:color w:val="auto"/>
                <w:highlight w:val="none"/>
                <w:shd w:val="clear" w:color="auto" w:fill="auto"/>
              </w:rPr>
              <w:t>1</w:t>
            </w:r>
            <w:r>
              <w:rPr>
                <w:rFonts w:hint="eastAsia" w:ascii="Calibri" w:hAnsi="Calibri" w:cs="Times New Roman"/>
                <w:color w:val="auto"/>
                <w:highlight w:val="none"/>
                <w:shd w:val="clear" w:color="auto" w:fill="auto"/>
                <w:lang w:eastAsia="zh-CN"/>
              </w:rPr>
              <w:t>)</w:t>
            </w:r>
          </w:p>
        </w:tc>
        <w:tc>
          <w:tcPr>
            <w:tcW w:w="1382" w:type="dxa"/>
            <w:vMerge w:val="restart"/>
            <w:noWrap w:val="0"/>
            <w:vAlign w:val="center"/>
          </w:tcPr>
          <w:p w14:paraId="1550AB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技术标</w:t>
            </w:r>
          </w:p>
          <w:p w14:paraId="1FDBFB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评分标准</w:t>
            </w:r>
          </w:p>
          <w:p w14:paraId="1EA870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（分值权重□</w:t>
            </w:r>
            <w:r>
              <w:rPr>
                <w:rFonts w:hint="eastAsia" w:ascii="Calibri" w:hAnsi="Calibri" w:eastAsia="宋体" w:cs="Times New Roman"/>
                <w:color w:val="auto"/>
                <w:highlight w:val="none"/>
                <w:shd w:val="clear" w:color="auto" w:fill="auto"/>
              </w:rPr>
              <w:t>1</w:t>
            </w:r>
            <w:r>
              <w:rPr>
                <w:rFonts w:hint="default" w:ascii="Calibri" w:hAnsi="Calibri" w:eastAsia="宋体" w:cs="Times New Roman"/>
                <w:color w:val="auto"/>
                <w:highlight w:val="none"/>
                <w:shd w:val="clear" w:color="auto" w:fill="auto"/>
              </w:rPr>
              <w:t>0</w:t>
            </w:r>
            <w:r>
              <w:rPr>
                <w:rFonts w:hint="eastAsia" w:ascii="Calibri" w:hAnsi="Calibri" w:eastAsia="宋体" w:cs="宋体"/>
                <w:color w:val="auto"/>
                <w:highlight w:val="none"/>
                <w:shd w:val="clear" w:color="auto" w:fill="auto"/>
              </w:rPr>
              <w:t>%□</w:t>
            </w:r>
            <w:r>
              <w:rPr>
                <w:rFonts w:hint="eastAsia" w:ascii="Calibri" w:hAnsi="Calibri" w:eastAsia="宋体" w:cs="Times New Roman"/>
                <w:color w:val="auto"/>
                <w:highlight w:val="none"/>
                <w:shd w:val="clear" w:color="auto" w:fill="auto"/>
              </w:rPr>
              <w:t>1</w:t>
            </w:r>
            <w:r>
              <w:rPr>
                <w:rFonts w:hint="eastAsia" w:ascii="Calibri" w:hAnsi="Calibri" w:cs="Times New Roman"/>
                <w:color w:val="auto"/>
                <w:highlight w:val="none"/>
                <w:shd w:val="clear" w:color="auto" w:fill="auto"/>
                <w:lang w:val="en-US" w:eastAsia="zh-CN"/>
              </w:rPr>
              <w:t>5</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20</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25</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30</w:t>
            </w:r>
            <w:r>
              <w:rPr>
                <w:rFonts w:hint="eastAsia" w:ascii="Calibri" w:hAnsi="Calibri" w:eastAsia="宋体" w:cs="宋体"/>
                <w:color w:val="auto"/>
                <w:highlight w:val="none"/>
                <w:shd w:val="clear" w:color="auto" w:fill="auto"/>
              </w:rPr>
              <w:t>%</w:t>
            </w:r>
            <w:r>
              <w:rPr>
                <w:rFonts w:hint="eastAsia" w:ascii="Calibri" w:hAnsi="Calibri" w:cs="宋体"/>
                <w:color w:val="auto"/>
                <w:highlight w:val="none"/>
                <w:shd w:val="clear" w:color="auto" w:fill="auto"/>
                <w:lang w:eastAsia="zh-CN"/>
              </w:rPr>
              <w:t>☑</w:t>
            </w:r>
            <w:r>
              <w:rPr>
                <w:rFonts w:hint="default" w:ascii="Calibri" w:hAnsi="Calibri" w:eastAsia="宋体" w:cs="Times New Roman"/>
                <w:color w:val="auto"/>
                <w:highlight w:val="none"/>
                <w:shd w:val="clear" w:color="auto" w:fill="auto"/>
              </w:rPr>
              <w:t>35</w:t>
            </w:r>
            <w:r>
              <w:rPr>
                <w:rFonts w:hint="eastAsia" w:ascii="Calibri" w:hAnsi="Calibri" w:eastAsia="宋体" w:cs="宋体"/>
                <w:color w:val="auto"/>
                <w:highlight w:val="none"/>
                <w:shd w:val="clear" w:color="auto" w:fill="auto"/>
              </w:rPr>
              <w:t>%）</w:t>
            </w:r>
          </w:p>
        </w:tc>
        <w:tc>
          <w:tcPr>
            <w:tcW w:w="7912" w:type="dxa"/>
            <w:gridSpan w:val="6"/>
            <w:noWrap w:val="0"/>
            <w:vAlign w:val="center"/>
          </w:tcPr>
          <w:p w14:paraId="6320D6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合格标准：</w:t>
            </w:r>
          </w:p>
          <w:p w14:paraId="4392C7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技术标加权得分</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（项目管理机构得分</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施工组织设计得分）</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技术标分值权重</w:t>
            </w:r>
          </w:p>
          <w:p w14:paraId="0C3A7A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技术标得分低于</w:t>
            </w:r>
            <w:r>
              <w:rPr>
                <w:rFonts w:hint="eastAsia" w:ascii="Calibri" w:hAnsi="Calibri" w:eastAsia="宋体" w:cs="Times New Roman"/>
                <w:color w:val="auto"/>
                <w:highlight w:val="none"/>
                <w:shd w:val="clear" w:color="auto" w:fill="auto"/>
              </w:rPr>
              <w:t>技术标满分的60%的</w:t>
            </w:r>
            <w:r>
              <w:rPr>
                <w:rFonts w:hint="eastAsia" w:ascii="Calibri" w:hAnsi="Calibri" w:eastAsia="宋体" w:cs="宋体"/>
                <w:color w:val="auto"/>
                <w:highlight w:val="none"/>
                <w:shd w:val="clear" w:color="auto" w:fill="auto"/>
              </w:rPr>
              <w:t>，技术标评审不合格。</w:t>
            </w:r>
          </w:p>
        </w:tc>
      </w:tr>
      <w:tr w14:paraId="4FF6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0" w:type="dxa"/>
            <w:gridSpan w:val="2"/>
            <w:vMerge w:val="continue"/>
            <w:noWrap w:val="0"/>
            <w:vAlign w:val="center"/>
          </w:tcPr>
          <w:p w14:paraId="38C713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vMerge w:val="continue"/>
            <w:noWrap w:val="0"/>
            <w:vAlign w:val="center"/>
          </w:tcPr>
          <w:p w14:paraId="4A4539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restart"/>
            <w:noWrap w:val="0"/>
            <w:vAlign w:val="center"/>
          </w:tcPr>
          <w:p w14:paraId="4375F3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项目管理机构</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明</w:t>
            </w:r>
            <w:r>
              <w:rPr>
                <w:rFonts w:hint="default" w:ascii="Calibri" w:hAnsi="Calibri" w:eastAsia="宋体" w:cs="宋体"/>
                <w:color w:val="auto"/>
                <w:highlight w:val="none"/>
                <w:shd w:val="clear" w:color="auto" w:fill="auto"/>
              </w:rPr>
              <w:t>标</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20</w:t>
            </w:r>
            <w:r>
              <w:rPr>
                <w:rFonts w:hint="eastAsia" w:ascii="Calibri" w:hAnsi="Calibri" w:eastAsia="宋体" w:cs="宋体"/>
                <w:color w:val="auto"/>
                <w:highlight w:val="none"/>
                <w:shd w:val="clear" w:color="auto" w:fill="auto"/>
              </w:rPr>
              <w:t>分）</w:t>
            </w:r>
          </w:p>
        </w:tc>
        <w:tc>
          <w:tcPr>
            <w:tcW w:w="1930" w:type="dxa"/>
            <w:gridSpan w:val="3"/>
            <w:noWrap w:val="0"/>
            <w:vAlign w:val="center"/>
          </w:tcPr>
          <w:p w14:paraId="3E4C5688">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highlight w:val="none"/>
                <w:shd w:val="clear" w:color="auto" w:fill="auto"/>
              </w:rPr>
            </w:pPr>
            <w:r>
              <w:rPr>
                <w:rStyle w:val="43"/>
                <w:rFonts w:hint="default" w:ascii="宋体" w:hAnsi="宋体" w:eastAsia="宋体" w:cs="宋体"/>
                <w:b w:val="0"/>
                <w:color w:val="auto"/>
                <w:kern w:val="2"/>
                <w:sz w:val="21"/>
                <w:szCs w:val="24"/>
                <w:highlight w:val="none"/>
              </w:rPr>
              <w:t>项目经理任职资格与业绩、工作经历等（10.0分）</w:t>
            </w:r>
          </w:p>
        </w:tc>
        <w:tc>
          <w:tcPr>
            <w:tcW w:w="5421" w:type="dxa"/>
            <w:gridSpan w:val="2"/>
            <w:noWrap w:val="0"/>
            <w:vAlign w:val="center"/>
          </w:tcPr>
          <w:p w14:paraId="59C085F9">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eastAsia" w:ascii="宋体" w:hAnsi="宋体" w:eastAsia="宋体" w:cs="宋体"/>
                <w:b w:val="0"/>
                <w:color w:val="auto"/>
                <w:kern w:val="2"/>
                <w:sz w:val="21"/>
                <w:szCs w:val="24"/>
                <w:highlight w:val="none"/>
              </w:rPr>
              <w:t>拟派任项目经理（或注册建造师）必须与资格审查合格通过的项目经理（或注册建造师）在名称、专业、资格等级等方面一致。</w:t>
            </w:r>
          </w:p>
          <w:p w14:paraId="2F4492CF">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(1)项目经理注册资格</w:t>
            </w:r>
          </w:p>
          <w:p w14:paraId="53EEBC69">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拟投入项目经理具备建筑工程专业</w:t>
            </w:r>
            <w:r>
              <w:rPr>
                <w:rStyle w:val="43"/>
                <w:rFonts w:hint="eastAsia" w:ascii="宋体" w:hAnsi="宋体" w:eastAsia="宋体" w:cs="宋体"/>
                <w:b w:val="0"/>
                <w:color w:val="auto"/>
                <w:kern w:val="2"/>
                <w:sz w:val="21"/>
                <w:szCs w:val="24"/>
                <w:highlight w:val="none"/>
                <w:lang w:eastAsia="zh-CN"/>
              </w:rPr>
              <w:t>二</w:t>
            </w:r>
            <w:r>
              <w:rPr>
                <w:rStyle w:val="43"/>
                <w:rFonts w:hint="default" w:ascii="宋体" w:hAnsi="宋体" w:eastAsia="宋体" w:cs="宋体"/>
                <w:b w:val="0"/>
                <w:color w:val="auto"/>
                <w:kern w:val="2"/>
                <w:sz w:val="21"/>
                <w:szCs w:val="24"/>
                <w:highlight w:val="none"/>
              </w:rPr>
              <w:t>级注册建造师执业资格，并具备有效的安全生产考核合格证书（B 类）的，得4分。</w:t>
            </w:r>
          </w:p>
          <w:p w14:paraId="2EABB05B">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(2)项目经理职称</w:t>
            </w:r>
          </w:p>
          <w:p w14:paraId="253A038C">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拟投入项目经理具有工程类专业高级及以上工程师职称的，得 3分；具有工程类专业中级工程师职称的，得1分。</w:t>
            </w:r>
          </w:p>
          <w:p w14:paraId="73DCFC5D">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（3）拟投入项目经理须具备相应管理业绩经验：自202</w:t>
            </w:r>
            <w:r>
              <w:rPr>
                <w:rStyle w:val="43"/>
                <w:rFonts w:hint="eastAsia" w:ascii="宋体" w:hAnsi="宋体" w:eastAsia="宋体" w:cs="宋体"/>
                <w:b w:val="0"/>
                <w:color w:val="auto"/>
                <w:kern w:val="2"/>
                <w:sz w:val="21"/>
                <w:szCs w:val="24"/>
                <w:highlight w:val="none"/>
                <w:lang w:val="en-US" w:eastAsia="zh-CN"/>
              </w:rPr>
              <w:t>3</w:t>
            </w:r>
            <w:r>
              <w:rPr>
                <w:rStyle w:val="43"/>
                <w:rFonts w:hint="default" w:ascii="宋体" w:hAnsi="宋体" w:eastAsia="宋体" w:cs="宋体"/>
                <w:b w:val="0"/>
                <w:color w:val="auto"/>
                <w:kern w:val="2"/>
                <w:sz w:val="21"/>
                <w:szCs w:val="24"/>
                <w:highlight w:val="none"/>
              </w:rPr>
              <w:t>年</w:t>
            </w:r>
            <w:r>
              <w:rPr>
                <w:rStyle w:val="43"/>
                <w:rFonts w:hint="eastAsia" w:ascii="宋体" w:hAnsi="宋体" w:eastAsia="宋体" w:cs="宋体"/>
                <w:b w:val="0"/>
                <w:color w:val="auto"/>
                <w:kern w:val="2"/>
                <w:sz w:val="21"/>
                <w:szCs w:val="24"/>
                <w:highlight w:val="none"/>
                <w:lang w:val="en-US" w:eastAsia="zh-CN"/>
              </w:rPr>
              <w:t>5</w:t>
            </w:r>
            <w:r>
              <w:rPr>
                <w:rStyle w:val="43"/>
                <w:rFonts w:hint="default" w:ascii="宋体" w:hAnsi="宋体" w:eastAsia="宋体" w:cs="宋体"/>
                <w:b w:val="0"/>
                <w:color w:val="auto"/>
                <w:kern w:val="2"/>
                <w:sz w:val="21"/>
                <w:szCs w:val="24"/>
                <w:highlight w:val="none"/>
              </w:rPr>
              <w:t>月起至投标截止时间止，曾以项目经理身份完成过单项合同金额</w:t>
            </w:r>
            <w:r>
              <w:rPr>
                <w:rStyle w:val="43"/>
                <w:rFonts w:hint="eastAsia" w:ascii="宋体" w:hAnsi="宋体" w:eastAsia="宋体" w:cs="宋体"/>
                <w:b w:val="0"/>
                <w:color w:val="auto"/>
                <w:kern w:val="2"/>
                <w:sz w:val="21"/>
                <w:szCs w:val="24"/>
                <w:highlight w:val="none"/>
                <w:lang w:val="en-US" w:eastAsia="zh-CN"/>
              </w:rPr>
              <w:t>4</w:t>
            </w:r>
            <w:r>
              <w:rPr>
                <w:rStyle w:val="43"/>
                <w:rFonts w:hint="default" w:ascii="宋体" w:hAnsi="宋体" w:eastAsia="宋体" w:cs="宋体"/>
                <w:b w:val="0"/>
                <w:color w:val="auto"/>
                <w:kern w:val="2"/>
                <w:sz w:val="21"/>
                <w:szCs w:val="24"/>
                <w:highlight w:val="none"/>
              </w:rPr>
              <w:t>00万元及以上或建筑总面积2000平方米及以上的</w:t>
            </w:r>
            <w:r>
              <w:rPr>
                <w:rStyle w:val="43"/>
                <w:rFonts w:hint="eastAsia" w:ascii="宋体" w:hAnsi="宋体" w:eastAsia="宋体" w:cs="宋体"/>
                <w:b w:val="0"/>
                <w:color w:val="auto"/>
                <w:kern w:val="2"/>
                <w:sz w:val="21"/>
                <w:szCs w:val="24"/>
                <w:highlight w:val="none"/>
              </w:rPr>
              <w:t>建筑装饰装修</w:t>
            </w:r>
            <w:r>
              <w:rPr>
                <w:rStyle w:val="43"/>
                <w:rFonts w:hint="default" w:ascii="宋体" w:hAnsi="宋体" w:eastAsia="宋体" w:cs="宋体"/>
                <w:b w:val="0"/>
                <w:color w:val="auto"/>
                <w:kern w:val="2"/>
                <w:sz w:val="21"/>
                <w:szCs w:val="24"/>
                <w:highlight w:val="none"/>
              </w:rPr>
              <w:t>工程项目，每满足1项得3分，满分3分。</w:t>
            </w:r>
          </w:p>
          <w:p w14:paraId="3E655E8A">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highlight w:val="none"/>
                <w:shd w:val="clear" w:color="auto" w:fill="auto"/>
              </w:rPr>
            </w:pPr>
            <w:r>
              <w:rPr>
                <w:rStyle w:val="43"/>
                <w:rFonts w:hint="default" w:ascii="宋体" w:hAnsi="宋体" w:eastAsia="宋体" w:cs="宋体"/>
                <w:b w:val="0"/>
                <w:color w:val="auto"/>
                <w:kern w:val="2"/>
                <w:sz w:val="21"/>
                <w:szCs w:val="24"/>
                <w:highlight w:val="none"/>
              </w:rPr>
              <w:t xml:space="preserve">注：提供上述人员近 </w:t>
            </w:r>
            <w:r>
              <w:rPr>
                <w:rStyle w:val="43"/>
                <w:rFonts w:hint="eastAsia" w:ascii="宋体" w:hAnsi="宋体" w:eastAsia="宋体" w:cs="宋体"/>
                <w:b w:val="0"/>
                <w:color w:val="auto"/>
                <w:kern w:val="2"/>
                <w:sz w:val="21"/>
                <w:szCs w:val="24"/>
                <w:highlight w:val="none"/>
                <w:lang w:val="en-US" w:eastAsia="zh-CN"/>
              </w:rPr>
              <w:t>3</w:t>
            </w:r>
            <w:r>
              <w:rPr>
                <w:rStyle w:val="43"/>
                <w:rFonts w:hint="default" w:ascii="宋体" w:hAnsi="宋体" w:eastAsia="宋体" w:cs="宋体"/>
                <w:b w:val="0"/>
                <w:color w:val="auto"/>
                <w:kern w:val="2"/>
                <w:sz w:val="21"/>
                <w:szCs w:val="24"/>
                <w:highlight w:val="none"/>
              </w:rPr>
              <w:t xml:space="preserve"> 个月（202</w:t>
            </w:r>
            <w:r>
              <w:rPr>
                <w:rStyle w:val="43"/>
                <w:rFonts w:hint="eastAsia" w:ascii="宋体" w:hAnsi="宋体" w:eastAsia="宋体" w:cs="宋体"/>
                <w:b w:val="0"/>
                <w:color w:val="auto"/>
                <w:kern w:val="2"/>
                <w:sz w:val="21"/>
                <w:szCs w:val="24"/>
                <w:highlight w:val="none"/>
                <w:lang w:val="en-US" w:eastAsia="zh-CN"/>
              </w:rPr>
              <w:t>6</w:t>
            </w:r>
            <w:r>
              <w:rPr>
                <w:rStyle w:val="43"/>
                <w:rFonts w:hint="default" w:ascii="宋体" w:hAnsi="宋体" w:eastAsia="宋体" w:cs="宋体"/>
                <w:b w:val="0"/>
                <w:color w:val="auto"/>
                <w:kern w:val="2"/>
                <w:sz w:val="21"/>
                <w:szCs w:val="24"/>
                <w:highlight w:val="none"/>
              </w:rPr>
              <w:t>年 4月至投标截止时间止任意一个月）投标人为其依法缴纳社会保险的证明材料，且以上信息与录入“桂建云 ”的信息相符，否则该项不予计分。</w:t>
            </w:r>
          </w:p>
        </w:tc>
      </w:tr>
      <w:tr w14:paraId="7ACE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80" w:type="dxa"/>
            <w:gridSpan w:val="2"/>
            <w:vMerge w:val="continue"/>
            <w:noWrap w:val="0"/>
            <w:vAlign w:val="center"/>
          </w:tcPr>
          <w:p w14:paraId="575481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vMerge w:val="continue"/>
            <w:noWrap w:val="0"/>
            <w:vAlign w:val="center"/>
          </w:tcPr>
          <w:p w14:paraId="356E46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1F73E6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kern w:val="0"/>
                <w:highlight w:val="none"/>
                <w:shd w:val="clear" w:color="auto" w:fill="auto"/>
              </w:rPr>
            </w:pPr>
          </w:p>
        </w:tc>
        <w:tc>
          <w:tcPr>
            <w:tcW w:w="1930" w:type="dxa"/>
            <w:gridSpan w:val="3"/>
            <w:noWrap w:val="0"/>
            <w:vAlign w:val="center"/>
          </w:tcPr>
          <w:p w14:paraId="58A1C004">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highlight w:val="none"/>
                <w:shd w:val="clear" w:color="auto" w:fill="auto"/>
              </w:rPr>
            </w:pPr>
            <w:r>
              <w:rPr>
                <w:rStyle w:val="43"/>
                <w:rFonts w:hint="default" w:ascii="宋体" w:hAnsi="宋体" w:eastAsia="宋体" w:cs="宋体"/>
                <w:b w:val="0"/>
                <w:color w:val="auto"/>
                <w:kern w:val="2"/>
                <w:sz w:val="21"/>
                <w:szCs w:val="24"/>
                <w:highlight w:val="none"/>
              </w:rPr>
              <w:t>其他主要人员（10.0分）</w:t>
            </w:r>
          </w:p>
        </w:tc>
        <w:tc>
          <w:tcPr>
            <w:tcW w:w="5421" w:type="dxa"/>
            <w:gridSpan w:val="2"/>
            <w:noWrap w:val="0"/>
            <w:vAlign w:val="center"/>
          </w:tcPr>
          <w:p w14:paraId="6DCF5AA0">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基本要求：人员齐备、专业配套应与资格审查提供的人员配备相一 致，且具备相关施工现场专业人员职业培训合格证书或上岗证书（拟派驻本项目的技术负责人应具有中级及以上职称证件，施工员、质量员、材料员应具有有效的相应施工现场专业人员职业培训合格证书或上岗证书，专职安全生产管理 人员需有效建筑施工企业三类人员C证，且拟投入的项目管理人员符合国家及广西壮族自治区的规定）。</w:t>
            </w:r>
          </w:p>
          <w:p w14:paraId="6974D1DF">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 xml:space="preserve"> 评分内容： </w:t>
            </w:r>
          </w:p>
          <w:p w14:paraId="70F6CCA2">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 xml:space="preserve">1、技术负责人（5 分） </w:t>
            </w:r>
          </w:p>
          <w:p w14:paraId="63F41428">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（1）技术负责人职称（3分）</w:t>
            </w:r>
          </w:p>
          <w:p w14:paraId="2AB7CED9">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拟投入技术负责人具有土木工程类或建筑工程相关专业高级及以上职称的，得3分；具有其他专业的高级及以上职称或具有土木工程类（或建筑工程相关）专业中级职称的，得2分；具有其他专业中级工程师职称的，得1分。</w:t>
            </w:r>
          </w:p>
          <w:p w14:paraId="501488BB">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（2）拟投入技术负责人须具备相应业绩经验：自202</w:t>
            </w:r>
            <w:r>
              <w:rPr>
                <w:rStyle w:val="43"/>
                <w:rFonts w:hint="eastAsia" w:ascii="宋体" w:hAnsi="宋体" w:eastAsia="宋体" w:cs="宋体"/>
                <w:b w:val="0"/>
                <w:color w:val="auto"/>
                <w:kern w:val="2"/>
                <w:sz w:val="21"/>
                <w:szCs w:val="24"/>
                <w:highlight w:val="none"/>
              </w:rPr>
              <w:t>3</w:t>
            </w:r>
            <w:r>
              <w:rPr>
                <w:rStyle w:val="43"/>
                <w:rFonts w:hint="default" w:ascii="宋体" w:hAnsi="宋体" w:eastAsia="宋体" w:cs="宋体"/>
                <w:b w:val="0"/>
                <w:color w:val="auto"/>
                <w:kern w:val="2"/>
                <w:sz w:val="21"/>
                <w:szCs w:val="24"/>
                <w:highlight w:val="none"/>
              </w:rPr>
              <w:t>年</w:t>
            </w:r>
            <w:r>
              <w:rPr>
                <w:rStyle w:val="43"/>
                <w:rFonts w:hint="eastAsia" w:ascii="宋体" w:hAnsi="宋体" w:eastAsia="宋体" w:cs="宋体"/>
                <w:b w:val="0"/>
                <w:color w:val="auto"/>
                <w:kern w:val="2"/>
                <w:sz w:val="21"/>
                <w:szCs w:val="24"/>
                <w:highlight w:val="none"/>
              </w:rPr>
              <w:t>5</w:t>
            </w:r>
            <w:r>
              <w:rPr>
                <w:rStyle w:val="43"/>
                <w:rFonts w:hint="default" w:ascii="宋体" w:hAnsi="宋体" w:eastAsia="宋体" w:cs="宋体"/>
                <w:b w:val="0"/>
                <w:color w:val="auto"/>
                <w:kern w:val="2"/>
                <w:sz w:val="21"/>
                <w:szCs w:val="24"/>
                <w:highlight w:val="none"/>
              </w:rPr>
              <w:t>月起至投标截止时间止，曾以技术负责人身份完成或承接过单项合同金额</w:t>
            </w:r>
            <w:r>
              <w:rPr>
                <w:rStyle w:val="43"/>
                <w:rFonts w:hint="eastAsia" w:ascii="宋体" w:hAnsi="宋体" w:eastAsia="宋体" w:cs="宋体"/>
                <w:b w:val="0"/>
                <w:color w:val="auto"/>
                <w:kern w:val="2"/>
                <w:sz w:val="21"/>
                <w:szCs w:val="24"/>
                <w:highlight w:val="none"/>
              </w:rPr>
              <w:t>4</w:t>
            </w:r>
            <w:r>
              <w:rPr>
                <w:rStyle w:val="43"/>
                <w:rFonts w:hint="default" w:ascii="宋体" w:hAnsi="宋体" w:eastAsia="宋体" w:cs="宋体"/>
                <w:b w:val="0"/>
                <w:color w:val="auto"/>
                <w:kern w:val="2"/>
                <w:sz w:val="21"/>
                <w:szCs w:val="24"/>
                <w:highlight w:val="none"/>
              </w:rPr>
              <w:t>00万元及以上或建筑总面积2000平方米及以上的</w:t>
            </w:r>
            <w:r>
              <w:rPr>
                <w:rStyle w:val="43"/>
                <w:rFonts w:hint="eastAsia" w:ascii="宋体" w:hAnsi="宋体" w:eastAsia="宋体" w:cs="宋体"/>
                <w:b w:val="0"/>
                <w:color w:val="auto"/>
                <w:kern w:val="2"/>
                <w:sz w:val="21"/>
                <w:szCs w:val="24"/>
                <w:highlight w:val="none"/>
              </w:rPr>
              <w:t>建筑装饰装修</w:t>
            </w:r>
            <w:r>
              <w:rPr>
                <w:rStyle w:val="43"/>
                <w:rFonts w:hint="default" w:ascii="宋体" w:hAnsi="宋体" w:eastAsia="宋体" w:cs="宋体"/>
                <w:b w:val="0"/>
                <w:color w:val="auto"/>
                <w:kern w:val="2"/>
                <w:sz w:val="21"/>
                <w:szCs w:val="24"/>
                <w:highlight w:val="none"/>
              </w:rPr>
              <w:t>工程项目，每满足1项得1分，满分2分。同一合同下的项目视为一个业绩类似的表述。</w:t>
            </w:r>
          </w:p>
          <w:p w14:paraId="4C85C8B8">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注：提供上述人员近</w:t>
            </w:r>
            <w:r>
              <w:rPr>
                <w:rStyle w:val="43"/>
                <w:rFonts w:hint="eastAsia" w:ascii="宋体" w:hAnsi="宋体" w:eastAsia="宋体" w:cs="宋体"/>
                <w:b w:val="0"/>
                <w:color w:val="auto"/>
                <w:kern w:val="2"/>
                <w:sz w:val="21"/>
                <w:szCs w:val="24"/>
                <w:highlight w:val="none"/>
                <w:lang w:val="en-US" w:eastAsia="zh-CN"/>
              </w:rPr>
              <w:t>3</w:t>
            </w:r>
            <w:r>
              <w:rPr>
                <w:rStyle w:val="43"/>
                <w:rFonts w:hint="default" w:ascii="宋体" w:hAnsi="宋体" w:eastAsia="宋体" w:cs="宋体"/>
                <w:b w:val="0"/>
                <w:color w:val="auto"/>
                <w:kern w:val="2"/>
                <w:sz w:val="21"/>
                <w:szCs w:val="24"/>
                <w:highlight w:val="none"/>
              </w:rPr>
              <w:t>个月（202</w:t>
            </w:r>
            <w:r>
              <w:rPr>
                <w:rStyle w:val="43"/>
                <w:rFonts w:hint="eastAsia" w:ascii="宋体" w:hAnsi="宋体" w:eastAsia="宋体" w:cs="宋体"/>
                <w:b w:val="0"/>
                <w:color w:val="auto"/>
                <w:kern w:val="2"/>
                <w:sz w:val="21"/>
                <w:szCs w:val="24"/>
                <w:highlight w:val="none"/>
                <w:lang w:val="en-US" w:eastAsia="zh-CN"/>
              </w:rPr>
              <w:t>6</w:t>
            </w:r>
            <w:r>
              <w:rPr>
                <w:rStyle w:val="43"/>
                <w:rFonts w:hint="default" w:ascii="宋体" w:hAnsi="宋体" w:eastAsia="宋体" w:cs="宋体"/>
                <w:b w:val="0"/>
                <w:color w:val="auto"/>
                <w:kern w:val="2"/>
                <w:sz w:val="21"/>
                <w:szCs w:val="24"/>
                <w:highlight w:val="none"/>
              </w:rPr>
              <w:t xml:space="preserve">年4月至投标截止时间止任意一个月）投标人为其依法缴纳社会保险的证明材料，且以上信息与录入“桂建云 ”的信息相符，否则该项不予计分。 </w:t>
            </w:r>
          </w:p>
          <w:p w14:paraId="000543E6">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2、拟投入其他人员（5分）</w:t>
            </w:r>
          </w:p>
          <w:p w14:paraId="09539397">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优（5分）：</w:t>
            </w:r>
            <w:r>
              <w:rPr>
                <w:rStyle w:val="43"/>
                <w:rFonts w:hint="eastAsia" w:ascii="宋体" w:hAnsi="宋体" w:eastAsia="宋体" w:cs="宋体"/>
                <w:b w:val="0"/>
                <w:color w:val="auto"/>
                <w:kern w:val="2"/>
                <w:sz w:val="21"/>
                <w:szCs w:val="24"/>
                <w:highlight w:val="none"/>
              </w:rPr>
              <w:t>拟投入的主要管理人员 8 人及以上，其中施工员 3 人及以上， 质量员 2 人及以上， 材料员 2 人及以 上，安全员不少于 1 人， 且人员配备 完全满足施工需要并有一定储备，管  理人员配备齐全且经验及综合素质优 秀</w:t>
            </w:r>
            <w:r>
              <w:rPr>
                <w:rStyle w:val="43"/>
                <w:rFonts w:hint="default" w:ascii="宋体" w:hAnsi="宋体" w:eastAsia="宋体" w:cs="宋体"/>
                <w:b w:val="0"/>
                <w:color w:val="auto"/>
                <w:kern w:val="2"/>
                <w:sz w:val="21"/>
                <w:szCs w:val="24"/>
                <w:highlight w:val="none"/>
              </w:rPr>
              <w:t>；</w:t>
            </w:r>
          </w:p>
          <w:p w14:paraId="4B492605">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良（4分）：</w:t>
            </w:r>
            <w:r>
              <w:rPr>
                <w:rStyle w:val="43"/>
                <w:rFonts w:hint="eastAsia" w:ascii="宋体" w:hAnsi="宋体" w:eastAsia="宋体" w:cs="宋体"/>
                <w:b w:val="0"/>
                <w:color w:val="auto"/>
                <w:kern w:val="2"/>
                <w:sz w:val="21"/>
                <w:szCs w:val="24"/>
                <w:highlight w:val="none"/>
              </w:rPr>
              <w:t xml:space="preserve"> 拟投入的主要管理人员 7 人及以上，其中施工员 2 人及以上， 质量员 2 人及以上， 材料员 2 人及以 上，安全员不少于 1 人， 且人员配备 满足施工需要， 管理人员配备齐全且 经验及综合素质良好</w:t>
            </w:r>
            <w:r>
              <w:rPr>
                <w:rStyle w:val="43"/>
                <w:rFonts w:hint="default" w:ascii="宋体" w:hAnsi="宋体" w:eastAsia="宋体" w:cs="宋体"/>
                <w:b w:val="0"/>
                <w:color w:val="auto"/>
                <w:kern w:val="2"/>
                <w:sz w:val="21"/>
                <w:szCs w:val="24"/>
                <w:highlight w:val="none"/>
              </w:rPr>
              <w:t>；</w:t>
            </w:r>
          </w:p>
          <w:p w14:paraId="7631026A">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中（3分）：</w:t>
            </w:r>
            <w:r>
              <w:rPr>
                <w:rStyle w:val="43"/>
                <w:rFonts w:hint="eastAsia" w:ascii="宋体" w:hAnsi="宋体" w:eastAsia="宋体" w:cs="宋体"/>
                <w:b w:val="0"/>
                <w:color w:val="auto"/>
                <w:kern w:val="2"/>
                <w:sz w:val="21"/>
                <w:szCs w:val="24"/>
                <w:highlight w:val="none"/>
              </w:rPr>
              <w:t>拟投入的主要管理人员 6 人及以上，其中施工员 2 人及以上， 质量员 1 人及以上， 材料员 2 人及以 上，安全员不少于 1 人， 且人员配备 基本满足施工需要， 管理人员配备齐 全且有经验</w:t>
            </w:r>
            <w:r>
              <w:rPr>
                <w:rStyle w:val="43"/>
                <w:rFonts w:hint="default" w:ascii="宋体" w:hAnsi="宋体" w:eastAsia="宋体" w:cs="宋体"/>
                <w:b w:val="0"/>
                <w:color w:val="auto"/>
                <w:kern w:val="2"/>
                <w:sz w:val="21"/>
                <w:szCs w:val="24"/>
                <w:highlight w:val="none"/>
              </w:rPr>
              <w:t>；</w:t>
            </w:r>
          </w:p>
          <w:p w14:paraId="5368D7EE">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一般（2分）：</w:t>
            </w:r>
            <w:r>
              <w:rPr>
                <w:rStyle w:val="43"/>
                <w:rFonts w:hint="eastAsia" w:ascii="宋体" w:hAnsi="宋体" w:eastAsia="宋体" w:cs="宋体"/>
                <w:b w:val="0"/>
                <w:color w:val="auto"/>
                <w:kern w:val="2"/>
                <w:sz w:val="21"/>
                <w:szCs w:val="24"/>
                <w:highlight w:val="none"/>
              </w:rPr>
              <w:t>拟投入的主要管理人 员 5 人及以上， 其中施工员 2 人及以 上，质量员 1 人及以上， 材料员 1 人 及以上，安全员不少于 1 人，且人员 配备基本满足施工需要， 管理人员配 备齐全且无经验</w:t>
            </w:r>
            <w:r>
              <w:rPr>
                <w:rStyle w:val="43"/>
                <w:rFonts w:hint="default" w:ascii="宋体" w:hAnsi="宋体" w:eastAsia="宋体" w:cs="宋体"/>
                <w:b w:val="0"/>
                <w:color w:val="auto"/>
                <w:kern w:val="2"/>
                <w:sz w:val="21"/>
                <w:szCs w:val="24"/>
                <w:highlight w:val="none"/>
              </w:rPr>
              <w:t>；</w:t>
            </w:r>
          </w:p>
          <w:p w14:paraId="289A13E1">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差（1分）：</w:t>
            </w:r>
            <w:r>
              <w:rPr>
                <w:rStyle w:val="43"/>
                <w:rFonts w:hint="eastAsia" w:ascii="宋体" w:hAnsi="宋体" w:eastAsia="宋体" w:cs="宋体"/>
                <w:b w:val="0"/>
                <w:color w:val="auto"/>
                <w:kern w:val="2"/>
                <w:sz w:val="21"/>
                <w:szCs w:val="24"/>
                <w:highlight w:val="none"/>
              </w:rPr>
              <w:t>投入本工程主要管理人员配备不齐全，不满足施工需要</w:t>
            </w:r>
            <w:r>
              <w:rPr>
                <w:rStyle w:val="43"/>
                <w:rFonts w:hint="default" w:ascii="宋体" w:hAnsi="宋体" w:eastAsia="宋体" w:cs="宋体"/>
                <w:b w:val="0"/>
                <w:color w:val="auto"/>
                <w:kern w:val="2"/>
                <w:sz w:val="21"/>
                <w:szCs w:val="24"/>
                <w:highlight w:val="none"/>
              </w:rPr>
              <w:t xml:space="preserve">。 </w:t>
            </w:r>
          </w:p>
          <w:p w14:paraId="563BD6FB">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highlight w:val="none"/>
                <w:shd w:val="clear" w:color="auto" w:fill="auto"/>
              </w:rPr>
            </w:pPr>
            <w:r>
              <w:rPr>
                <w:rStyle w:val="43"/>
                <w:rFonts w:hint="default" w:ascii="宋体" w:hAnsi="宋体" w:eastAsia="宋体" w:cs="宋体"/>
                <w:b w:val="0"/>
                <w:color w:val="auto"/>
                <w:kern w:val="2"/>
                <w:sz w:val="21"/>
                <w:szCs w:val="24"/>
                <w:highlight w:val="none"/>
              </w:rPr>
              <w:t>注：提供上述人员近</w:t>
            </w:r>
            <w:r>
              <w:rPr>
                <w:rStyle w:val="43"/>
                <w:rFonts w:hint="eastAsia" w:ascii="宋体" w:hAnsi="宋体" w:eastAsia="宋体" w:cs="宋体"/>
                <w:b w:val="0"/>
                <w:color w:val="auto"/>
                <w:kern w:val="2"/>
                <w:sz w:val="21"/>
                <w:szCs w:val="24"/>
                <w:highlight w:val="none"/>
                <w:lang w:val="en-US" w:eastAsia="zh-CN"/>
              </w:rPr>
              <w:t>3</w:t>
            </w:r>
            <w:bookmarkStart w:id="2021" w:name="_GoBack"/>
            <w:bookmarkEnd w:id="2021"/>
            <w:r>
              <w:rPr>
                <w:rStyle w:val="43"/>
                <w:rFonts w:hint="default" w:ascii="宋体" w:hAnsi="宋体" w:eastAsia="宋体" w:cs="宋体"/>
                <w:b w:val="0"/>
                <w:color w:val="auto"/>
                <w:kern w:val="2"/>
                <w:sz w:val="21"/>
                <w:szCs w:val="24"/>
                <w:highlight w:val="none"/>
              </w:rPr>
              <w:t>个月（202</w:t>
            </w:r>
            <w:r>
              <w:rPr>
                <w:rStyle w:val="43"/>
                <w:rFonts w:hint="eastAsia" w:ascii="宋体" w:hAnsi="宋体" w:eastAsia="宋体" w:cs="宋体"/>
                <w:b w:val="0"/>
                <w:color w:val="auto"/>
                <w:kern w:val="2"/>
                <w:sz w:val="21"/>
                <w:szCs w:val="24"/>
                <w:highlight w:val="none"/>
                <w:lang w:val="en-US" w:eastAsia="zh-CN"/>
              </w:rPr>
              <w:t>6</w:t>
            </w:r>
            <w:r>
              <w:rPr>
                <w:rStyle w:val="43"/>
                <w:rFonts w:hint="default" w:ascii="宋体" w:hAnsi="宋体" w:eastAsia="宋体" w:cs="宋体"/>
                <w:b w:val="0"/>
                <w:color w:val="auto"/>
                <w:kern w:val="2"/>
                <w:sz w:val="21"/>
                <w:szCs w:val="24"/>
                <w:highlight w:val="none"/>
              </w:rPr>
              <w:t>年4月至投标截止时间止任意一个月）投标人为其依法缴纳社会保险的证明材料，且以上信息与录入“桂建云 ”的信息相符，否则该项不予计分。</w:t>
            </w:r>
          </w:p>
        </w:tc>
      </w:tr>
      <w:tr w14:paraId="2C80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780" w:type="dxa"/>
            <w:gridSpan w:val="2"/>
            <w:vMerge w:val="continue"/>
            <w:noWrap w:val="0"/>
            <w:vAlign w:val="center"/>
          </w:tcPr>
          <w:p w14:paraId="186412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vMerge w:val="continue"/>
            <w:noWrap w:val="0"/>
            <w:vAlign w:val="center"/>
          </w:tcPr>
          <w:p w14:paraId="53C536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restart"/>
            <w:noWrap w:val="0"/>
            <w:vAlign w:val="center"/>
          </w:tcPr>
          <w:p w14:paraId="515883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施工组织设计（</w:t>
            </w:r>
            <w:r>
              <w:rPr>
                <w:rFonts w:hint="default" w:ascii="Calibri" w:hAnsi="Calibri" w:eastAsia="宋体" w:cs="宋体"/>
                <w:color w:val="auto"/>
                <w:highlight w:val="none"/>
                <w:shd w:val="clear" w:color="auto" w:fill="auto"/>
              </w:rPr>
              <w:t>暗标）</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80</w:t>
            </w:r>
            <w:r>
              <w:rPr>
                <w:rFonts w:hint="eastAsia" w:ascii="Calibri" w:hAnsi="Calibri" w:eastAsia="宋体" w:cs="宋体"/>
                <w:color w:val="auto"/>
                <w:highlight w:val="none"/>
                <w:shd w:val="clear" w:color="auto" w:fill="auto"/>
              </w:rPr>
              <w:t>分）</w:t>
            </w:r>
          </w:p>
        </w:tc>
        <w:tc>
          <w:tcPr>
            <w:tcW w:w="1930" w:type="dxa"/>
            <w:gridSpan w:val="3"/>
            <w:noWrap w:val="0"/>
            <w:vAlign w:val="center"/>
          </w:tcPr>
          <w:p w14:paraId="660A386C">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b/>
                <w:bCs/>
                <w:color w:val="auto"/>
                <w:kern w:val="2"/>
                <w:highlight w:val="none"/>
                <w:shd w:val="clear" w:color="auto" w:fill="auto"/>
              </w:rPr>
            </w:pPr>
            <w:r>
              <w:rPr>
                <w:rStyle w:val="43"/>
                <w:rFonts w:hint="default" w:ascii="宋体" w:hAnsi="宋体" w:eastAsia="宋体" w:cs="宋体"/>
                <w:b w:val="0"/>
                <w:color w:val="auto"/>
                <w:kern w:val="2"/>
                <w:sz w:val="21"/>
                <w:szCs w:val="24"/>
                <w:highlight w:val="none"/>
              </w:rPr>
              <w:t>主要施工方法（2.0分~10.0分）</w:t>
            </w:r>
          </w:p>
        </w:tc>
        <w:tc>
          <w:tcPr>
            <w:tcW w:w="5421" w:type="dxa"/>
            <w:gridSpan w:val="2"/>
            <w:noWrap w:val="0"/>
            <w:vAlign w:val="center"/>
          </w:tcPr>
          <w:p w14:paraId="77B5E828">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 xml:space="preserve">优（10分）：各主要分部施工方法符合项目实际，须有详尽的施工技术方案，工艺先进、方法科学合理、可行，能指导具体施工并确保安全。 </w:t>
            </w:r>
          </w:p>
          <w:p w14:paraId="4A89A18A">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 xml:space="preserve">良（8分）：各主要分部施工方法符合项目实际，须有详尽的施工技术方案，工艺一般、方法可行，能指导具体施工并确保安全。 </w:t>
            </w:r>
          </w:p>
          <w:p w14:paraId="4C7B97A4">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中（6分）：各主要分部施工方法基本符合项目实际，施工技术方案一般，工艺一般、方法可行，能指导具体施工并确保安全。</w:t>
            </w:r>
          </w:p>
          <w:p w14:paraId="459DCA02">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 xml:space="preserve">一般（4分）：各主要分部施工方法符合项目实际，但施工技术方案较差，工艺差、方法勉强可行，较难指导具体施工并确保安全。 </w:t>
            </w:r>
          </w:p>
          <w:p w14:paraId="0708B073">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b/>
                <w:bCs/>
                <w:color w:val="auto"/>
                <w:kern w:val="2"/>
                <w:highlight w:val="none"/>
                <w:shd w:val="clear" w:color="auto" w:fill="auto"/>
              </w:rPr>
            </w:pPr>
            <w:r>
              <w:rPr>
                <w:rStyle w:val="43"/>
                <w:rFonts w:hint="default" w:ascii="宋体" w:hAnsi="宋体" w:eastAsia="宋体" w:cs="宋体"/>
                <w:b w:val="0"/>
                <w:color w:val="auto"/>
                <w:kern w:val="2"/>
                <w:sz w:val="21"/>
                <w:szCs w:val="24"/>
                <w:highlight w:val="none"/>
              </w:rPr>
              <w:t>差（2分）：各主要分部施工方法不符合项目实际，无详尽的施工技术方案，不能指导具体施工并确保安全。</w:t>
            </w:r>
          </w:p>
        </w:tc>
      </w:tr>
      <w:tr w14:paraId="190A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80" w:type="dxa"/>
            <w:gridSpan w:val="2"/>
            <w:vMerge w:val="continue"/>
            <w:noWrap w:val="0"/>
            <w:vAlign w:val="center"/>
          </w:tcPr>
          <w:p w14:paraId="6D7BCC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vMerge w:val="continue"/>
            <w:noWrap w:val="0"/>
            <w:vAlign w:val="center"/>
          </w:tcPr>
          <w:p w14:paraId="78B382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4354FA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930" w:type="dxa"/>
            <w:gridSpan w:val="3"/>
            <w:noWrap w:val="0"/>
            <w:vAlign w:val="center"/>
          </w:tcPr>
          <w:p w14:paraId="518AD56F">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highlight w:val="none"/>
                <w:shd w:val="clear" w:color="auto" w:fill="auto"/>
              </w:rPr>
            </w:pPr>
            <w:r>
              <w:rPr>
                <w:rStyle w:val="43"/>
                <w:rFonts w:hint="default" w:ascii="宋体" w:hAnsi="宋体" w:eastAsia="宋体" w:cs="宋体"/>
                <w:b w:val="0"/>
                <w:color w:val="auto"/>
                <w:kern w:val="2"/>
                <w:sz w:val="21"/>
                <w:szCs w:val="24"/>
                <w:highlight w:val="none"/>
              </w:rPr>
              <w:t>拟投入的主要物资计划（2.0分~10.0分）</w:t>
            </w:r>
          </w:p>
        </w:tc>
        <w:tc>
          <w:tcPr>
            <w:tcW w:w="5421" w:type="dxa"/>
            <w:gridSpan w:val="2"/>
            <w:noWrap w:val="0"/>
            <w:vAlign w:val="center"/>
          </w:tcPr>
          <w:p w14:paraId="303E42D8">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优（10分）：投入的施工材料有详细的组织计划且计划周密，数量、选型配置、进场时间安排合理，</w:t>
            </w:r>
            <w:r>
              <w:rPr>
                <w:rStyle w:val="43"/>
                <w:rFonts w:hint="eastAsia" w:ascii="宋体" w:hAnsi="宋体" w:eastAsia="宋体" w:cs="宋体"/>
                <w:b w:val="0"/>
                <w:color w:val="auto"/>
                <w:kern w:val="2"/>
                <w:sz w:val="21"/>
                <w:szCs w:val="24"/>
                <w:highlight w:val="none"/>
              </w:rPr>
              <w:t>充分</w:t>
            </w:r>
            <w:r>
              <w:rPr>
                <w:rStyle w:val="43"/>
                <w:rFonts w:hint="default" w:ascii="宋体" w:hAnsi="宋体" w:eastAsia="宋体" w:cs="宋体"/>
                <w:b w:val="0"/>
                <w:color w:val="auto"/>
                <w:kern w:val="2"/>
                <w:sz w:val="21"/>
                <w:szCs w:val="24"/>
                <w:highlight w:val="none"/>
              </w:rPr>
              <w:t xml:space="preserve">满足施工需要。 </w:t>
            </w:r>
          </w:p>
          <w:p w14:paraId="05704BCA">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良（8分）：投入的施工材料有组织计划且计划较好，数量、选型配置、进场时间安排较合理，</w:t>
            </w:r>
            <w:r>
              <w:rPr>
                <w:rStyle w:val="43"/>
                <w:rFonts w:hint="eastAsia" w:ascii="宋体" w:hAnsi="宋体" w:eastAsia="宋体" w:cs="宋体"/>
                <w:b w:val="0"/>
                <w:color w:val="auto"/>
                <w:kern w:val="2"/>
                <w:sz w:val="21"/>
                <w:szCs w:val="24"/>
                <w:highlight w:val="none"/>
              </w:rPr>
              <w:t>较好</w:t>
            </w:r>
            <w:r>
              <w:rPr>
                <w:rStyle w:val="43"/>
                <w:rFonts w:hint="default" w:ascii="宋体" w:hAnsi="宋体" w:eastAsia="宋体" w:cs="宋体"/>
                <w:b w:val="0"/>
                <w:color w:val="auto"/>
                <w:kern w:val="2"/>
                <w:sz w:val="21"/>
                <w:szCs w:val="24"/>
                <w:highlight w:val="none"/>
              </w:rPr>
              <w:t xml:space="preserve">满足施工需要。 </w:t>
            </w:r>
          </w:p>
          <w:p w14:paraId="62BECBEE">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eastAsia" w:ascii="宋体" w:hAnsi="宋体" w:eastAsia="宋体" w:cs="宋体"/>
                <w:b w:val="0"/>
                <w:color w:val="auto"/>
                <w:kern w:val="2"/>
                <w:sz w:val="21"/>
                <w:szCs w:val="24"/>
                <w:highlight w:val="none"/>
                <w:lang w:eastAsia="zh-CN"/>
              </w:rPr>
              <w:t>中</w:t>
            </w:r>
            <w:r>
              <w:rPr>
                <w:rStyle w:val="43"/>
                <w:rFonts w:hint="default" w:ascii="宋体" w:hAnsi="宋体" w:eastAsia="宋体" w:cs="宋体"/>
                <w:b w:val="0"/>
                <w:color w:val="auto"/>
                <w:kern w:val="2"/>
                <w:sz w:val="21"/>
                <w:szCs w:val="24"/>
                <w:highlight w:val="none"/>
              </w:rPr>
              <w:t>（6分）：投入的施工材料有组织计划且计划一般，数量、选型配置、进场时间安排基本合理，基本满足施工需要。</w:t>
            </w:r>
          </w:p>
          <w:p w14:paraId="09939421">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一般（4分）：投入的施工材料有组织计划且计划一般，数量、选型配置、进场时间安排勉强合理，勉强能满足施工需要。</w:t>
            </w:r>
          </w:p>
          <w:p w14:paraId="4D6A5966">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highlight w:val="none"/>
                <w:shd w:val="clear" w:color="auto" w:fill="auto"/>
              </w:rPr>
            </w:pPr>
            <w:r>
              <w:rPr>
                <w:rStyle w:val="43"/>
                <w:rFonts w:hint="default" w:ascii="宋体" w:hAnsi="宋体" w:eastAsia="宋体" w:cs="宋体"/>
                <w:b w:val="0"/>
                <w:color w:val="auto"/>
                <w:kern w:val="2"/>
                <w:sz w:val="21"/>
                <w:szCs w:val="24"/>
                <w:highlight w:val="none"/>
              </w:rPr>
              <w:t>差（2分）：投入的施工材料无详细的组织计划，数量、选型配置、进场时间安排不合理，不能满足施工需要。</w:t>
            </w:r>
          </w:p>
        </w:tc>
      </w:tr>
      <w:tr w14:paraId="1871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80" w:type="dxa"/>
            <w:gridSpan w:val="2"/>
            <w:vMerge w:val="continue"/>
            <w:noWrap w:val="0"/>
            <w:vAlign w:val="center"/>
          </w:tcPr>
          <w:p w14:paraId="56C714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vMerge w:val="continue"/>
            <w:noWrap w:val="0"/>
            <w:vAlign w:val="center"/>
          </w:tcPr>
          <w:p w14:paraId="7950D9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0F0AB5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930" w:type="dxa"/>
            <w:gridSpan w:val="3"/>
            <w:noWrap w:val="0"/>
            <w:vAlign w:val="center"/>
          </w:tcPr>
          <w:p w14:paraId="766B7F54">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highlight w:val="none"/>
                <w:shd w:val="clear" w:color="auto" w:fill="auto"/>
              </w:rPr>
            </w:pPr>
            <w:r>
              <w:rPr>
                <w:rStyle w:val="43"/>
                <w:rFonts w:hint="default" w:ascii="宋体" w:hAnsi="宋体" w:eastAsia="宋体" w:cs="宋体"/>
                <w:b w:val="0"/>
                <w:color w:val="auto"/>
                <w:kern w:val="2"/>
                <w:sz w:val="21"/>
                <w:szCs w:val="24"/>
                <w:highlight w:val="none"/>
              </w:rPr>
              <w:t>劳动力安排计划（2.0分~10.0分）</w:t>
            </w:r>
          </w:p>
        </w:tc>
        <w:tc>
          <w:tcPr>
            <w:tcW w:w="5421" w:type="dxa"/>
            <w:gridSpan w:val="2"/>
            <w:noWrap w:val="0"/>
            <w:vAlign w:val="center"/>
          </w:tcPr>
          <w:p w14:paraId="4E7ADE87">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 xml:space="preserve">优（10分）:各主要施工工序有详细周密的劳动力安排计划，有各工种劳动力安排计划，劳动力投入合理，完全满足施工需要。 </w:t>
            </w:r>
          </w:p>
          <w:p w14:paraId="745DFAF4">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 xml:space="preserve">良（8分）：各主要施工工序有较详细周密的劳动力安排计划，有各工种劳动力安排计划，劳动力投入较合理，满足施工需要。 </w:t>
            </w:r>
          </w:p>
          <w:p w14:paraId="1A7D2D1F">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 xml:space="preserve">中（6分）：各主要施工工序有较详细的劳动力安排计划，有各工种劳动力安排计划，劳动力投入合理，满足施工需要。 </w:t>
            </w:r>
          </w:p>
          <w:p w14:paraId="0EEC6303">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 xml:space="preserve">一般（4分）：各主要施工工序有劳动力安排计划，有各工种劳动力安排计划，劳动力投入基本合理，基本满足施工需要。 </w:t>
            </w:r>
          </w:p>
          <w:p w14:paraId="1101A1C1">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highlight w:val="none"/>
                <w:shd w:val="clear" w:color="auto" w:fill="auto"/>
              </w:rPr>
            </w:pPr>
            <w:r>
              <w:rPr>
                <w:rStyle w:val="43"/>
                <w:rFonts w:hint="default" w:ascii="宋体" w:hAnsi="宋体" w:eastAsia="宋体" w:cs="宋体"/>
                <w:b w:val="0"/>
                <w:color w:val="auto"/>
                <w:kern w:val="2"/>
                <w:sz w:val="21"/>
                <w:szCs w:val="24"/>
                <w:highlight w:val="none"/>
              </w:rPr>
              <w:t>差（2分）：各主要施工工序没有详细的劳动力安排计划，没有各工种劳动力安排计划，劳动力投入不合理，不能满足施工要求。</w:t>
            </w:r>
          </w:p>
        </w:tc>
      </w:tr>
      <w:tr w14:paraId="133B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80" w:type="dxa"/>
            <w:gridSpan w:val="2"/>
            <w:vMerge w:val="continue"/>
            <w:noWrap w:val="0"/>
            <w:vAlign w:val="center"/>
          </w:tcPr>
          <w:p w14:paraId="54ADB8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vMerge w:val="continue"/>
            <w:noWrap w:val="0"/>
            <w:vAlign w:val="center"/>
          </w:tcPr>
          <w:p w14:paraId="261CF2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7D8A3C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930" w:type="dxa"/>
            <w:gridSpan w:val="3"/>
            <w:noWrap w:val="0"/>
            <w:vAlign w:val="center"/>
          </w:tcPr>
          <w:p w14:paraId="1C9F5775">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highlight w:val="none"/>
                <w:shd w:val="clear" w:color="auto" w:fill="auto"/>
              </w:rPr>
            </w:pPr>
            <w:r>
              <w:rPr>
                <w:rStyle w:val="43"/>
                <w:rFonts w:hint="default" w:ascii="宋体" w:hAnsi="宋体" w:eastAsia="宋体" w:cs="宋体"/>
                <w:b w:val="0"/>
                <w:color w:val="auto"/>
                <w:kern w:val="2"/>
                <w:sz w:val="21"/>
                <w:szCs w:val="24"/>
                <w:highlight w:val="none"/>
              </w:rPr>
              <w:t>确保工程质量的技术组织措施（2.0分~10.0分）</w:t>
            </w:r>
          </w:p>
        </w:tc>
        <w:tc>
          <w:tcPr>
            <w:tcW w:w="5421" w:type="dxa"/>
            <w:gridSpan w:val="2"/>
            <w:noWrap w:val="0"/>
            <w:vAlign w:val="center"/>
          </w:tcPr>
          <w:p w14:paraId="147E8B97">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 xml:space="preserve">优（10分）：有专门的质量技术管理班子和制度，且人员配备合理，制度健全。主要工序有质量技术保证措施和手段，自控体系完整，完全能有效保证技术质量，完全能达到承诺的质量标准。 </w:t>
            </w:r>
          </w:p>
          <w:p w14:paraId="7C023A94">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良（8分）：有专门的质量技术管理班子和制度，且人员配备较合理，制度较健全。主要工序有较好的质量技术保证措施和手段，自控体系较完整，能有效保证技术质量，能达到承诺的质量标准。</w:t>
            </w:r>
          </w:p>
          <w:p w14:paraId="78E0A916">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 xml:space="preserve">中（6分）：有专门的质量技术管理班子和制度，且人员配备基本合理，制度基本健全。主要工序有基本的质量技术保证措施和手段，自控体系一般，基本能有效保证技术质量，基本达到承诺的质量标准。 </w:t>
            </w:r>
          </w:p>
          <w:p w14:paraId="5CE504DD">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 xml:space="preserve">一般（4分）：有专门的质量技术管理班子和制度。人员配备较差，制度一般。主要工序有基本的质量技术保证措施和手段，基本能保证技术质量，基本达到承诺的质量标准。 </w:t>
            </w:r>
          </w:p>
          <w:p w14:paraId="72C06AC2">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highlight w:val="none"/>
                <w:shd w:val="clear" w:color="auto" w:fill="auto"/>
              </w:rPr>
            </w:pPr>
            <w:r>
              <w:rPr>
                <w:rStyle w:val="43"/>
                <w:rFonts w:hint="default" w:ascii="宋体" w:hAnsi="宋体" w:eastAsia="宋体" w:cs="宋体"/>
                <w:b w:val="0"/>
                <w:color w:val="auto"/>
                <w:kern w:val="2"/>
                <w:sz w:val="21"/>
                <w:szCs w:val="24"/>
                <w:highlight w:val="none"/>
              </w:rPr>
              <w:t>差（2分）：有专门的质量技术管理班子和制度，且人员配备不合理，制度不健全。主要工序有质量技术保证措施和手段，自控体系不完整，不能有效保证技术质量，不能达到承诺的质量标准。</w:t>
            </w:r>
          </w:p>
        </w:tc>
      </w:tr>
      <w:tr w14:paraId="7893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80" w:type="dxa"/>
            <w:gridSpan w:val="2"/>
            <w:vMerge w:val="continue"/>
            <w:noWrap w:val="0"/>
            <w:vAlign w:val="center"/>
          </w:tcPr>
          <w:p w14:paraId="6F00E1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vMerge w:val="continue"/>
            <w:noWrap w:val="0"/>
            <w:vAlign w:val="center"/>
          </w:tcPr>
          <w:p w14:paraId="78D707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1AA7BC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930" w:type="dxa"/>
            <w:gridSpan w:val="3"/>
            <w:noWrap w:val="0"/>
            <w:vAlign w:val="center"/>
          </w:tcPr>
          <w:p w14:paraId="3A4B48E3">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highlight w:val="none"/>
                <w:shd w:val="clear" w:color="auto" w:fill="auto"/>
              </w:rPr>
            </w:pPr>
            <w:r>
              <w:rPr>
                <w:rStyle w:val="43"/>
                <w:rFonts w:hint="default" w:ascii="宋体" w:hAnsi="宋体" w:eastAsia="宋体" w:cs="宋体"/>
                <w:b w:val="0"/>
                <w:color w:val="auto"/>
                <w:kern w:val="2"/>
                <w:sz w:val="21"/>
                <w:szCs w:val="24"/>
                <w:highlight w:val="none"/>
              </w:rPr>
              <w:t>确保安全生产的技术组织措施（2.0分~10.0分）</w:t>
            </w:r>
          </w:p>
        </w:tc>
        <w:tc>
          <w:tcPr>
            <w:tcW w:w="5421" w:type="dxa"/>
            <w:gridSpan w:val="2"/>
            <w:noWrap w:val="0"/>
            <w:vAlign w:val="center"/>
          </w:tcPr>
          <w:p w14:paraId="3DFFCC81">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 xml:space="preserve">优（10分）：有专门的安全管理人员和制度，且人员配备合理，制度健全，各道工序安全技术措施针对性强，确保工程质量的技术组织措施符合实际且满足有关安全技术标准要求。现场防火、应急救援、社会治安安全措施得力。 </w:t>
            </w:r>
          </w:p>
          <w:p w14:paraId="767990B4">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 xml:space="preserve">良（8分）：有专门的安全管理人员和制度，且人员配备合理，制度健全，各道工序安全技术措施针对性较强，确保工程质量的技术组织措施符合实际且基本满足有关安全技术标准要求。现场防火、应急救援、社会治安安全措施较好。 </w:t>
            </w:r>
          </w:p>
          <w:p w14:paraId="64F7D15F">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中（6分）：有专门的安全管理人员和制度，且人员配备基本合理，制度基本健全，各道工序安全技术措施针对性一般，确保工程质量的技术组织措施基本符合实际且基本满足有关安全技术标准要求。现场防火、应急救援、社会治安安全措施一般。</w:t>
            </w:r>
          </w:p>
          <w:p w14:paraId="72A49779">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一般（4分）：有专门的安全管理人员和制度，且人员配备一般，制度一般，各道工序安全技术措施针对性一般，确保工程质量的技术组织措施基本满足有关安全技术标准要求。现场防火、应急救援、社会治安安全措施一般。</w:t>
            </w:r>
          </w:p>
          <w:p w14:paraId="784B1D3A">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highlight w:val="none"/>
                <w:shd w:val="clear" w:color="auto" w:fill="auto"/>
              </w:rPr>
            </w:pPr>
            <w:r>
              <w:rPr>
                <w:rStyle w:val="43"/>
                <w:rFonts w:hint="default" w:ascii="宋体" w:hAnsi="宋体" w:eastAsia="宋体" w:cs="宋体"/>
                <w:b w:val="0"/>
                <w:color w:val="auto"/>
                <w:kern w:val="2"/>
                <w:sz w:val="21"/>
                <w:szCs w:val="24"/>
                <w:highlight w:val="none"/>
              </w:rPr>
              <w:t>差（2分）：有专门的安全管理人员和制度，人员配备不合理，制度不健全，各道工序安全技术措施无针对性，不满足有关安全技术标准要求。现场防火、应急救援、社会治安安全措施得力不得力。</w:t>
            </w:r>
          </w:p>
        </w:tc>
      </w:tr>
      <w:tr w14:paraId="46F8F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80" w:type="dxa"/>
            <w:gridSpan w:val="2"/>
            <w:vMerge w:val="continue"/>
            <w:noWrap w:val="0"/>
            <w:vAlign w:val="center"/>
          </w:tcPr>
          <w:p w14:paraId="19401C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vMerge w:val="continue"/>
            <w:noWrap w:val="0"/>
            <w:vAlign w:val="center"/>
          </w:tcPr>
          <w:p w14:paraId="2A82E9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5493B2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930" w:type="dxa"/>
            <w:gridSpan w:val="3"/>
            <w:noWrap w:val="0"/>
            <w:vAlign w:val="center"/>
          </w:tcPr>
          <w:p w14:paraId="270A59DA">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highlight w:val="none"/>
                <w:shd w:val="clear" w:color="auto" w:fill="auto"/>
              </w:rPr>
            </w:pPr>
            <w:r>
              <w:rPr>
                <w:rStyle w:val="43"/>
                <w:rFonts w:hint="default" w:ascii="宋体" w:hAnsi="宋体" w:eastAsia="宋体" w:cs="宋体"/>
                <w:b w:val="0"/>
                <w:color w:val="auto"/>
                <w:kern w:val="2"/>
                <w:sz w:val="21"/>
                <w:szCs w:val="24"/>
                <w:highlight w:val="none"/>
              </w:rPr>
              <w:t>确保工期的技术组织措施（2.0分~10.0分）</w:t>
            </w:r>
          </w:p>
        </w:tc>
        <w:tc>
          <w:tcPr>
            <w:tcW w:w="5421" w:type="dxa"/>
            <w:gridSpan w:val="2"/>
            <w:noWrap w:val="0"/>
            <w:vAlign w:val="center"/>
          </w:tcPr>
          <w:p w14:paraId="009972AF">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 xml:space="preserve">优（10分）：在施工工艺、施工方法、材料选用、劳动力安排、技术等方面有保证工期的具体措施且措施得当。有控制工期的施工进度计划。有施工总进度表或施工网络图，各项计划图表编制完善，安排科学合理，符合本项目施工实际要求。 </w:t>
            </w:r>
          </w:p>
          <w:p w14:paraId="35D901AD">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良（8分）：在施工工艺、施工方法、材料选用、劳动力安排、技术等方面有较好保证工期的具体措施且措施比较得当。有控制工期的施工进度计划。有施工总进度表或施工网络图，各项计划图表编制完善，安排基本科学合理，基本符合本项目施工实际要求。</w:t>
            </w:r>
          </w:p>
          <w:p w14:paraId="70208797">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中（6分）：在施工工艺、施工方法、材料选用、劳动力安排、技术等方面有基本的保证工期的具体措施且措施基本得当。有控制工期的施工进度计划。有施工总进度表或施工网络图，各项计划图表编制基本合理，安排基本合理，基本符合本项目施工实际要求。</w:t>
            </w:r>
          </w:p>
          <w:p w14:paraId="3DC96FBA">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 xml:space="preserve"> 一般(4分)：在施工工艺、施工方法、材料选用、劳动力安排、技术等方面有基本的保证工期的具体措施但措施一般。有控制工期的施工进度计划，但计划一般。有施工总进度表或施工网络图，各项计划图表编制一般，安排基本合理，基本能确保本项目施工要求。</w:t>
            </w:r>
          </w:p>
          <w:p w14:paraId="02AF7E43">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highlight w:val="none"/>
                <w:shd w:val="clear" w:color="auto" w:fill="auto"/>
              </w:rPr>
            </w:pPr>
            <w:r>
              <w:rPr>
                <w:rStyle w:val="43"/>
                <w:rFonts w:hint="default" w:ascii="宋体" w:hAnsi="宋体" w:eastAsia="宋体" w:cs="宋体"/>
                <w:b w:val="0"/>
                <w:color w:val="auto"/>
                <w:kern w:val="2"/>
                <w:sz w:val="21"/>
                <w:szCs w:val="24"/>
                <w:highlight w:val="none"/>
              </w:rPr>
              <w:t>差（2分）：在施工工艺、施工方法、材料选用、劳动力安排、技术等方面没有保证工期的具体措施且措施不当。没有控制工期的施工进度计划。没有施工总进度表或施工网络图，各项计划图表编制不完善，安排不科学合理，不符合本项目施工实际要求。</w:t>
            </w:r>
          </w:p>
        </w:tc>
      </w:tr>
      <w:tr w14:paraId="25DC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50" w:hRule="atLeast"/>
          <w:jc w:val="center"/>
        </w:trPr>
        <w:tc>
          <w:tcPr>
            <w:tcW w:w="780" w:type="dxa"/>
            <w:gridSpan w:val="2"/>
            <w:vMerge w:val="continue"/>
            <w:noWrap w:val="0"/>
            <w:vAlign w:val="center"/>
          </w:tcPr>
          <w:p w14:paraId="76769D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vMerge w:val="continue"/>
            <w:noWrap w:val="0"/>
            <w:vAlign w:val="center"/>
          </w:tcPr>
          <w:p w14:paraId="48C0A9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44EF41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930" w:type="dxa"/>
            <w:gridSpan w:val="3"/>
            <w:noWrap w:val="0"/>
            <w:vAlign w:val="center"/>
          </w:tcPr>
          <w:p w14:paraId="2EB5ECE8">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highlight w:val="none"/>
                <w:shd w:val="clear" w:color="auto" w:fill="auto"/>
              </w:rPr>
            </w:pPr>
            <w:r>
              <w:rPr>
                <w:rStyle w:val="43"/>
                <w:rFonts w:hint="default" w:ascii="宋体" w:hAnsi="宋体" w:eastAsia="宋体" w:cs="宋体"/>
                <w:b w:val="0"/>
                <w:color w:val="auto"/>
                <w:kern w:val="2"/>
                <w:sz w:val="21"/>
                <w:szCs w:val="24"/>
                <w:highlight w:val="none"/>
              </w:rPr>
              <w:t>确保文明施工的技术组织措施（</w:t>
            </w:r>
            <w:r>
              <w:rPr>
                <w:rStyle w:val="43"/>
                <w:rFonts w:hint="eastAsia" w:ascii="宋体" w:hAnsi="宋体" w:eastAsia="宋体" w:cs="宋体"/>
                <w:b w:val="0"/>
                <w:color w:val="auto"/>
                <w:kern w:val="2"/>
                <w:sz w:val="21"/>
                <w:szCs w:val="24"/>
                <w:highlight w:val="none"/>
                <w:lang w:val="en-US" w:eastAsia="zh-CN"/>
              </w:rPr>
              <w:t>2</w:t>
            </w:r>
            <w:r>
              <w:rPr>
                <w:rStyle w:val="43"/>
                <w:rFonts w:hint="default" w:ascii="宋体" w:hAnsi="宋体" w:eastAsia="宋体" w:cs="宋体"/>
                <w:b w:val="0"/>
                <w:color w:val="auto"/>
                <w:kern w:val="2"/>
                <w:sz w:val="21"/>
                <w:szCs w:val="24"/>
                <w:highlight w:val="none"/>
              </w:rPr>
              <w:t>.0分~</w:t>
            </w:r>
            <w:r>
              <w:rPr>
                <w:rStyle w:val="43"/>
                <w:rFonts w:hint="eastAsia" w:ascii="宋体" w:hAnsi="宋体" w:eastAsia="宋体" w:cs="宋体"/>
                <w:b w:val="0"/>
                <w:color w:val="auto"/>
                <w:kern w:val="2"/>
                <w:sz w:val="21"/>
                <w:szCs w:val="24"/>
                <w:highlight w:val="none"/>
                <w:lang w:val="en-US" w:eastAsia="zh-CN"/>
              </w:rPr>
              <w:t>10</w:t>
            </w:r>
            <w:r>
              <w:rPr>
                <w:rStyle w:val="43"/>
                <w:rFonts w:hint="default" w:ascii="宋体" w:hAnsi="宋体" w:eastAsia="宋体" w:cs="宋体"/>
                <w:b w:val="0"/>
                <w:color w:val="auto"/>
                <w:kern w:val="2"/>
                <w:sz w:val="21"/>
                <w:szCs w:val="24"/>
                <w:highlight w:val="none"/>
              </w:rPr>
              <w:t>.0分）</w:t>
            </w:r>
          </w:p>
        </w:tc>
        <w:tc>
          <w:tcPr>
            <w:tcW w:w="5369" w:type="dxa"/>
            <w:noWrap w:val="0"/>
            <w:vAlign w:val="center"/>
          </w:tcPr>
          <w:p w14:paraId="3FE3D5F7">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优（</w:t>
            </w:r>
            <w:r>
              <w:rPr>
                <w:rStyle w:val="43"/>
                <w:rFonts w:hint="eastAsia" w:ascii="宋体" w:hAnsi="宋体" w:eastAsia="宋体" w:cs="宋体"/>
                <w:b w:val="0"/>
                <w:color w:val="auto"/>
                <w:kern w:val="2"/>
                <w:sz w:val="21"/>
                <w:szCs w:val="24"/>
                <w:highlight w:val="none"/>
                <w:lang w:val="en-US" w:eastAsia="zh-CN"/>
              </w:rPr>
              <w:t>10</w:t>
            </w:r>
            <w:r>
              <w:rPr>
                <w:rStyle w:val="43"/>
                <w:rFonts w:hint="default" w:ascii="宋体" w:hAnsi="宋体" w:eastAsia="宋体" w:cs="宋体"/>
                <w:b w:val="0"/>
                <w:color w:val="auto"/>
                <w:kern w:val="2"/>
                <w:sz w:val="21"/>
                <w:szCs w:val="24"/>
                <w:highlight w:val="none"/>
              </w:rPr>
              <w:t xml:space="preserve">分）：针对本工程项目特点，有现场文明施工、环境保护措施，且措施内容达到《建筑施工安全生产检查标准》（JGJ59-2011）合格标准并完全符合《广西壮族自治区建筑工程文明施工导则》要求。各项措施周全、具体、有效。有具体实现现场文明施工目标的承诺。 </w:t>
            </w:r>
          </w:p>
          <w:p w14:paraId="2D8E6F01">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良（</w:t>
            </w:r>
            <w:r>
              <w:rPr>
                <w:rStyle w:val="43"/>
                <w:rFonts w:hint="eastAsia" w:ascii="宋体" w:hAnsi="宋体" w:eastAsia="宋体" w:cs="宋体"/>
                <w:b w:val="0"/>
                <w:color w:val="auto"/>
                <w:kern w:val="2"/>
                <w:sz w:val="21"/>
                <w:szCs w:val="24"/>
                <w:highlight w:val="none"/>
                <w:lang w:val="en-US" w:eastAsia="zh-CN"/>
              </w:rPr>
              <w:t>8</w:t>
            </w:r>
            <w:r>
              <w:rPr>
                <w:rStyle w:val="43"/>
                <w:rFonts w:hint="default" w:ascii="宋体" w:hAnsi="宋体" w:eastAsia="宋体" w:cs="宋体"/>
                <w:b w:val="0"/>
                <w:color w:val="auto"/>
                <w:kern w:val="2"/>
                <w:sz w:val="21"/>
                <w:szCs w:val="24"/>
                <w:highlight w:val="none"/>
              </w:rPr>
              <w:t xml:space="preserve">分）：针对本工程项目特点，有现场文明施工、环境保护措施，且措施内容达到《建筑施工安全生产检查标准》（JGJ59-2011）合格标准并符合《广西壮族自治区建筑工程文明施工导则》要求。各项措施合理。有具体实现现场文明施工目标的承诺。 </w:t>
            </w:r>
          </w:p>
          <w:p w14:paraId="46142CB3">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中（</w:t>
            </w:r>
            <w:r>
              <w:rPr>
                <w:rStyle w:val="43"/>
                <w:rFonts w:hint="eastAsia" w:ascii="宋体" w:hAnsi="宋体" w:eastAsia="宋体" w:cs="宋体"/>
                <w:b w:val="0"/>
                <w:color w:val="auto"/>
                <w:kern w:val="2"/>
                <w:sz w:val="21"/>
                <w:szCs w:val="24"/>
                <w:highlight w:val="none"/>
                <w:lang w:val="en-US" w:eastAsia="zh-CN"/>
              </w:rPr>
              <w:t>6</w:t>
            </w:r>
            <w:r>
              <w:rPr>
                <w:rStyle w:val="43"/>
                <w:rFonts w:hint="default" w:ascii="宋体" w:hAnsi="宋体" w:eastAsia="宋体" w:cs="宋体"/>
                <w:b w:val="0"/>
                <w:color w:val="auto"/>
                <w:kern w:val="2"/>
                <w:sz w:val="21"/>
                <w:szCs w:val="24"/>
                <w:highlight w:val="none"/>
              </w:rPr>
              <w:t xml:space="preserve">分）：针对本工程项目有现场文明施工、环境保护措施，且措施内容基本达到《建筑施工安全生产检查标准》（JGJ59-2011）合格标准并符合《广西壮族自治区建筑工程文明施工导则》要求。各项措施较合理。有具体实现现场文明施工目标的承诺。 </w:t>
            </w:r>
          </w:p>
          <w:p w14:paraId="60F97F14">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一般（</w:t>
            </w:r>
            <w:r>
              <w:rPr>
                <w:rStyle w:val="43"/>
                <w:rFonts w:hint="eastAsia" w:ascii="宋体" w:hAnsi="宋体" w:eastAsia="宋体" w:cs="宋体"/>
                <w:b w:val="0"/>
                <w:color w:val="auto"/>
                <w:kern w:val="2"/>
                <w:sz w:val="21"/>
                <w:szCs w:val="24"/>
                <w:highlight w:val="none"/>
                <w:lang w:val="en-US" w:eastAsia="zh-CN"/>
              </w:rPr>
              <w:t>4</w:t>
            </w:r>
            <w:r>
              <w:rPr>
                <w:rStyle w:val="43"/>
                <w:rFonts w:hint="default" w:ascii="宋体" w:hAnsi="宋体" w:eastAsia="宋体" w:cs="宋体"/>
                <w:b w:val="0"/>
                <w:color w:val="auto"/>
                <w:kern w:val="2"/>
                <w:sz w:val="21"/>
                <w:szCs w:val="24"/>
                <w:highlight w:val="none"/>
              </w:rPr>
              <w:t>分）：针对本工程项目特点，应有现场文明施工、环境保护措施，且措施内容应达到《建筑施工安全生产检查标准》（JGJ59-2011）合格标准并符合《广西壮族自治区建筑工程文明施工导则》要求。各项措施一般。有具体实现现场文明施工目标的承诺。</w:t>
            </w:r>
          </w:p>
          <w:p w14:paraId="0288E7F8">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highlight w:val="none"/>
                <w:shd w:val="clear" w:color="auto" w:fill="auto"/>
              </w:rPr>
            </w:pPr>
            <w:r>
              <w:rPr>
                <w:rStyle w:val="43"/>
                <w:rFonts w:hint="default" w:ascii="宋体" w:hAnsi="宋体" w:eastAsia="宋体" w:cs="宋体"/>
                <w:b w:val="0"/>
                <w:color w:val="auto"/>
                <w:kern w:val="2"/>
                <w:sz w:val="21"/>
                <w:szCs w:val="24"/>
                <w:highlight w:val="none"/>
              </w:rPr>
              <w:t>差（</w:t>
            </w:r>
            <w:r>
              <w:rPr>
                <w:rStyle w:val="43"/>
                <w:rFonts w:hint="eastAsia" w:ascii="宋体" w:hAnsi="宋体" w:eastAsia="宋体" w:cs="宋体"/>
                <w:b w:val="0"/>
                <w:color w:val="auto"/>
                <w:kern w:val="2"/>
                <w:sz w:val="21"/>
                <w:szCs w:val="24"/>
                <w:highlight w:val="none"/>
                <w:lang w:val="en-US" w:eastAsia="zh-CN"/>
              </w:rPr>
              <w:t>2</w:t>
            </w:r>
            <w:r>
              <w:rPr>
                <w:rStyle w:val="43"/>
                <w:rFonts w:hint="default" w:ascii="宋体" w:hAnsi="宋体" w:eastAsia="宋体" w:cs="宋体"/>
                <w:b w:val="0"/>
                <w:color w:val="auto"/>
                <w:kern w:val="2"/>
                <w:sz w:val="21"/>
                <w:szCs w:val="24"/>
                <w:highlight w:val="none"/>
              </w:rPr>
              <w:t>分）：针对本工程项目特点，应有现场文明施工、环境保护措施，且措施内容应达到《建筑施工安全生产检查标准》（JGJ59-2011）合格标准并符合《广西壮族自治区建筑工程文明施工导则》要求。各项措施不合理。无具体实现现场文明施工目标的承诺。</w:t>
            </w:r>
          </w:p>
        </w:tc>
      </w:tr>
      <w:tr w14:paraId="283E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50" w:hRule="atLeast"/>
          <w:jc w:val="center"/>
        </w:trPr>
        <w:tc>
          <w:tcPr>
            <w:tcW w:w="780" w:type="dxa"/>
            <w:gridSpan w:val="2"/>
            <w:vMerge w:val="continue"/>
            <w:noWrap w:val="0"/>
            <w:vAlign w:val="center"/>
          </w:tcPr>
          <w:p w14:paraId="2DC865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vMerge w:val="continue"/>
            <w:noWrap w:val="0"/>
            <w:vAlign w:val="center"/>
          </w:tcPr>
          <w:p w14:paraId="1B1164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257A38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930" w:type="dxa"/>
            <w:gridSpan w:val="3"/>
            <w:noWrap w:val="0"/>
            <w:vAlign w:val="center"/>
          </w:tcPr>
          <w:p w14:paraId="26F624C5">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highlight w:val="none"/>
                <w:shd w:val="clear" w:color="auto" w:fill="auto"/>
              </w:rPr>
            </w:pPr>
            <w:r>
              <w:rPr>
                <w:rStyle w:val="43"/>
                <w:rFonts w:hint="default" w:ascii="宋体" w:hAnsi="宋体" w:eastAsia="宋体" w:cs="宋体"/>
                <w:b w:val="0"/>
                <w:color w:val="auto"/>
                <w:kern w:val="2"/>
                <w:sz w:val="21"/>
                <w:szCs w:val="24"/>
                <w:highlight w:val="none"/>
              </w:rPr>
              <w:t>工程施工的重点和难点及保证措施（</w:t>
            </w:r>
            <w:r>
              <w:rPr>
                <w:rStyle w:val="43"/>
                <w:rFonts w:hint="eastAsia" w:ascii="宋体" w:hAnsi="宋体" w:eastAsia="宋体" w:cs="宋体"/>
                <w:b w:val="0"/>
                <w:color w:val="auto"/>
                <w:kern w:val="2"/>
                <w:sz w:val="21"/>
                <w:szCs w:val="24"/>
                <w:highlight w:val="none"/>
                <w:lang w:val="en-US" w:eastAsia="zh-CN"/>
              </w:rPr>
              <w:t>1</w:t>
            </w:r>
            <w:r>
              <w:rPr>
                <w:rStyle w:val="43"/>
                <w:rFonts w:hint="default" w:ascii="宋体" w:hAnsi="宋体" w:eastAsia="宋体" w:cs="宋体"/>
                <w:b w:val="0"/>
                <w:color w:val="auto"/>
                <w:kern w:val="2"/>
                <w:sz w:val="21"/>
                <w:szCs w:val="24"/>
                <w:highlight w:val="none"/>
              </w:rPr>
              <w:t>.0分~</w:t>
            </w:r>
            <w:r>
              <w:rPr>
                <w:rStyle w:val="43"/>
                <w:rFonts w:hint="eastAsia" w:ascii="宋体" w:hAnsi="宋体" w:eastAsia="宋体" w:cs="宋体"/>
                <w:b w:val="0"/>
                <w:color w:val="auto"/>
                <w:kern w:val="2"/>
                <w:sz w:val="21"/>
                <w:szCs w:val="24"/>
                <w:highlight w:val="none"/>
                <w:lang w:val="en-US" w:eastAsia="zh-CN"/>
              </w:rPr>
              <w:t>5</w:t>
            </w:r>
            <w:r>
              <w:rPr>
                <w:rStyle w:val="43"/>
                <w:rFonts w:hint="default" w:ascii="宋体" w:hAnsi="宋体" w:eastAsia="宋体" w:cs="宋体"/>
                <w:b w:val="0"/>
                <w:color w:val="auto"/>
                <w:kern w:val="2"/>
                <w:sz w:val="21"/>
                <w:szCs w:val="24"/>
                <w:highlight w:val="none"/>
              </w:rPr>
              <w:t>.0分）</w:t>
            </w:r>
          </w:p>
        </w:tc>
        <w:tc>
          <w:tcPr>
            <w:tcW w:w="5369" w:type="dxa"/>
            <w:noWrap w:val="0"/>
            <w:vAlign w:val="center"/>
          </w:tcPr>
          <w:p w14:paraId="3E8B2459">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优（</w:t>
            </w:r>
            <w:r>
              <w:rPr>
                <w:rStyle w:val="43"/>
                <w:rFonts w:hint="eastAsia" w:ascii="宋体" w:hAnsi="宋体" w:eastAsia="宋体" w:cs="宋体"/>
                <w:b w:val="0"/>
                <w:color w:val="auto"/>
                <w:kern w:val="2"/>
                <w:sz w:val="21"/>
                <w:szCs w:val="24"/>
                <w:highlight w:val="none"/>
                <w:lang w:val="en-US" w:eastAsia="zh-CN"/>
              </w:rPr>
              <w:t>5</w:t>
            </w:r>
            <w:r>
              <w:rPr>
                <w:rStyle w:val="43"/>
                <w:rFonts w:hint="default" w:ascii="宋体" w:hAnsi="宋体" w:eastAsia="宋体" w:cs="宋体"/>
                <w:b w:val="0"/>
                <w:color w:val="auto"/>
                <w:kern w:val="2"/>
                <w:sz w:val="21"/>
                <w:szCs w:val="24"/>
                <w:highlight w:val="none"/>
              </w:rPr>
              <w:t xml:space="preserve">分）：针对本工程的特点，阐述本工程的重点和难点，解决重点和难点问题的方法科学合理。 </w:t>
            </w:r>
          </w:p>
          <w:p w14:paraId="00948041">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良（</w:t>
            </w:r>
            <w:r>
              <w:rPr>
                <w:rStyle w:val="43"/>
                <w:rFonts w:hint="eastAsia" w:ascii="宋体" w:hAnsi="宋体" w:eastAsia="宋体" w:cs="宋体"/>
                <w:b w:val="0"/>
                <w:color w:val="auto"/>
                <w:kern w:val="2"/>
                <w:sz w:val="21"/>
                <w:szCs w:val="24"/>
                <w:highlight w:val="none"/>
                <w:lang w:val="en-US" w:eastAsia="zh-CN"/>
              </w:rPr>
              <w:t>4</w:t>
            </w:r>
            <w:r>
              <w:rPr>
                <w:rStyle w:val="43"/>
                <w:rFonts w:hint="default" w:ascii="宋体" w:hAnsi="宋体" w:eastAsia="宋体" w:cs="宋体"/>
                <w:b w:val="0"/>
                <w:color w:val="auto"/>
                <w:kern w:val="2"/>
                <w:sz w:val="21"/>
                <w:szCs w:val="24"/>
                <w:highlight w:val="none"/>
              </w:rPr>
              <w:t xml:space="preserve">分）：针对本工程的特点，阐述本工程的重点和难点，解决重点和难点问题的方法基本合理。 </w:t>
            </w:r>
          </w:p>
          <w:p w14:paraId="3321B52E">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中（</w:t>
            </w:r>
            <w:r>
              <w:rPr>
                <w:rStyle w:val="43"/>
                <w:rFonts w:hint="eastAsia" w:ascii="宋体" w:hAnsi="宋体" w:eastAsia="宋体" w:cs="宋体"/>
                <w:b w:val="0"/>
                <w:color w:val="auto"/>
                <w:kern w:val="2"/>
                <w:sz w:val="21"/>
                <w:szCs w:val="24"/>
                <w:highlight w:val="none"/>
                <w:lang w:val="en-US" w:eastAsia="zh-CN"/>
              </w:rPr>
              <w:t>3</w:t>
            </w:r>
            <w:r>
              <w:rPr>
                <w:rStyle w:val="43"/>
                <w:rFonts w:hint="default" w:ascii="宋体" w:hAnsi="宋体" w:eastAsia="宋体" w:cs="宋体"/>
                <w:b w:val="0"/>
                <w:color w:val="auto"/>
                <w:kern w:val="2"/>
                <w:sz w:val="21"/>
                <w:szCs w:val="24"/>
                <w:highlight w:val="none"/>
              </w:rPr>
              <w:t xml:space="preserve">分）：针对本工程的特点，本工程的重点和难点阐述一般，解决重点和难点问题的方法一般。 </w:t>
            </w:r>
          </w:p>
          <w:p w14:paraId="4FAEA19D">
            <w:pPr>
              <w:pStyle w:val="162"/>
              <w:keepNext w:val="0"/>
              <w:keepLines w:val="0"/>
              <w:widowControl/>
              <w:suppressLineNumbers w:val="0"/>
              <w:spacing w:before="0" w:beforeAutospacing="0" w:after="0" w:afterAutospacing="0"/>
              <w:ind w:left="0" w:right="0"/>
              <w:jc w:val="left"/>
              <w:rPr>
                <w:rStyle w:val="43"/>
                <w:rFonts w:hint="default" w:ascii="宋体" w:hAnsi="宋体" w:eastAsia="宋体" w:cs="宋体"/>
                <w:b w:val="0"/>
                <w:color w:val="auto"/>
                <w:kern w:val="2"/>
                <w:sz w:val="21"/>
                <w:szCs w:val="24"/>
                <w:highlight w:val="none"/>
              </w:rPr>
            </w:pPr>
            <w:r>
              <w:rPr>
                <w:rStyle w:val="43"/>
                <w:rFonts w:hint="default" w:ascii="宋体" w:hAnsi="宋体" w:eastAsia="宋体" w:cs="宋体"/>
                <w:b w:val="0"/>
                <w:color w:val="auto"/>
                <w:kern w:val="2"/>
                <w:sz w:val="21"/>
                <w:szCs w:val="24"/>
                <w:highlight w:val="none"/>
              </w:rPr>
              <w:t>一般（</w:t>
            </w:r>
            <w:r>
              <w:rPr>
                <w:rStyle w:val="43"/>
                <w:rFonts w:hint="eastAsia" w:ascii="宋体" w:hAnsi="宋体" w:eastAsia="宋体" w:cs="宋体"/>
                <w:b w:val="0"/>
                <w:color w:val="auto"/>
                <w:kern w:val="2"/>
                <w:sz w:val="21"/>
                <w:szCs w:val="24"/>
                <w:highlight w:val="none"/>
                <w:lang w:val="en-US" w:eastAsia="zh-CN"/>
              </w:rPr>
              <w:t>2</w:t>
            </w:r>
            <w:r>
              <w:rPr>
                <w:rStyle w:val="43"/>
                <w:rFonts w:hint="default" w:ascii="宋体" w:hAnsi="宋体" w:eastAsia="宋体" w:cs="宋体"/>
                <w:b w:val="0"/>
                <w:color w:val="auto"/>
                <w:kern w:val="2"/>
                <w:sz w:val="21"/>
                <w:szCs w:val="24"/>
                <w:highlight w:val="none"/>
              </w:rPr>
              <w:t>分）：针对本工程的特点，阐述本工程的重点和难点，解决重点和难点问题的方法较差。</w:t>
            </w:r>
          </w:p>
          <w:p w14:paraId="3457EA80">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highlight w:val="none"/>
                <w:shd w:val="clear" w:color="auto" w:fill="auto"/>
              </w:rPr>
            </w:pPr>
            <w:r>
              <w:rPr>
                <w:rStyle w:val="43"/>
                <w:rFonts w:hint="default" w:ascii="宋体" w:hAnsi="宋体" w:eastAsia="宋体" w:cs="宋体"/>
                <w:b w:val="0"/>
                <w:color w:val="auto"/>
                <w:kern w:val="2"/>
                <w:sz w:val="21"/>
                <w:szCs w:val="24"/>
                <w:highlight w:val="none"/>
              </w:rPr>
              <w:t>差（</w:t>
            </w:r>
            <w:r>
              <w:rPr>
                <w:rStyle w:val="43"/>
                <w:rFonts w:hint="eastAsia" w:ascii="宋体" w:hAnsi="宋体" w:eastAsia="宋体" w:cs="宋体"/>
                <w:b w:val="0"/>
                <w:color w:val="auto"/>
                <w:kern w:val="2"/>
                <w:sz w:val="21"/>
                <w:szCs w:val="24"/>
                <w:highlight w:val="none"/>
                <w:lang w:val="en-US" w:eastAsia="zh-CN"/>
              </w:rPr>
              <w:t>1</w:t>
            </w:r>
            <w:r>
              <w:rPr>
                <w:rStyle w:val="43"/>
                <w:rFonts w:hint="default" w:ascii="宋体" w:hAnsi="宋体" w:eastAsia="宋体" w:cs="宋体"/>
                <w:b w:val="0"/>
                <w:color w:val="auto"/>
                <w:kern w:val="2"/>
                <w:sz w:val="21"/>
                <w:szCs w:val="24"/>
                <w:highlight w:val="none"/>
              </w:rPr>
              <w:t>分）：针对本工程的特点，阐述本工程的重点和难点，解决重点和难点问题的方法不合理。</w:t>
            </w:r>
          </w:p>
        </w:tc>
      </w:tr>
      <w:tr w14:paraId="3774F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50" w:hRule="atLeast"/>
          <w:jc w:val="center"/>
        </w:trPr>
        <w:tc>
          <w:tcPr>
            <w:tcW w:w="780" w:type="dxa"/>
            <w:gridSpan w:val="2"/>
            <w:vMerge w:val="continue"/>
            <w:noWrap w:val="0"/>
            <w:vAlign w:val="center"/>
          </w:tcPr>
          <w:p w14:paraId="00E060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382" w:type="dxa"/>
            <w:vMerge w:val="continue"/>
            <w:noWrap w:val="0"/>
            <w:vAlign w:val="center"/>
          </w:tcPr>
          <w:p w14:paraId="65B966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561" w:type="dxa"/>
            <w:vMerge w:val="continue"/>
            <w:noWrap w:val="0"/>
            <w:vAlign w:val="center"/>
          </w:tcPr>
          <w:p w14:paraId="1A5244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p>
        </w:tc>
        <w:tc>
          <w:tcPr>
            <w:tcW w:w="1930" w:type="dxa"/>
            <w:gridSpan w:val="3"/>
            <w:noWrap w:val="0"/>
            <w:vAlign w:val="center"/>
          </w:tcPr>
          <w:p w14:paraId="11F546D7">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highlight w:val="none"/>
                <w:shd w:val="clear" w:color="auto" w:fill="auto"/>
              </w:rPr>
            </w:pPr>
            <w:r>
              <w:rPr>
                <w:rStyle w:val="43"/>
                <w:rFonts w:hint="default" w:ascii="宋体" w:hAnsi="宋体" w:eastAsia="宋体" w:cs="宋体"/>
                <w:b w:val="0"/>
                <w:color w:val="auto"/>
                <w:kern w:val="2"/>
                <w:sz w:val="21"/>
                <w:szCs w:val="24"/>
                <w:highlight w:val="none"/>
              </w:rPr>
              <w:t>施工总平面布置图（1.0分~5.0分）</w:t>
            </w:r>
          </w:p>
        </w:tc>
        <w:tc>
          <w:tcPr>
            <w:tcW w:w="5369" w:type="dxa"/>
            <w:noWrap w:val="0"/>
            <w:vAlign w:val="center"/>
          </w:tcPr>
          <w:p w14:paraId="2FF9D4D4">
            <w:pPr>
              <w:pStyle w:val="162"/>
              <w:keepNext w:val="0"/>
              <w:keepLines w:val="0"/>
              <w:widowControl/>
              <w:suppressLineNumbers w:val="0"/>
              <w:spacing w:before="0" w:beforeAutospacing="0" w:after="0" w:afterAutospacing="0"/>
              <w:ind w:left="0" w:right="0"/>
              <w:rPr>
                <w:rFonts w:hint="eastAsia" w:ascii="宋体" w:hAnsi="宋体" w:eastAsia="宋体" w:cs="宋体"/>
                <w:color w:val="auto"/>
                <w:kern w:val="2"/>
                <w:sz w:val="21"/>
                <w:highlight w:val="none"/>
                <w:lang w:eastAsia="zh-CN"/>
              </w:rPr>
            </w:pPr>
            <w:r>
              <w:rPr>
                <w:rFonts w:hint="default" w:ascii="宋体" w:hAnsi="宋体" w:eastAsia="宋体" w:cs="宋体"/>
                <w:color w:val="auto"/>
                <w:kern w:val="2"/>
                <w:sz w:val="21"/>
                <w:highlight w:val="none"/>
              </w:rPr>
              <w:t>优（5分）:有施工总平面布置图，安排科学合理，完全符合本项目施工实际要求。</w:t>
            </w:r>
          </w:p>
          <w:p w14:paraId="091C12F7">
            <w:pPr>
              <w:pStyle w:val="162"/>
              <w:keepNext w:val="0"/>
              <w:keepLines w:val="0"/>
              <w:widowControl/>
              <w:suppressLineNumbers w:val="0"/>
              <w:spacing w:before="0" w:beforeAutospacing="0" w:after="0" w:afterAutospacing="0"/>
              <w:ind w:left="0" w:right="0"/>
              <w:rPr>
                <w:rFonts w:hint="eastAsia" w:ascii="宋体" w:hAnsi="宋体" w:eastAsia="宋体" w:cs="宋体"/>
                <w:color w:val="auto"/>
                <w:kern w:val="2"/>
                <w:sz w:val="21"/>
                <w:highlight w:val="none"/>
                <w:lang w:eastAsia="zh-CN"/>
              </w:rPr>
            </w:pPr>
            <w:r>
              <w:rPr>
                <w:rFonts w:hint="default" w:ascii="宋体" w:hAnsi="宋体" w:eastAsia="宋体" w:cs="宋体"/>
                <w:color w:val="auto"/>
                <w:kern w:val="2"/>
                <w:sz w:val="21"/>
                <w:highlight w:val="none"/>
              </w:rPr>
              <w:t>良（4分）:有施工总平面布置图，安排较合理，符合本项目施工实际要求。</w:t>
            </w:r>
          </w:p>
          <w:p w14:paraId="64DF3120">
            <w:pPr>
              <w:pStyle w:val="162"/>
              <w:keepNext w:val="0"/>
              <w:keepLines w:val="0"/>
              <w:widowControl/>
              <w:suppressLineNumbers w:val="0"/>
              <w:spacing w:before="0" w:beforeAutospacing="0" w:after="0" w:afterAutospacing="0"/>
              <w:ind w:left="0" w:right="0"/>
              <w:rPr>
                <w:rFonts w:hint="eastAsia" w:ascii="宋体" w:hAnsi="宋体" w:eastAsia="宋体" w:cs="宋体"/>
                <w:color w:val="auto"/>
                <w:kern w:val="2"/>
                <w:sz w:val="21"/>
                <w:highlight w:val="none"/>
                <w:lang w:eastAsia="zh-CN"/>
              </w:rPr>
            </w:pPr>
            <w:r>
              <w:rPr>
                <w:rFonts w:hint="default" w:ascii="宋体" w:hAnsi="宋体" w:eastAsia="宋体" w:cs="宋体"/>
                <w:color w:val="auto"/>
                <w:kern w:val="2"/>
                <w:sz w:val="21"/>
                <w:highlight w:val="none"/>
              </w:rPr>
              <w:t>中（3分）:有施工总平面布置图，安排基本合理，基本符合本项目施工实际要求。</w:t>
            </w:r>
          </w:p>
          <w:p w14:paraId="6CA20573">
            <w:pPr>
              <w:pStyle w:val="162"/>
              <w:keepNext w:val="0"/>
              <w:keepLines w:val="0"/>
              <w:widowControl/>
              <w:suppressLineNumbers w:val="0"/>
              <w:spacing w:before="0" w:beforeAutospacing="0" w:after="0" w:afterAutospacing="0"/>
              <w:ind w:left="0" w:right="0"/>
              <w:rPr>
                <w:rFonts w:hint="eastAsia" w:ascii="宋体" w:hAnsi="宋体" w:eastAsia="宋体" w:cs="宋体"/>
                <w:color w:val="auto"/>
                <w:kern w:val="2"/>
                <w:sz w:val="21"/>
                <w:highlight w:val="none"/>
                <w:lang w:eastAsia="zh-CN"/>
              </w:rPr>
            </w:pPr>
            <w:r>
              <w:rPr>
                <w:rFonts w:hint="default" w:ascii="宋体" w:hAnsi="宋体" w:eastAsia="宋体" w:cs="宋体"/>
                <w:color w:val="auto"/>
                <w:kern w:val="2"/>
                <w:sz w:val="21"/>
                <w:highlight w:val="none"/>
              </w:rPr>
              <w:t>一般（2分）:有施工总平面布置图，安排勉强合理，勉强符合本项目施工实际要求。</w:t>
            </w:r>
          </w:p>
          <w:p w14:paraId="1A016E87">
            <w:pPr>
              <w:pStyle w:val="162"/>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2"/>
                <w:highlight w:val="none"/>
                <w:shd w:val="clear" w:color="auto" w:fill="auto"/>
              </w:rPr>
            </w:pPr>
            <w:r>
              <w:rPr>
                <w:rFonts w:hint="default" w:ascii="宋体" w:hAnsi="宋体" w:eastAsia="宋体" w:cs="宋体"/>
                <w:color w:val="auto"/>
                <w:kern w:val="2"/>
                <w:sz w:val="21"/>
                <w:highlight w:val="none"/>
              </w:rPr>
              <w:t>差（</w:t>
            </w:r>
            <w:r>
              <w:rPr>
                <w:rFonts w:hint="eastAsia" w:ascii="宋体" w:hAnsi="宋体" w:eastAsia="宋体" w:cs="宋体"/>
                <w:color w:val="auto"/>
                <w:kern w:val="2"/>
                <w:sz w:val="21"/>
                <w:highlight w:val="none"/>
                <w:lang w:val="en-US" w:eastAsia="zh-CN"/>
              </w:rPr>
              <w:t>1</w:t>
            </w:r>
            <w:r>
              <w:rPr>
                <w:rFonts w:hint="default" w:ascii="宋体" w:hAnsi="宋体" w:eastAsia="宋体" w:cs="宋体"/>
                <w:color w:val="auto"/>
                <w:kern w:val="2"/>
                <w:sz w:val="21"/>
                <w:highlight w:val="none"/>
              </w:rPr>
              <w:t>分）:无施工总平面布置图，安排不合理，不符合本项目施工实际要求。</w:t>
            </w:r>
          </w:p>
        </w:tc>
      </w:tr>
      <w:tr w14:paraId="50CB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362" w:hRule="atLeast"/>
          <w:jc w:val="center"/>
        </w:trPr>
        <w:tc>
          <w:tcPr>
            <w:tcW w:w="780" w:type="dxa"/>
            <w:gridSpan w:val="2"/>
            <w:noWrap w:val="0"/>
            <w:vAlign w:val="center"/>
          </w:tcPr>
          <w:p w14:paraId="061A50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2.2.2.</w:t>
            </w:r>
          </w:p>
          <w:p w14:paraId="485910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w:t>
            </w:r>
          </w:p>
        </w:tc>
        <w:tc>
          <w:tcPr>
            <w:tcW w:w="1382" w:type="dxa"/>
            <w:noWrap w:val="0"/>
            <w:vAlign w:val="center"/>
          </w:tcPr>
          <w:p w14:paraId="11C4C6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评标基准价计算</w:t>
            </w:r>
          </w:p>
        </w:tc>
        <w:tc>
          <w:tcPr>
            <w:tcW w:w="7860" w:type="dxa"/>
            <w:gridSpan w:val="5"/>
            <w:noWrap w:val="0"/>
            <w:vAlign w:val="center"/>
          </w:tcPr>
          <w:p w14:paraId="05657EB8">
            <w:pPr>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line="360" w:lineRule="exact"/>
              <w:ind w:left="150" w:right="150" w:firstLine="422" w:firstLineChars="200"/>
              <w:jc w:val="left"/>
              <w:textAlignment w:val="auto"/>
              <w:rPr>
                <w:rFonts w:hint="default" w:ascii="Calibri" w:hAnsi="Calibri" w:eastAsia="宋体" w:cs="Times New Roman"/>
                <w:b/>
                <w:bCs/>
                <w:color w:val="auto"/>
                <w:highlight w:val="none"/>
                <w:shd w:val="clear" w:color="auto" w:fill="auto"/>
              </w:rPr>
            </w:pPr>
            <w:r>
              <w:rPr>
                <w:rFonts w:hint="eastAsia" w:ascii="Calibri" w:hAnsi="Calibri" w:eastAsia="宋体" w:cs="宋体"/>
                <w:b/>
                <w:bCs/>
                <w:color w:val="auto"/>
                <w:highlight w:val="none"/>
                <w:shd w:val="clear" w:color="auto" w:fill="auto"/>
              </w:rPr>
              <w:t>评标基准价的确定方法</w:t>
            </w:r>
          </w:p>
          <w:p w14:paraId="2F1FC5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宋体" w:cs="宋体"/>
                <w:color w:val="auto"/>
                <w:highlight w:val="none"/>
                <w:shd w:val="clear" w:color="auto" w:fill="auto"/>
              </w:rPr>
            </w:pPr>
            <w:r>
              <w:rPr>
                <w:rFonts w:hint="default" w:ascii="Times New Roman" w:hAnsi="Times New Roman" w:eastAsia="宋体" w:cs="宋体"/>
                <w:color w:val="auto"/>
                <w:highlight w:val="none"/>
                <w:shd w:val="clear" w:color="auto" w:fill="auto"/>
              </w:rPr>
              <w:t>（1）有效报价范围：为通过形式评审、响应性评审、资格评审、技术标评审合格、投标总价低于或等于</w:t>
            </w:r>
            <w:r>
              <w:rPr>
                <w:rFonts w:hint="eastAsia" w:ascii="Times New Roman" w:hAnsi="Times New Roman" w:eastAsia="宋体" w:cs="宋体"/>
                <w:color w:val="auto"/>
                <w:highlight w:val="none"/>
                <w:shd w:val="clear" w:color="auto" w:fill="auto"/>
                <w:lang w:eastAsia="zh-CN"/>
              </w:rPr>
              <w:t>最高投标限价</w:t>
            </w:r>
            <w:r>
              <w:rPr>
                <w:rFonts w:hint="eastAsia" w:cs="宋体"/>
                <w:color w:val="auto"/>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经评标委员会审定不存在低于其企业成本</w:t>
            </w:r>
            <w:r>
              <w:rPr>
                <w:rFonts w:hint="default" w:ascii="Times New Roman" w:hAnsi="Times New Roman" w:eastAsia="宋体" w:cs="宋体"/>
                <w:color w:val="auto"/>
                <w:highlight w:val="none"/>
                <w:shd w:val="clear" w:color="auto" w:fill="auto"/>
              </w:rPr>
              <w:t>的报价。</w:t>
            </w:r>
          </w:p>
          <w:p w14:paraId="148D3E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宋体" w:cs="宋体"/>
                <w:color w:val="auto"/>
                <w:sz w:val="21"/>
                <w:szCs w:val="21"/>
                <w:highlight w:val="none"/>
                <w:shd w:val="clear" w:color="auto" w:fill="auto"/>
              </w:rPr>
            </w:pPr>
            <w:r>
              <w:rPr>
                <w:rFonts w:hint="default" w:ascii="Times New Roman" w:hAnsi="Times New Roman" w:eastAsia="宋体" w:cs="宋体"/>
                <w:color w:val="auto"/>
                <w:highlight w:val="none"/>
                <w:shd w:val="clear" w:color="auto" w:fill="auto"/>
              </w:rPr>
              <w:t>（2）确定评标基准价P</w:t>
            </w:r>
            <w:r>
              <w:rPr>
                <w:rFonts w:hint="default" w:ascii="Times New Roman" w:hAnsi="Times New Roman" w:eastAsia="宋体" w:cs="宋体"/>
                <w:color w:val="auto"/>
                <w:sz w:val="21"/>
                <w:szCs w:val="21"/>
                <w:highlight w:val="none"/>
                <w:shd w:val="clear" w:color="auto" w:fill="auto"/>
              </w:rPr>
              <w:t>。</w:t>
            </w:r>
          </w:p>
          <w:p w14:paraId="53D7C2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宋体" w:cs="宋体"/>
                <w:color w:val="auto"/>
                <w:highlight w:val="none"/>
                <w:shd w:val="clear" w:color="auto" w:fill="auto"/>
              </w:rPr>
            </w:pPr>
            <w:r>
              <w:rPr>
                <w:rFonts w:hint="eastAsia" w:cs="宋体"/>
                <w:color w:val="auto"/>
                <w:highlight w:val="none"/>
                <w:shd w:val="clear" w:color="auto" w:fill="auto"/>
                <w:lang w:eastAsia="zh-CN"/>
              </w:rPr>
              <w:t>☑</w:t>
            </w:r>
            <w:r>
              <w:rPr>
                <w:rFonts w:hint="eastAsia" w:ascii="Times New Roman" w:hAnsi="Times New Roman" w:eastAsia="宋体" w:cs="宋体"/>
                <w:color w:val="auto"/>
                <w:sz w:val="21"/>
                <w:szCs w:val="21"/>
                <w:highlight w:val="none"/>
                <w:shd w:val="clear" w:color="auto" w:fill="auto"/>
              </w:rPr>
              <w:t>房</w:t>
            </w:r>
            <w:r>
              <w:rPr>
                <w:rFonts w:hint="default" w:ascii="Times New Roman" w:hAnsi="Times New Roman" w:eastAsia="宋体" w:cs="宋体"/>
                <w:color w:val="auto"/>
                <w:highlight w:val="none"/>
                <w:shd w:val="clear" w:color="auto" w:fill="auto"/>
              </w:rPr>
              <w:t>屋建筑</w:t>
            </w:r>
            <w:r>
              <w:rPr>
                <w:rFonts w:hint="eastAsia" w:ascii="Times New Roman" w:hAnsi="Times New Roman" w:eastAsia="宋体" w:cs="宋体"/>
                <w:color w:val="auto"/>
                <w:sz w:val="21"/>
                <w:szCs w:val="21"/>
                <w:highlight w:val="none"/>
                <w:shd w:val="clear" w:color="auto" w:fill="auto"/>
              </w:rPr>
              <w:t>项目，</w:t>
            </w:r>
            <w:r>
              <w:rPr>
                <w:rFonts w:hint="eastAsia" w:ascii="Times New Roman" w:hAnsi="Times New Roman" w:eastAsia="宋体" w:cs="宋体"/>
                <w:color w:val="auto"/>
                <w:highlight w:val="none"/>
                <w:shd w:val="clear" w:color="auto" w:fill="auto"/>
              </w:rPr>
              <w:t>取大于</w:t>
            </w:r>
            <w:r>
              <w:rPr>
                <w:rFonts w:hint="eastAsia" w:ascii="Times New Roman" w:hAnsi="Times New Roman" w:eastAsia="宋体" w:cs="宋体"/>
                <w:color w:val="auto"/>
                <w:highlight w:val="none"/>
                <w:shd w:val="clear" w:color="auto" w:fill="auto"/>
                <w:lang w:eastAsia="zh-CN"/>
              </w:rPr>
              <w:t>最高投标限价</w:t>
            </w:r>
            <w:r>
              <w:rPr>
                <w:rFonts w:hint="eastAsia" w:ascii="Times New Roman" w:hAnsi="Times New Roman" w:eastAsia="宋体" w:cs="宋体"/>
                <w:color w:val="auto"/>
                <w:highlight w:val="none"/>
                <w:shd w:val="clear" w:color="auto" w:fill="auto"/>
              </w:rPr>
              <w:t>的85%的有效报价参与评标基准价计算</w:t>
            </w:r>
            <w:r>
              <w:rPr>
                <w:rFonts w:hint="default" w:ascii="Times New Roman" w:hAnsi="Times New Roman" w:eastAsia="宋体" w:cs="宋体"/>
                <w:color w:val="auto"/>
                <w:highlight w:val="none"/>
                <w:shd w:val="clear" w:color="auto" w:fill="auto"/>
              </w:rPr>
              <w:t>。</w:t>
            </w:r>
          </w:p>
          <w:p w14:paraId="4A84FD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宋体" w:cs="宋体"/>
                <w:color w:val="auto"/>
                <w:highlight w:val="none"/>
                <w:shd w:val="clear" w:color="auto" w:fill="auto"/>
              </w:rPr>
            </w:pPr>
            <w:r>
              <w:rPr>
                <w:rFonts w:hint="default" w:ascii="Times New Roman" w:hAnsi="Times New Roman" w:eastAsia="宋体" w:cs="宋体"/>
                <w:color w:val="auto"/>
                <w:highlight w:val="none"/>
                <w:shd w:val="clear" w:color="auto" w:fill="auto"/>
              </w:rPr>
              <w:t>当参与计算的有效报价数</w:t>
            </w:r>
            <w:r>
              <w:rPr>
                <w:rFonts w:hint="default" w:ascii="Times New Roman" w:hAnsi="Times New Roman" w:eastAsia="宋体" w:cs="宋体"/>
                <w:color w:val="auto"/>
                <w:highlight w:val="none"/>
                <w:shd w:val="clear" w:color="auto" w:fill="auto"/>
                <w:lang w:eastAsia="zh-CN"/>
              </w:rPr>
              <w:t>量</w:t>
            </w:r>
            <w:r>
              <w:rPr>
                <w:rFonts w:hint="default" w:ascii="Times New Roman" w:hAnsi="Times New Roman" w:eastAsia="宋体" w:cs="宋体"/>
                <w:color w:val="auto"/>
                <w:highlight w:val="none"/>
                <w:shd w:val="clear" w:color="auto" w:fill="auto"/>
              </w:rPr>
              <w:t>大于4时，</w:t>
            </w:r>
            <w:r>
              <w:rPr>
                <w:rFonts w:hint="default" w:ascii="Times New Roman" w:hAnsi="Times New Roman" w:eastAsia="宋体" w:cs="宋体"/>
                <w:b w:val="0"/>
                <w:bCs w:val="0"/>
                <w:color w:val="auto"/>
                <w:sz w:val="21"/>
                <w:szCs w:val="21"/>
                <w:highlight w:val="none"/>
                <w:shd w:val="clear" w:color="auto" w:fill="auto"/>
                <w:lang w:val="en-US" w:eastAsia="zh-CN"/>
              </w:rPr>
              <w:t>参与计算的有效报价</w:t>
            </w:r>
            <w:r>
              <w:rPr>
                <w:rFonts w:hint="eastAsia" w:ascii="Times New Roman" w:hAnsi="Times New Roman" w:eastAsia="宋体" w:cs="宋体"/>
                <w:color w:val="auto"/>
                <w:highlight w:val="none"/>
                <w:shd w:val="clear" w:color="auto" w:fill="auto"/>
              </w:rPr>
              <w:t>由高到低排序后去掉一个最高</w:t>
            </w:r>
            <w:r>
              <w:rPr>
                <w:rFonts w:hint="default" w:ascii="Times New Roman" w:hAnsi="Times New Roman" w:eastAsia="宋体" w:cs="宋体"/>
                <w:color w:val="auto"/>
                <w:highlight w:val="none"/>
                <w:shd w:val="clear" w:color="auto" w:fill="auto"/>
              </w:rPr>
              <w:t>报价</w:t>
            </w:r>
            <w:r>
              <w:rPr>
                <w:rFonts w:hint="eastAsia" w:ascii="Times New Roman" w:hAnsi="Times New Roman" w:eastAsia="宋体" w:cs="宋体"/>
                <w:color w:val="auto"/>
                <w:highlight w:val="none"/>
                <w:shd w:val="clear" w:color="auto" w:fill="auto"/>
              </w:rPr>
              <w:t>和一个最低报价，其余报价的算术平均值为评标基准价P。</w:t>
            </w:r>
          </w:p>
          <w:p w14:paraId="5CDAB4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宋体" w:cs="宋体"/>
                <w:color w:val="auto"/>
                <w:highlight w:val="none"/>
                <w:shd w:val="clear" w:color="auto" w:fill="auto"/>
              </w:rPr>
            </w:pPr>
            <w:r>
              <w:rPr>
                <w:rFonts w:hint="default" w:ascii="Times New Roman" w:hAnsi="Times New Roman" w:eastAsia="宋体" w:cs="宋体"/>
                <w:color w:val="auto"/>
                <w:highlight w:val="none"/>
                <w:shd w:val="clear" w:color="auto" w:fill="auto"/>
              </w:rPr>
              <w:t>当参与计算的有效报价数</w:t>
            </w:r>
            <w:r>
              <w:rPr>
                <w:rFonts w:hint="default" w:ascii="Times New Roman" w:hAnsi="Times New Roman" w:eastAsia="宋体" w:cs="宋体"/>
                <w:color w:val="auto"/>
                <w:highlight w:val="none"/>
                <w:shd w:val="clear" w:color="auto" w:fill="auto"/>
                <w:lang w:eastAsia="zh-CN"/>
              </w:rPr>
              <w:t>量</w:t>
            </w:r>
            <w:r>
              <w:rPr>
                <w:rFonts w:hint="default" w:ascii="Times New Roman" w:hAnsi="Times New Roman" w:eastAsia="宋体" w:cs="宋体"/>
                <w:color w:val="auto"/>
                <w:highlight w:val="none"/>
                <w:shd w:val="clear" w:color="auto" w:fill="auto"/>
              </w:rPr>
              <w:t>小于等于4时，</w:t>
            </w:r>
            <w:r>
              <w:rPr>
                <w:rFonts w:hint="default" w:ascii="Times New Roman" w:hAnsi="Times New Roman" w:eastAsia="宋体" w:cs="宋体"/>
                <w:color w:val="auto"/>
                <w:highlight w:val="none"/>
                <w:shd w:val="clear" w:color="auto" w:fill="auto"/>
                <w:lang w:eastAsia="zh-CN"/>
              </w:rPr>
              <w:t>取</w:t>
            </w:r>
            <w:r>
              <w:rPr>
                <w:rFonts w:hint="default" w:ascii="Times New Roman" w:hAnsi="Times New Roman" w:eastAsia="宋体" w:cs="宋体"/>
                <w:color w:val="auto"/>
                <w:highlight w:val="none"/>
                <w:shd w:val="clear" w:color="auto" w:fill="auto"/>
              </w:rPr>
              <w:t>所有报价的算术平均值为评标基准价P。</w:t>
            </w:r>
          </w:p>
          <w:p w14:paraId="56A8C7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宋体" w:cs="宋体"/>
                <w:color w:val="auto"/>
                <w:highlight w:val="none"/>
                <w:shd w:val="clear" w:color="auto" w:fill="auto"/>
              </w:rPr>
            </w:pPr>
            <w:r>
              <w:rPr>
                <w:rFonts w:hint="eastAsia" w:cs="宋体"/>
                <w:color w:val="auto"/>
                <w:highlight w:val="none"/>
                <w:shd w:val="clear" w:color="auto" w:fill="auto"/>
                <w:lang w:eastAsia="zh-CN"/>
              </w:rPr>
              <w:t>□</w:t>
            </w:r>
            <w:r>
              <w:rPr>
                <w:rFonts w:hint="default" w:ascii="Times New Roman" w:hAnsi="Times New Roman" w:eastAsia="宋体" w:cs="宋体"/>
                <w:color w:val="auto"/>
                <w:highlight w:val="none"/>
                <w:shd w:val="clear" w:color="auto" w:fill="auto"/>
              </w:rPr>
              <w:t>市政基础设施项目，取大于</w:t>
            </w:r>
            <w:r>
              <w:rPr>
                <w:rFonts w:hint="eastAsia" w:ascii="Times New Roman" w:hAnsi="Times New Roman" w:eastAsia="宋体" w:cs="宋体"/>
                <w:color w:val="auto"/>
                <w:highlight w:val="none"/>
                <w:shd w:val="clear" w:color="auto" w:fill="auto"/>
                <w:lang w:eastAsia="zh-CN"/>
              </w:rPr>
              <w:t>最高投标限价</w:t>
            </w:r>
            <w:r>
              <w:rPr>
                <w:rFonts w:hint="default" w:ascii="Times New Roman" w:hAnsi="Times New Roman" w:eastAsia="宋体" w:cs="宋体"/>
                <w:color w:val="auto"/>
                <w:highlight w:val="none"/>
                <w:shd w:val="clear" w:color="auto" w:fill="auto"/>
              </w:rPr>
              <w:t>的80%</w:t>
            </w:r>
            <w:r>
              <w:rPr>
                <w:rFonts w:hint="eastAsia" w:ascii="宋体" w:hAnsi="宋体" w:eastAsia="宋体" w:cs="宋体"/>
                <w:color w:val="auto"/>
                <w:highlight w:val="none"/>
                <w:shd w:val="clear" w:color="auto" w:fill="auto"/>
              </w:rPr>
              <w:t>的</w:t>
            </w:r>
            <w:r>
              <w:rPr>
                <w:rFonts w:hint="default" w:ascii="Times New Roman" w:hAnsi="Times New Roman" w:eastAsia="宋体" w:cs="宋体"/>
                <w:color w:val="auto"/>
                <w:highlight w:val="none"/>
                <w:shd w:val="clear" w:color="auto" w:fill="auto"/>
              </w:rPr>
              <w:t>有效报价参与评标基准价计算。</w:t>
            </w:r>
          </w:p>
          <w:p w14:paraId="798508C2">
            <w:pPr>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宋体" w:cs="宋体"/>
                <w:color w:val="auto"/>
                <w:highlight w:val="none"/>
                <w:shd w:val="clear" w:color="auto" w:fill="auto"/>
              </w:rPr>
            </w:pPr>
            <w:bookmarkStart w:id="440" w:name="_Hlk101852293"/>
            <w:r>
              <w:rPr>
                <w:rFonts w:hint="default" w:ascii="Times New Roman" w:hAnsi="Times New Roman" w:eastAsia="宋体" w:cs="宋体"/>
                <w:color w:val="auto"/>
                <w:highlight w:val="none"/>
                <w:shd w:val="clear" w:color="auto" w:fill="auto"/>
              </w:rPr>
              <w:t>当参与计算的有效报价数</w:t>
            </w:r>
            <w:r>
              <w:rPr>
                <w:rFonts w:hint="default" w:ascii="Times New Roman" w:hAnsi="Times New Roman" w:eastAsia="宋体" w:cs="宋体"/>
                <w:color w:val="auto"/>
                <w:highlight w:val="none"/>
                <w:shd w:val="clear" w:color="auto" w:fill="auto"/>
                <w:lang w:eastAsia="zh-CN"/>
              </w:rPr>
              <w:t>量</w:t>
            </w:r>
            <w:r>
              <w:rPr>
                <w:rFonts w:hint="default" w:ascii="Times New Roman" w:hAnsi="Times New Roman" w:eastAsia="宋体" w:cs="宋体"/>
                <w:color w:val="auto"/>
                <w:highlight w:val="none"/>
                <w:shd w:val="clear" w:color="auto" w:fill="auto"/>
              </w:rPr>
              <w:t>大于4时，</w:t>
            </w:r>
            <w:bookmarkEnd w:id="440"/>
            <w:r>
              <w:rPr>
                <w:rFonts w:hint="default" w:ascii="Times New Roman" w:hAnsi="Times New Roman" w:eastAsia="宋体" w:cs="宋体"/>
                <w:b w:val="0"/>
                <w:bCs w:val="0"/>
                <w:color w:val="auto"/>
                <w:sz w:val="21"/>
                <w:szCs w:val="21"/>
                <w:highlight w:val="none"/>
                <w:shd w:val="clear" w:color="auto" w:fill="auto"/>
                <w:lang w:val="en-US" w:eastAsia="zh-CN"/>
              </w:rPr>
              <w:t>参与计算的有效报价</w:t>
            </w:r>
            <w:r>
              <w:rPr>
                <w:rFonts w:hint="default" w:ascii="Times New Roman" w:hAnsi="Times New Roman" w:eastAsia="宋体" w:cs="宋体"/>
                <w:color w:val="auto"/>
                <w:highlight w:val="none"/>
                <w:shd w:val="clear" w:color="auto" w:fill="auto"/>
              </w:rPr>
              <w:t>由高到低排序后去掉一个最高和一个最低报价，其余报价的算术平均值为评标基准价P。</w:t>
            </w:r>
          </w:p>
          <w:p w14:paraId="25B6E261">
            <w:pPr>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Times New Roman"/>
                <w:color w:val="auto"/>
                <w:highlight w:val="none"/>
                <w:shd w:val="clear" w:color="auto" w:fill="auto"/>
              </w:rPr>
            </w:pPr>
            <w:bookmarkStart w:id="441" w:name="_Hlk101852321"/>
            <w:r>
              <w:rPr>
                <w:rFonts w:hint="default" w:ascii="Times New Roman" w:hAnsi="Times New Roman" w:eastAsia="宋体" w:cs="宋体"/>
                <w:color w:val="auto"/>
                <w:highlight w:val="none"/>
                <w:shd w:val="clear" w:color="auto" w:fill="auto"/>
              </w:rPr>
              <w:t>当参与计算的有效报价数</w:t>
            </w:r>
            <w:r>
              <w:rPr>
                <w:rFonts w:hint="default" w:ascii="Times New Roman" w:hAnsi="Times New Roman" w:eastAsia="宋体" w:cs="宋体"/>
                <w:color w:val="auto"/>
                <w:highlight w:val="none"/>
                <w:shd w:val="clear" w:color="auto" w:fill="auto"/>
                <w:lang w:eastAsia="zh-CN"/>
              </w:rPr>
              <w:t>量</w:t>
            </w:r>
            <w:r>
              <w:rPr>
                <w:rFonts w:hint="default" w:ascii="Times New Roman" w:hAnsi="Times New Roman" w:eastAsia="宋体" w:cs="宋体"/>
                <w:color w:val="auto"/>
                <w:highlight w:val="none"/>
                <w:shd w:val="clear" w:color="auto" w:fill="auto"/>
              </w:rPr>
              <w:t>小于等于4时，所有报价的算术平均值为评标基准价P。</w:t>
            </w:r>
            <w:bookmarkEnd w:id="441"/>
          </w:p>
        </w:tc>
      </w:tr>
      <w:tr w14:paraId="4C98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90" w:hRule="atLeast"/>
          <w:jc w:val="center"/>
        </w:trPr>
        <w:tc>
          <w:tcPr>
            <w:tcW w:w="780" w:type="dxa"/>
            <w:gridSpan w:val="2"/>
            <w:noWrap w:val="0"/>
            <w:vAlign w:val="center"/>
          </w:tcPr>
          <w:p w14:paraId="383D9C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2.2.2</w:t>
            </w:r>
            <w:r>
              <w:rPr>
                <w:rFonts w:hint="eastAsia" w:ascii="Calibri" w:hAnsi="Calibri" w:cs="Times New Roman"/>
                <w:color w:val="auto"/>
                <w:highlight w:val="none"/>
                <w:shd w:val="clear" w:color="auto" w:fill="auto"/>
                <w:lang w:eastAsia="zh-CN"/>
              </w:rPr>
              <w:t>(</w:t>
            </w:r>
            <w:r>
              <w:rPr>
                <w:rFonts w:hint="default" w:ascii="Calibri" w:hAnsi="Calibri" w:eastAsia="宋体" w:cs="Times New Roman"/>
                <w:color w:val="auto"/>
                <w:highlight w:val="none"/>
                <w:shd w:val="clear" w:color="auto" w:fill="auto"/>
              </w:rPr>
              <w:t>3</w:t>
            </w:r>
            <w:r>
              <w:rPr>
                <w:rFonts w:hint="eastAsia" w:ascii="Calibri" w:hAnsi="Calibri" w:cs="Times New Roman"/>
                <w:color w:val="auto"/>
                <w:highlight w:val="none"/>
                <w:shd w:val="clear" w:color="auto" w:fill="auto"/>
                <w:lang w:eastAsia="zh-CN"/>
              </w:rPr>
              <w:t>)</w:t>
            </w:r>
          </w:p>
        </w:tc>
        <w:tc>
          <w:tcPr>
            <w:tcW w:w="1382" w:type="dxa"/>
            <w:noWrap w:val="0"/>
            <w:vAlign w:val="center"/>
          </w:tcPr>
          <w:p w14:paraId="776EA6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报价分</w:t>
            </w:r>
          </w:p>
          <w:p w14:paraId="02E143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评分标准</w:t>
            </w:r>
          </w:p>
          <w:p w14:paraId="37EF42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宋体"/>
                <w:color w:val="auto"/>
                <w:highlight w:val="none"/>
                <w:shd w:val="clear" w:color="auto" w:fill="auto"/>
              </w:rPr>
            </w:pPr>
            <w:r>
              <w:rPr>
                <w:rFonts w:hint="eastAsia" w:ascii="Calibri" w:hAnsi="Calibri" w:eastAsia="宋体" w:cs="宋体"/>
                <w:color w:val="auto"/>
                <w:highlight w:val="none"/>
                <w:shd w:val="clear" w:color="auto" w:fill="auto"/>
              </w:rPr>
              <w:t>（</w:t>
            </w:r>
            <w:r>
              <w:rPr>
                <w:rFonts w:hint="eastAsia" w:ascii="宋体" w:hAnsi="宋体" w:eastAsia="宋体" w:cs="宋体"/>
                <w:color w:val="auto"/>
                <w:highlight w:val="none"/>
                <w:shd w:val="clear" w:color="auto" w:fill="auto"/>
              </w:rPr>
              <w:t>分值权重</w:t>
            </w:r>
            <w:r>
              <w:rPr>
                <w:rFonts w:hint="eastAsia" w:ascii="Times New Roman" w:hAnsi="Times New Roman" w:eastAsia="宋体" w:cs="宋体"/>
                <w:color w:val="auto"/>
                <w:highlight w:val="none"/>
                <w:shd w:val="clear" w:color="auto" w:fill="auto"/>
              </w:rPr>
              <w:t>□70%□6</w:t>
            </w:r>
            <w:r>
              <w:rPr>
                <w:rFonts w:hint="eastAsia" w:cs="宋体"/>
                <w:color w:val="auto"/>
                <w:highlight w:val="none"/>
                <w:shd w:val="clear" w:color="auto" w:fill="auto"/>
                <w:lang w:val="en-US" w:eastAsia="zh-CN"/>
              </w:rPr>
              <w:t>5</w:t>
            </w:r>
            <w:r>
              <w:rPr>
                <w:rFonts w:hint="eastAsia" w:ascii="Times New Roman" w:hAnsi="Times New Roman" w:eastAsia="宋体" w:cs="宋体"/>
                <w:color w:val="auto"/>
                <w:highlight w:val="none"/>
                <w:shd w:val="clear" w:color="auto" w:fill="auto"/>
              </w:rPr>
              <w:t>%□60%□55%□50%</w:t>
            </w:r>
            <w:r>
              <w:rPr>
                <w:rFonts w:hint="eastAsia" w:cs="宋体"/>
                <w:color w:val="auto"/>
                <w:highlight w:val="none"/>
                <w:shd w:val="clear" w:color="auto" w:fill="auto"/>
                <w:lang w:eastAsia="zh-CN"/>
              </w:rPr>
              <w:t>☑</w:t>
            </w:r>
            <w:r>
              <w:rPr>
                <w:rFonts w:hint="eastAsia" w:ascii="Times New Roman" w:hAnsi="Times New Roman" w:eastAsia="宋体" w:cs="宋体"/>
                <w:color w:val="auto"/>
                <w:highlight w:val="none"/>
                <w:shd w:val="clear" w:color="auto" w:fill="auto"/>
              </w:rPr>
              <w:t>45%）</w:t>
            </w:r>
          </w:p>
          <w:p w14:paraId="52446B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楷体_GB2312" w:cs="楷体_GB2312"/>
                <w:color w:val="auto"/>
                <w:highlight w:val="none"/>
                <w:shd w:val="clear" w:color="auto" w:fill="auto"/>
              </w:rPr>
              <w:t>【备注：右侧评分标准不得修改】</w:t>
            </w:r>
          </w:p>
        </w:tc>
        <w:tc>
          <w:tcPr>
            <w:tcW w:w="7860" w:type="dxa"/>
            <w:gridSpan w:val="5"/>
            <w:noWrap w:val="0"/>
            <w:vAlign w:val="top"/>
          </w:tcPr>
          <w:p w14:paraId="0AD59D40">
            <w:pPr>
              <w:keepNext w:val="0"/>
              <w:keepLines w:val="0"/>
              <w:suppressLineNumbers w:val="0"/>
              <w:spacing w:before="0" w:beforeAutospacing="0" w:after="0" w:afterAutospacing="0" w:line="360" w:lineRule="auto"/>
              <w:ind w:left="0" w:right="0" w:firstLine="422" w:firstLineChars="200"/>
              <w:rPr>
                <w:rFonts w:hint="default" w:ascii="Calibri" w:hAnsi="Calibri" w:eastAsia="宋体" w:cs="Times New Roman"/>
                <w:b/>
                <w:bCs/>
                <w:color w:val="auto"/>
                <w:highlight w:val="none"/>
                <w:shd w:val="clear" w:color="auto" w:fill="auto"/>
              </w:rPr>
            </w:pPr>
            <w:r>
              <w:rPr>
                <w:rFonts w:hint="eastAsia" w:ascii="宋体" w:hAnsi="宋体" w:cs="宋体"/>
                <w:b/>
                <w:bCs/>
                <w:color w:val="auto"/>
                <w:highlight w:val="none"/>
                <w:shd w:val="clear" w:color="auto" w:fill="auto"/>
                <w:lang w:val="en-US" w:eastAsia="zh-CN"/>
              </w:rPr>
              <w:t>一、</w:t>
            </w:r>
            <w:r>
              <w:rPr>
                <w:rFonts w:hint="eastAsia" w:ascii="Times New Roman" w:hAnsi="Times New Roman" w:eastAsia="宋体" w:cs="宋体"/>
                <w:b/>
                <w:bCs/>
                <w:color w:val="auto"/>
                <w:highlight w:val="none"/>
                <w:shd w:val="clear" w:color="auto" w:fill="auto"/>
              </w:rPr>
              <w:t>异常低价的甄别处置</w:t>
            </w:r>
          </w:p>
          <w:p w14:paraId="63EB9963">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宋体"/>
                <w:color w:val="auto"/>
                <w:highlight w:val="none"/>
                <w:shd w:val="clear" w:color="auto" w:fill="auto"/>
              </w:rPr>
            </w:pPr>
            <w:r>
              <w:rPr>
                <w:rFonts w:hint="eastAsia" w:ascii="Times New Roman" w:hAnsi="Times New Roman" w:eastAsia="宋体" w:cs="宋体"/>
                <w:color w:val="auto"/>
                <w:highlight w:val="none"/>
                <w:shd w:val="clear" w:color="auto" w:fill="auto"/>
              </w:rPr>
              <w:t>投标人投标报价低于</w:t>
            </w:r>
            <w:r>
              <w:rPr>
                <w:rFonts w:hint="eastAsia" w:ascii="Times New Roman" w:hAnsi="Times New Roman" w:eastAsia="宋体" w:cs="宋体"/>
                <w:color w:val="auto"/>
                <w:highlight w:val="none"/>
                <w:shd w:val="clear" w:color="auto" w:fill="auto"/>
                <w:lang w:eastAsia="zh-CN"/>
              </w:rPr>
              <w:t>最高投标限价</w:t>
            </w:r>
            <w:r>
              <w:rPr>
                <w:rFonts w:hint="eastAsia" w:ascii="Times New Roman" w:hAnsi="Times New Roman" w:eastAsia="宋体" w:cs="宋体"/>
                <w:color w:val="auto"/>
                <w:highlight w:val="none"/>
                <w:shd w:val="clear" w:color="auto" w:fill="auto"/>
              </w:rPr>
              <w:t>的</w:t>
            </w:r>
            <w:r>
              <w:rPr>
                <w:rFonts w:hint="eastAsia" w:cs="宋体"/>
                <w:color w:val="auto"/>
                <w:highlight w:val="none"/>
                <w:u w:val="single"/>
                <w:shd w:val="clear" w:color="auto" w:fill="auto"/>
                <w:lang w:val="en-US" w:eastAsia="zh-CN"/>
              </w:rPr>
              <w:t>85%</w:t>
            </w:r>
            <w:r>
              <w:rPr>
                <w:rFonts w:hint="eastAsia" w:ascii="Times New Roman" w:hAnsi="Times New Roman" w:eastAsia="宋体" w:cs="宋体"/>
                <w:color w:val="auto"/>
                <w:highlight w:val="none"/>
                <w:shd w:val="clear" w:color="auto" w:fill="auto"/>
              </w:rPr>
              <w:t>且低于</w:t>
            </w:r>
            <w:r>
              <w:rPr>
                <w:rFonts w:hint="eastAsia" w:cs="宋体"/>
                <w:color w:val="auto"/>
                <w:highlight w:val="none"/>
                <w:shd w:val="clear" w:color="auto" w:fill="auto"/>
                <w:lang w:val="en-US" w:eastAsia="zh-CN"/>
              </w:rPr>
              <w:t>进入商务标评审的</w:t>
            </w:r>
            <w:r>
              <w:rPr>
                <w:rFonts w:hint="eastAsia" w:ascii="Times New Roman" w:hAnsi="Times New Roman" w:eastAsia="宋体" w:cs="宋体"/>
                <w:color w:val="auto"/>
                <w:highlight w:val="none"/>
                <w:shd w:val="clear" w:color="auto" w:fill="auto"/>
              </w:rPr>
              <w:t>所有投标人投标报价算术平均值的9</w:t>
            </w:r>
            <w:r>
              <w:rPr>
                <w:rFonts w:hint="eastAsia" w:cs="宋体"/>
                <w:color w:val="auto"/>
                <w:highlight w:val="none"/>
                <w:shd w:val="clear" w:color="auto" w:fill="auto"/>
                <w:lang w:val="en-US" w:eastAsia="zh-CN"/>
              </w:rPr>
              <w:t>0</w:t>
            </w:r>
            <w:r>
              <w:rPr>
                <w:rFonts w:hint="eastAsia" w:ascii="Times New Roman" w:hAnsi="Times New Roman" w:eastAsia="宋体" w:cs="宋体"/>
                <w:color w:val="auto"/>
                <w:highlight w:val="none"/>
                <w:shd w:val="clear" w:color="auto" w:fill="auto"/>
              </w:rPr>
              <w:t>%时，评标委员会应当启动成本分析。</w:t>
            </w:r>
          </w:p>
          <w:p w14:paraId="67341060">
            <w:pPr>
              <w:keepNext w:val="0"/>
              <w:keepLines w:val="0"/>
              <w:suppressLineNumbers w:val="0"/>
              <w:spacing w:before="0" w:beforeAutospacing="0" w:after="0" w:afterAutospacing="0" w:line="360" w:lineRule="auto"/>
              <w:ind w:left="0" w:right="0"/>
              <w:rPr>
                <w:rFonts w:hint="default"/>
                <w:color w:val="auto"/>
                <w:highlight w:val="none"/>
                <w:shd w:val="clear" w:color="auto" w:fill="auto"/>
              </w:rPr>
            </w:pPr>
            <w:r>
              <w:rPr>
                <w:rFonts w:hint="eastAsia" w:ascii="Times New Roman" w:hAnsi="Times New Roman" w:eastAsia="宋体" w:cs="宋体"/>
                <w:color w:val="auto"/>
                <w:highlight w:val="none"/>
                <w:shd w:val="clear" w:color="auto" w:fill="auto"/>
              </w:rPr>
              <w:t>如果投标人投标报价低于</w:t>
            </w:r>
            <w:r>
              <w:rPr>
                <w:rFonts w:hint="eastAsia" w:ascii="Times New Roman" w:hAnsi="Times New Roman" w:eastAsia="宋体" w:cs="宋体"/>
                <w:color w:val="auto"/>
                <w:highlight w:val="none"/>
                <w:shd w:val="clear" w:color="auto" w:fill="auto"/>
                <w:lang w:eastAsia="zh-CN"/>
              </w:rPr>
              <w:t>最高投标限价</w:t>
            </w:r>
            <w:r>
              <w:rPr>
                <w:rFonts w:hint="eastAsia" w:ascii="Times New Roman" w:hAnsi="Times New Roman" w:eastAsia="宋体" w:cs="宋体"/>
                <w:color w:val="auto"/>
                <w:highlight w:val="none"/>
                <w:shd w:val="clear" w:color="auto" w:fill="auto"/>
              </w:rPr>
              <w:t>的</w:t>
            </w:r>
            <w:r>
              <w:rPr>
                <w:rFonts w:hint="eastAsia" w:cs="宋体"/>
                <w:color w:val="auto"/>
                <w:highlight w:val="none"/>
                <w:shd w:val="clear" w:color="auto" w:fill="auto"/>
                <w:lang w:val="en-US" w:eastAsia="zh-CN"/>
              </w:rPr>
              <w:t>85%</w:t>
            </w:r>
            <w:r>
              <w:rPr>
                <w:rFonts w:hint="eastAsia" w:ascii="Times New Roman" w:hAnsi="Times New Roman" w:eastAsia="宋体" w:cs="宋体"/>
                <w:color w:val="auto"/>
                <w:highlight w:val="none"/>
                <w:shd w:val="clear" w:color="auto" w:fill="auto"/>
              </w:rPr>
              <w:t>，</w:t>
            </w:r>
            <w:r>
              <w:rPr>
                <w:rFonts w:hint="eastAsia" w:cs="宋体"/>
                <w:color w:val="auto"/>
                <w:highlight w:val="none"/>
                <w:shd w:val="clear" w:color="auto" w:fill="auto"/>
                <w:lang w:val="en-US" w:eastAsia="zh-CN"/>
              </w:rPr>
              <w:t>投标人应</w:t>
            </w:r>
            <w:r>
              <w:rPr>
                <w:rFonts w:hint="eastAsia" w:ascii="Times New Roman" w:hAnsi="Times New Roman" w:eastAsia="宋体" w:cs="宋体"/>
                <w:color w:val="auto"/>
                <w:highlight w:val="none"/>
                <w:shd w:val="clear" w:color="auto" w:fill="auto"/>
              </w:rPr>
              <w:t>在其投标文件中对其低报价进行说明，阐明理由和依据，并附上相关证明材料</w:t>
            </w:r>
            <w:r>
              <w:rPr>
                <w:rFonts w:hint="eastAsia" w:ascii="Times New Roman" w:hAnsi="Times New Roman" w:eastAsia="宋体" w:cs="宋体"/>
                <w:strike w:val="0"/>
                <w:color w:val="auto"/>
                <w:highlight w:val="none"/>
                <w:shd w:val="clear" w:color="auto" w:fill="auto"/>
              </w:rPr>
              <w:t>，</w:t>
            </w:r>
            <w:r>
              <w:rPr>
                <w:rFonts w:hint="eastAsia" w:cs="宋体"/>
                <w:strike w:val="0"/>
                <w:color w:val="auto"/>
                <w:highlight w:val="none"/>
                <w:shd w:val="clear" w:color="auto" w:fill="auto"/>
                <w:lang w:val="en-US" w:eastAsia="zh-CN"/>
              </w:rPr>
              <w:t>否则</w:t>
            </w:r>
            <w:r>
              <w:rPr>
                <w:rFonts w:hint="eastAsia" w:ascii="Times New Roman" w:hAnsi="Times New Roman" w:eastAsia="宋体" w:cs="宋体"/>
                <w:color w:val="auto"/>
                <w:highlight w:val="none"/>
                <w:shd w:val="clear" w:color="auto" w:fill="auto"/>
                <w:lang w:val="en-US" w:eastAsia="zh-CN"/>
              </w:rPr>
              <w:t>评标委员会可以</w:t>
            </w:r>
            <w:r>
              <w:rPr>
                <w:rFonts w:hint="eastAsia" w:ascii="Times New Roman" w:hAnsi="Times New Roman" w:eastAsia="宋体" w:cs="宋体"/>
                <w:color w:val="auto"/>
                <w:highlight w:val="none"/>
                <w:shd w:val="clear" w:color="auto" w:fill="auto"/>
              </w:rPr>
              <w:t>视为其投标报价低于成本；</w:t>
            </w:r>
            <w:r>
              <w:rPr>
                <w:rFonts w:hint="eastAsia" w:cs="宋体"/>
                <w:strike w:val="0"/>
                <w:color w:val="auto"/>
                <w:highlight w:val="none"/>
                <w:shd w:val="clear" w:color="auto" w:fill="auto"/>
                <w:lang w:val="en-US" w:eastAsia="zh-CN"/>
              </w:rPr>
              <w:t>若</w:t>
            </w:r>
            <w:r>
              <w:rPr>
                <w:rFonts w:hint="eastAsia" w:ascii="Times New Roman" w:hAnsi="Times New Roman" w:eastAsia="宋体" w:cs="宋体"/>
                <w:color w:val="auto"/>
                <w:highlight w:val="none"/>
                <w:shd w:val="clear" w:color="auto" w:fill="auto"/>
              </w:rPr>
              <w:t>投标人在其投标文件中对其低报价进行了说明，但</w:t>
            </w:r>
            <w:r>
              <w:rPr>
                <w:rFonts w:hint="eastAsia" w:cs="宋体"/>
                <w:color w:val="auto"/>
                <w:highlight w:val="none"/>
                <w:shd w:val="clear" w:color="auto" w:fill="auto"/>
                <w:lang w:val="en-US" w:eastAsia="zh-CN"/>
              </w:rPr>
              <w:t>评标委员会</w:t>
            </w:r>
            <w:r>
              <w:rPr>
                <w:rFonts w:hint="eastAsia" w:ascii="Times New Roman" w:hAnsi="Times New Roman" w:eastAsia="宋体" w:cs="宋体"/>
                <w:color w:val="auto"/>
                <w:highlight w:val="none"/>
                <w:shd w:val="clear" w:color="auto" w:fill="auto"/>
              </w:rPr>
              <w:t>对其阐明的理由和依据仍存疑问，</w:t>
            </w:r>
            <w:r>
              <w:rPr>
                <w:rFonts w:hint="eastAsia" w:cs="宋体"/>
                <w:color w:val="auto"/>
                <w:highlight w:val="none"/>
                <w:shd w:val="clear" w:color="auto" w:fill="auto"/>
                <w:lang w:val="en-US" w:eastAsia="zh-CN"/>
              </w:rPr>
              <w:t>应</w:t>
            </w:r>
            <w:r>
              <w:rPr>
                <w:rFonts w:hint="eastAsia" w:ascii="Times New Roman" w:hAnsi="Times New Roman" w:eastAsia="宋体" w:cs="宋体"/>
                <w:color w:val="auto"/>
                <w:highlight w:val="none"/>
                <w:shd w:val="clear" w:color="auto" w:fill="auto"/>
              </w:rPr>
              <w:t>根据分析情况和评审需要书面向投标人提出询问，投标人对询问的答复、澄清、解释均采用书面形式，并由投标人的法定代表人或其授权代理人签字。</w:t>
            </w:r>
          </w:p>
          <w:p w14:paraId="163E9917">
            <w:pPr>
              <w:keepNext w:val="0"/>
              <w:keepLines w:val="0"/>
              <w:suppressLineNumbers w:val="0"/>
              <w:spacing w:before="0" w:beforeAutospacing="0" w:after="0" w:afterAutospacing="0" w:line="360" w:lineRule="auto"/>
              <w:ind w:left="0" w:right="0" w:firstLine="345"/>
              <w:rPr>
                <w:rFonts w:hint="eastAsia" w:ascii="Times New Roman" w:hAnsi="Times New Roman" w:eastAsia="宋体" w:cs="宋体"/>
                <w:color w:val="auto"/>
                <w:highlight w:val="none"/>
                <w:shd w:val="clear" w:color="auto" w:fill="auto"/>
              </w:rPr>
            </w:pPr>
            <w:r>
              <w:rPr>
                <w:rFonts w:hint="eastAsia" w:ascii="Times New Roman" w:hAnsi="Times New Roman" w:eastAsia="宋体" w:cs="宋体"/>
                <w:color w:val="auto"/>
                <w:highlight w:val="none"/>
                <w:shd w:val="clear" w:color="auto" w:fill="auto"/>
              </w:rPr>
              <w:t>如果评标委员会集体认为其投标报价不可行的，</w:t>
            </w:r>
            <w:r>
              <w:rPr>
                <w:rFonts w:hint="eastAsia" w:ascii="Times New Roman" w:hAnsi="Times New Roman" w:eastAsia="宋体" w:cs="宋体"/>
                <w:color w:val="auto"/>
                <w:highlight w:val="none"/>
                <w:shd w:val="clear" w:color="auto" w:fill="auto"/>
                <w:lang w:val="en-US" w:eastAsia="zh-CN"/>
              </w:rPr>
              <w:t>可以</w:t>
            </w:r>
            <w:r>
              <w:rPr>
                <w:rFonts w:hint="eastAsia" w:ascii="Times New Roman" w:hAnsi="Times New Roman" w:eastAsia="宋体" w:cs="宋体"/>
                <w:color w:val="auto"/>
                <w:highlight w:val="none"/>
                <w:shd w:val="clear" w:color="auto" w:fill="auto"/>
              </w:rPr>
              <w:t>认定该投标人以低于成本报价竞标；认为其投标报价可行的，</w:t>
            </w:r>
            <w:r>
              <w:rPr>
                <w:rFonts w:hint="eastAsia" w:ascii="Times New Roman" w:hAnsi="Times New Roman" w:eastAsia="宋体" w:cs="宋体"/>
                <w:color w:val="auto"/>
                <w:highlight w:val="none"/>
                <w:shd w:val="clear" w:color="auto" w:fill="auto"/>
                <w:lang w:val="en-US" w:eastAsia="zh-CN"/>
              </w:rPr>
              <w:t>可以</w:t>
            </w:r>
            <w:r>
              <w:rPr>
                <w:rFonts w:hint="eastAsia" w:ascii="Times New Roman" w:hAnsi="Times New Roman" w:eastAsia="宋体" w:cs="宋体"/>
                <w:color w:val="auto"/>
                <w:highlight w:val="none"/>
                <w:shd w:val="clear" w:color="auto" w:fill="auto"/>
              </w:rPr>
              <w:t>认定该投标人报价不低于成本，并应在评标报告中对判定理由进行说明。</w:t>
            </w:r>
          </w:p>
          <w:p w14:paraId="1DAC6B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jc w:val="left"/>
              <w:textAlignment w:val="auto"/>
              <w:rPr>
                <w:rFonts w:hint="default" w:ascii="Calibri" w:hAnsi="Calibri" w:eastAsia="楷体_GB2312" w:cs="Times New Roman"/>
                <w:color w:val="auto"/>
                <w:highlight w:val="none"/>
                <w:shd w:val="clear" w:color="auto" w:fill="auto"/>
              </w:rPr>
            </w:pPr>
            <w:r>
              <w:rPr>
                <w:rFonts w:hint="eastAsia" w:ascii="Calibri" w:hAnsi="Calibri" w:cs="宋体"/>
                <w:b/>
                <w:bCs/>
                <w:color w:val="auto"/>
                <w:highlight w:val="none"/>
                <w:shd w:val="clear" w:color="auto" w:fill="auto"/>
                <w:lang w:val="en-US" w:eastAsia="zh-CN"/>
              </w:rPr>
              <w:t>二</w:t>
            </w:r>
            <w:r>
              <w:rPr>
                <w:rFonts w:hint="eastAsia" w:ascii="Calibri" w:hAnsi="Calibri" w:eastAsia="宋体" w:cs="宋体"/>
                <w:b/>
                <w:bCs/>
                <w:color w:val="auto"/>
                <w:highlight w:val="none"/>
                <w:shd w:val="clear" w:color="auto" w:fill="auto"/>
                <w:lang w:eastAsia="zh-CN"/>
              </w:rPr>
              <w:t>、</w:t>
            </w:r>
            <w:r>
              <w:rPr>
                <w:rFonts w:hint="eastAsia" w:ascii="Calibri" w:hAnsi="Calibri" w:eastAsia="宋体" w:cs="宋体"/>
                <w:b/>
                <w:bCs/>
                <w:color w:val="auto"/>
                <w:highlight w:val="none"/>
                <w:shd w:val="clear" w:color="auto" w:fill="auto"/>
              </w:rPr>
              <w:t>报价分评分标准</w:t>
            </w:r>
            <w:r>
              <w:rPr>
                <w:rFonts w:hint="eastAsia" w:ascii="Times New Roman" w:hAnsi="Times New Roman" w:eastAsia="宋体" w:cs="宋体"/>
                <w:b/>
                <w:bCs/>
                <w:color w:val="auto"/>
                <w:sz w:val="21"/>
                <w:highlight w:val="none"/>
                <w:shd w:val="clear" w:color="auto" w:fill="auto"/>
              </w:rPr>
              <w:t>（满分100分）</w:t>
            </w:r>
          </w:p>
          <w:p w14:paraId="37455D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宋体"/>
                <w:color w:val="auto"/>
                <w:highlight w:val="none"/>
                <w:shd w:val="clear" w:color="auto" w:fill="auto"/>
              </w:rPr>
            </w:pPr>
            <w:r>
              <w:rPr>
                <w:rFonts w:hint="eastAsia" w:ascii="Calibri" w:hAnsi="Calibri" w:cs="宋体"/>
                <w:color w:val="auto"/>
                <w:highlight w:val="none"/>
                <w:shd w:val="clear" w:color="auto" w:fill="auto"/>
                <w:lang w:val="en" w:eastAsia="zh-CN"/>
              </w:rPr>
              <w:t>1.</w:t>
            </w:r>
            <w:r>
              <w:rPr>
                <w:rFonts w:hint="eastAsia" w:ascii="Calibri" w:hAnsi="Calibri" w:eastAsia="宋体" w:cs="宋体"/>
                <w:color w:val="auto"/>
                <w:highlight w:val="none"/>
                <w:shd w:val="clear" w:color="auto" w:fill="auto"/>
              </w:rPr>
              <w:t>总报价分计算</w:t>
            </w:r>
            <w:r>
              <w:rPr>
                <w:rFonts w:hint="eastAsia" w:ascii="Times New Roman" w:hAnsi="Times New Roman" w:eastAsia="宋体" w:cs="宋体"/>
                <w:b w:val="0"/>
                <w:color w:val="auto"/>
                <w:sz w:val="21"/>
                <w:highlight w:val="none"/>
                <w:shd w:val="clear" w:color="auto" w:fill="auto"/>
              </w:rPr>
              <w:t>（满分</w:t>
            </w:r>
            <w:r>
              <w:rPr>
                <w:rFonts w:hint="eastAsia" w:ascii="Calibri" w:hAnsi="Calibri" w:eastAsia="宋体" w:cs="宋体"/>
                <w:color w:val="auto"/>
                <w:highlight w:val="none"/>
                <w:shd w:val="clear" w:color="auto" w:fill="auto"/>
              </w:rPr>
              <w:t>85</w:t>
            </w:r>
            <w:r>
              <w:rPr>
                <w:rFonts w:hint="eastAsia" w:ascii="Times New Roman" w:hAnsi="Times New Roman" w:eastAsia="宋体" w:cs="宋体"/>
                <w:b w:val="0"/>
                <w:color w:val="auto"/>
                <w:sz w:val="21"/>
                <w:highlight w:val="none"/>
                <w:shd w:val="clear" w:color="auto" w:fill="auto"/>
              </w:rPr>
              <w:t>分）</w:t>
            </w:r>
          </w:p>
          <w:p w14:paraId="4F92D8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Calibri" w:hAnsi="Calibri" w:eastAsia="宋体" w:cs="宋体"/>
                <w:color w:val="auto"/>
                <w:highlight w:val="none"/>
                <w:shd w:val="clear" w:color="auto" w:fill="auto"/>
              </w:rPr>
            </w:pPr>
            <w:r>
              <w:rPr>
                <w:rFonts w:hint="default" w:ascii="Calibri" w:hAnsi="Calibri" w:eastAsia="宋体" w:cs="宋体"/>
                <w:color w:val="auto"/>
                <w:highlight w:val="none"/>
                <w:shd w:val="clear" w:color="auto" w:fill="auto"/>
              </w:rPr>
              <w:t>总报价得分以85分为基数</w:t>
            </w:r>
            <w:r>
              <w:rPr>
                <w:rFonts w:hint="eastAsia" w:ascii="Calibri" w:hAnsi="Calibri" w:eastAsia="宋体" w:cs="宋体"/>
                <w:color w:val="auto"/>
                <w:highlight w:val="none"/>
                <w:shd w:val="clear" w:color="auto" w:fill="auto"/>
              </w:rPr>
              <w:t>扣</w:t>
            </w:r>
            <w:r>
              <w:rPr>
                <w:rFonts w:hint="default" w:ascii="Calibri" w:hAnsi="Calibri" w:eastAsia="宋体" w:cs="宋体"/>
                <w:color w:val="auto"/>
                <w:highlight w:val="none"/>
                <w:shd w:val="clear" w:color="auto" w:fill="auto"/>
              </w:rPr>
              <w:t>减</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直至总报价分被扣至0分为止</w:t>
            </w:r>
            <w:r>
              <w:rPr>
                <w:rFonts w:hint="default" w:ascii="Calibri" w:hAnsi="Calibri" w:eastAsia="宋体" w:cs="宋体"/>
                <w:color w:val="auto"/>
                <w:highlight w:val="none"/>
                <w:shd w:val="clear" w:color="auto" w:fill="auto"/>
              </w:rPr>
              <w:t>：</w:t>
            </w:r>
          </w:p>
          <w:p w14:paraId="245A1C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Calibri" w:hAnsi="Calibri" w:eastAsia="宋体" w:cs="宋体"/>
                <w:color w:val="auto"/>
                <w:highlight w:val="none"/>
                <w:shd w:val="clear" w:color="auto" w:fill="auto"/>
              </w:rPr>
            </w:pPr>
            <w:r>
              <w:rPr>
                <w:rFonts w:hint="default" w:ascii="Calibri" w:hAnsi="Calibri" w:eastAsia="宋体" w:cs="宋体"/>
                <w:color w:val="auto"/>
                <w:highlight w:val="none"/>
                <w:shd w:val="clear" w:color="auto" w:fill="auto"/>
              </w:rPr>
              <w:t>（1）总报价</w:t>
            </w:r>
            <w:r>
              <w:rPr>
                <w:rFonts w:hint="eastAsia" w:ascii="Calibri" w:hAnsi="Calibri" w:cs="宋体"/>
                <w:color w:val="auto"/>
                <w:highlight w:val="none"/>
                <w:shd w:val="clear" w:color="auto" w:fill="auto"/>
                <w:lang w:val="en-US" w:eastAsia="zh-CN"/>
              </w:rPr>
              <w:t>等于</w:t>
            </w:r>
            <w:r>
              <w:rPr>
                <w:rFonts w:hint="default" w:ascii="Calibri" w:hAnsi="Calibri" w:eastAsia="宋体" w:cs="宋体"/>
                <w:color w:val="auto"/>
                <w:highlight w:val="none"/>
                <w:shd w:val="clear" w:color="auto" w:fill="auto"/>
              </w:rPr>
              <w:t>9</w:t>
            </w:r>
            <w:r>
              <w:rPr>
                <w:rFonts w:hint="eastAsia" w:ascii="Calibri" w:hAnsi="Calibri" w:eastAsia="宋体" w:cs="宋体"/>
                <w:color w:val="auto"/>
                <w:highlight w:val="none"/>
                <w:shd w:val="clear" w:color="auto" w:fill="auto"/>
                <w:lang w:val="en-US" w:eastAsia="zh-CN"/>
              </w:rPr>
              <w:t>7</w:t>
            </w:r>
            <w:r>
              <w:rPr>
                <w:rFonts w:hint="default" w:ascii="Calibri" w:hAnsi="Calibri" w:eastAsia="宋体" w:cs="宋体"/>
                <w:color w:val="auto"/>
                <w:highlight w:val="none"/>
                <w:shd w:val="clear" w:color="auto" w:fill="auto"/>
              </w:rPr>
              <w:t>%P的</w:t>
            </w:r>
            <w:r>
              <w:rPr>
                <w:rFonts w:hint="eastAsia" w:ascii="Calibri" w:hAnsi="Calibri" w:cs="宋体"/>
                <w:color w:val="auto"/>
                <w:highlight w:val="none"/>
                <w:shd w:val="clear" w:color="auto" w:fill="auto"/>
                <w:lang w:eastAsia="zh-CN"/>
              </w:rPr>
              <w:t>，</w:t>
            </w:r>
            <w:r>
              <w:rPr>
                <w:rFonts w:hint="default" w:ascii="Calibri" w:hAnsi="Calibri" w:eastAsia="宋体" w:cs="宋体"/>
                <w:color w:val="auto"/>
                <w:highlight w:val="none"/>
                <w:shd w:val="clear" w:color="auto" w:fill="auto"/>
              </w:rPr>
              <w:t xml:space="preserve"> 总报价得基本分85分。</w:t>
            </w:r>
          </w:p>
          <w:p w14:paraId="4B3620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宋体"/>
                <w:color w:val="auto"/>
                <w:highlight w:val="none"/>
                <w:shd w:val="clear" w:color="auto" w:fill="auto"/>
              </w:rPr>
            </w:pPr>
            <w:r>
              <w:rPr>
                <w:rFonts w:hint="default" w:ascii="Calibri" w:hAnsi="Calibri" w:eastAsia="宋体" w:cs="宋体"/>
                <w:color w:val="auto"/>
                <w:highlight w:val="none"/>
                <w:shd w:val="clear" w:color="auto" w:fill="auto"/>
              </w:rPr>
              <w:t>（2）总报价</w:t>
            </w:r>
            <w:r>
              <w:rPr>
                <w:rFonts w:hint="eastAsia" w:ascii="Calibri" w:hAnsi="Calibri" w:eastAsia="宋体" w:cs="宋体"/>
                <w:color w:val="auto"/>
                <w:highlight w:val="none"/>
                <w:shd w:val="clear" w:color="auto" w:fill="auto"/>
              </w:rPr>
              <w:t>高于</w:t>
            </w:r>
            <w:r>
              <w:rPr>
                <w:rFonts w:hint="default" w:ascii="Calibri" w:hAnsi="Calibri" w:eastAsia="宋体" w:cs="宋体"/>
                <w:color w:val="auto"/>
                <w:highlight w:val="none"/>
                <w:shd w:val="clear" w:color="auto" w:fill="auto"/>
              </w:rPr>
              <w:t>9</w:t>
            </w:r>
            <w:r>
              <w:rPr>
                <w:rFonts w:hint="eastAsia" w:ascii="Calibri" w:hAnsi="Calibri" w:eastAsia="宋体" w:cs="宋体"/>
                <w:color w:val="auto"/>
                <w:highlight w:val="none"/>
                <w:shd w:val="clear" w:color="auto" w:fill="auto"/>
                <w:lang w:val="en-US" w:eastAsia="zh-CN"/>
              </w:rPr>
              <w:t>7</w:t>
            </w:r>
            <w:r>
              <w:rPr>
                <w:rFonts w:hint="default" w:ascii="Calibri" w:hAnsi="Calibri" w:eastAsia="宋体" w:cs="宋体"/>
                <w:color w:val="auto"/>
                <w:highlight w:val="none"/>
                <w:shd w:val="clear" w:color="auto" w:fill="auto"/>
              </w:rPr>
              <w:t>%P</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不</w:t>
            </w:r>
            <w:r>
              <w:rPr>
                <w:rFonts w:hint="default" w:ascii="Calibri" w:hAnsi="Calibri" w:eastAsia="宋体" w:cs="宋体"/>
                <w:color w:val="auto"/>
                <w:highlight w:val="none"/>
                <w:shd w:val="clear" w:color="auto" w:fill="auto"/>
              </w:rPr>
              <w:t>含9</w:t>
            </w:r>
            <w:r>
              <w:rPr>
                <w:rFonts w:hint="eastAsia" w:ascii="Calibri" w:hAnsi="Calibri" w:eastAsia="宋体" w:cs="宋体"/>
                <w:color w:val="auto"/>
                <w:highlight w:val="none"/>
                <w:shd w:val="clear" w:color="auto" w:fill="auto"/>
                <w:lang w:val="en-US" w:eastAsia="zh-CN"/>
              </w:rPr>
              <w:t>7</w:t>
            </w:r>
            <w:r>
              <w:rPr>
                <w:rFonts w:hint="default" w:ascii="Calibri" w:hAnsi="Calibri" w:eastAsia="宋体" w:cs="宋体"/>
                <w:color w:val="auto"/>
                <w:highlight w:val="none"/>
                <w:shd w:val="clear" w:color="auto" w:fill="auto"/>
              </w:rPr>
              <w:t>%P</w:t>
            </w:r>
            <w:r>
              <w:rPr>
                <w:rFonts w:hint="eastAsia" w:ascii="Calibri" w:hAnsi="Calibri" w:cs="宋体"/>
                <w:color w:val="auto"/>
                <w:highlight w:val="none"/>
                <w:shd w:val="clear" w:color="auto" w:fill="auto"/>
                <w:lang w:eastAsia="zh-CN"/>
              </w:rPr>
              <w:t>）</w:t>
            </w:r>
            <w:r>
              <w:rPr>
                <w:rFonts w:hint="default" w:ascii="Calibri" w:hAnsi="Calibri" w:eastAsia="宋体" w:cs="宋体"/>
                <w:color w:val="auto"/>
                <w:highlight w:val="none"/>
                <w:shd w:val="clear" w:color="auto" w:fill="auto"/>
              </w:rPr>
              <w:t xml:space="preserve"> 的</w:t>
            </w:r>
            <w:r>
              <w:rPr>
                <w:rFonts w:hint="eastAsia" w:ascii="Calibri" w:hAnsi="Calibri" w:eastAsia="宋体" w:cs="宋体"/>
                <w:color w:val="auto"/>
                <w:highlight w:val="none"/>
                <w:shd w:val="clear" w:color="auto" w:fill="auto"/>
              </w:rPr>
              <w:t>，以</w:t>
            </w:r>
            <w:r>
              <w:rPr>
                <w:rFonts w:hint="default" w:ascii="Calibri" w:hAnsi="Calibri" w:eastAsia="宋体" w:cs="宋体"/>
                <w:color w:val="auto"/>
                <w:highlight w:val="none"/>
                <w:shd w:val="clear" w:color="auto" w:fill="auto"/>
              </w:rPr>
              <w:t>85分为基</w:t>
            </w:r>
            <w:r>
              <w:rPr>
                <w:rFonts w:hint="eastAsia" w:ascii="Calibri" w:hAnsi="Calibri" w:eastAsia="宋体" w:cs="宋体"/>
                <w:color w:val="auto"/>
                <w:highlight w:val="none"/>
                <w:shd w:val="clear" w:color="auto" w:fill="auto"/>
              </w:rPr>
              <w:t>数，</w:t>
            </w:r>
            <w:r>
              <w:rPr>
                <w:rFonts w:hint="eastAsia" w:ascii="宋体" w:hAnsi="宋体" w:eastAsia="宋体" w:cs="宋体"/>
                <w:color w:val="auto"/>
                <w:sz w:val="21"/>
                <w:szCs w:val="21"/>
                <w:highlight w:val="none"/>
                <w:shd w:val="clear" w:color="auto" w:fill="auto"/>
                <w:lang w:eastAsia="zh-CN"/>
              </w:rPr>
              <w:t>每</w:t>
            </w:r>
            <w:r>
              <w:rPr>
                <w:rFonts w:hint="eastAsia" w:ascii="Times New Roman" w:hAnsi="Times New Roman" w:eastAsia="宋体" w:cs="宋体"/>
                <w:color w:val="auto"/>
                <w:sz w:val="21"/>
                <w:szCs w:val="21"/>
                <w:highlight w:val="none"/>
                <w:shd w:val="clear" w:color="auto" w:fill="auto"/>
                <w:lang w:eastAsia="zh-CN"/>
              </w:rPr>
              <w:t>高于9</w:t>
            </w:r>
            <w:r>
              <w:rPr>
                <w:rFonts w:hint="eastAsia" w:ascii="Times New Roman" w:hAnsi="Times New Roman" w:eastAsia="宋体" w:cs="宋体"/>
                <w:color w:val="auto"/>
                <w:sz w:val="21"/>
                <w:szCs w:val="21"/>
                <w:highlight w:val="none"/>
                <w:shd w:val="clear" w:color="auto" w:fill="auto"/>
                <w:lang w:val="en-US" w:eastAsia="zh-CN"/>
              </w:rPr>
              <w:t>7</w:t>
            </w:r>
            <w:r>
              <w:rPr>
                <w:rFonts w:hint="eastAsia" w:ascii="Times New Roman" w:hAnsi="Times New Roman" w:eastAsia="宋体" w:cs="宋体"/>
                <w:color w:val="auto"/>
                <w:sz w:val="21"/>
                <w:szCs w:val="21"/>
                <w:highlight w:val="none"/>
                <w:shd w:val="clear" w:color="auto" w:fill="auto"/>
                <w:lang w:eastAsia="zh-CN"/>
              </w:rPr>
              <w:t>%P一个百</w:t>
            </w:r>
            <w:r>
              <w:rPr>
                <w:rFonts w:hint="eastAsia" w:ascii="宋体" w:hAnsi="宋体" w:eastAsia="宋体" w:cs="宋体"/>
                <w:color w:val="auto"/>
                <w:sz w:val="21"/>
                <w:szCs w:val="21"/>
                <w:highlight w:val="none"/>
                <w:shd w:val="clear" w:color="auto" w:fill="auto"/>
                <w:lang w:eastAsia="zh-CN"/>
              </w:rPr>
              <w:t>分点扣1分</w:t>
            </w:r>
            <w:r>
              <w:rPr>
                <w:rFonts w:hint="default" w:ascii="Times New Roman" w:hAnsi="Times New Roman" w:eastAsia="宋体" w:cs="宋体"/>
                <w:color w:val="auto"/>
                <w:highlight w:val="none"/>
                <w:shd w:val="clear" w:color="auto" w:fill="auto"/>
                <w:lang w:eastAsia="zh-CN"/>
              </w:rPr>
              <w:t>，</w:t>
            </w:r>
            <w:r>
              <w:rPr>
                <w:rFonts w:hint="default" w:ascii="Times New Roman" w:hAnsi="Times New Roman" w:eastAsia="宋体" w:cs="宋体"/>
                <w:color w:val="auto"/>
                <w:sz w:val="21"/>
                <w:szCs w:val="21"/>
                <w:highlight w:val="none"/>
                <w:shd w:val="clear" w:color="auto" w:fill="auto"/>
              </w:rPr>
              <w:t>不足一个百分点</w:t>
            </w:r>
            <w:r>
              <w:rPr>
                <w:rFonts w:hint="default" w:ascii="Times New Roman" w:hAnsi="Times New Roman" w:eastAsia="宋体" w:cs="宋体"/>
                <w:color w:val="auto"/>
                <w:sz w:val="21"/>
                <w:szCs w:val="21"/>
                <w:highlight w:val="none"/>
                <w:shd w:val="clear" w:color="auto" w:fill="auto"/>
                <w:lang w:eastAsia="zh-CN"/>
              </w:rPr>
              <w:t>时，</w:t>
            </w:r>
            <w:r>
              <w:rPr>
                <w:rFonts w:hint="default" w:ascii="Times New Roman" w:hAnsi="Times New Roman" w:eastAsia="宋体" w:cs="宋体"/>
                <w:color w:val="auto"/>
                <w:sz w:val="21"/>
                <w:szCs w:val="21"/>
                <w:highlight w:val="none"/>
                <w:shd w:val="clear" w:color="auto" w:fill="auto"/>
              </w:rPr>
              <w:t>用内插法计算</w:t>
            </w:r>
            <w:r>
              <w:rPr>
                <w:rFonts w:hint="eastAsia" w:cs="宋体"/>
                <w:color w:val="auto"/>
                <w:highlight w:val="none"/>
                <w:shd w:val="clear" w:color="auto" w:fill="auto"/>
                <w:lang w:eastAsia="zh-CN"/>
              </w:rPr>
              <w:t>。</w:t>
            </w:r>
          </w:p>
          <w:p w14:paraId="1829D6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Calibri" w:hAnsi="Calibri" w:eastAsia="宋体" w:cs="宋体"/>
                <w:color w:val="auto"/>
                <w:highlight w:val="none"/>
                <w:shd w:val="clear" w:color="auto" w:fill="auto"/>
              </w:rPr>
            </w:pPr>
            <w:r>
              <w:rPr>
                <w:rFonts w:hint="default" w:ascii="Calibri" w:hAnsi="Calibri" w:eastAsia="宋体" w:cs="宋体"/>
                <w:color w:val="auto"/>
                <w:highlight w:val="none"/>
                <w:shd w:val="clear" w:color="auto" w:fill="auto"/>
              </w:rPr>
              <w:t>（3）</w:t>
            </w:r>
            <w:r>
              <w:rPr>
                <w:rFonts w:hint="eastAsia" w:ascii="Calibri" w:hAnsi="Calibri" w:eastAsia="宋体" w:cs="宋体"/>
                <w:color w:val="auto"/>
                <w:highlight w:val="none"/>
                <w:shd w:val="clear" w:color="auto" w:fill="auto"/>
              </w:rPr>
              <w:t>总报价低于9</w:t>
            </w:r>
            <w:r>
              <w:rPr>
                <w:rFonts w:hint="eastAsia" w:ascii="Calibri" w:hAnsi="Calibri" w:eastAsia="宋体" w:cs="宋体"/>
                <w:color w:val="auto"/>
                <w:highlight w:val="none"/>
                <w:shd w:val="clear" w:color="auto" w:fill="auto"/>
                <w:lang w:val="en-US" w:eastAsia="zh-CN"/>
              </w:rPr>
              <w:t>7</w:t>
            </w:r>
            <w:r>
              <w:rPr>
                <w:rFonts w:hint="eastAsia" w:ascii="Calibri" w:hAnsi="Calibri" w:eastAsia="宋体" w:cs="宋体"/>
                <w:color w:val="auto"/>
                <w:highlight w:val="none"/>
                <w:shd w:val="clear" w:color="auto" w:fill="auto"/>
              </w:rPr>
              <w:t>%P</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不含9</w:t>
            </w:r>
            <w:r>
              <w:rPr>
                <w:rFonts w:hint="eastAsia" w:ascii="Calibri" w:hAnsi="Calibri" w:eastAsia="宋体" w:cs="宋体"/>
                <w:color w:val="auto"/>
                <w:highlight w:val="none"/>
                <w:shd w:val="clear" w:color="auto" w:fill="auto"/>
                <w:lang w:val="en-US" w:eastAsia="zh-CN"/>
              </w:rPr>
              <w:t>7</w:t>
            </w:r>
            <w:r>
              <w:rPr>
                <w:rFonts w:hint="eastAsia" w:ascii="Calibri" w:hAnsi="Calibri" w:eastAsia="宋体" w:cs="宋体"/>
                <w:color w:val="auto"/>
                <w:highlight w:val="none"/>
                <w:shd w:val="clear" w:color="auto" w:fill="auto"/>
              </w:rPr>
              <w:t>%P</w:t>
            </w:r>
            <w:r>
              <w:rPr>
                <w:rFonts w:hint="eastAsia" w:ascii="Calibri" w:hAnsi="Calibri" w:cs="宋体"/>
                <w:color w:val="auto"/>
                <w:highlight w:val="none"/>
                <w:shd w:val="clear" w:color="auto" w:fill="auto"/>
                <w:lang w:eastAsia="zh-CN"/>
              </w:rPr>
              <w:t>）</w:t>
            </w:r>
            <w:r>
              <w:rPr>
                <w:rFonts w:hint="eastAsia" w:ascii="Calibri" w:hAnsi="Calibri" w:eastAsia="宋体" w:cs="宋体"/>
                <w:color w:val="auto"/>
                <w:highlight w:val="none"/>
                <w:shd w:val="clear" w:color="auto" w:fill="auto"/>
              </w:rPr>
              <w:t xml:space="preserve"> 的，以85分为</w:t>
            </w:r>
            <w:r>
              <w:rPr>
                <w:rFonts w:hint="default" w:ascii="Calibri" w:hAnsi="Calibri" w:eastAsia="宋体" w:cs="宋体"/>
                <w:color w:val="auto"/>
                <w:highlight w:val="none"/>
                <w:shd w:val="clear" w:color="auto" w:fill="auto"/>
              </w:rPr>
              <w:t>基</w:t>
            </w:r>
            <w:r>
              <w:rPr>
                <w:rFonts w:hint="eastAsia" w:ascii="Calibri" w:hAnsi="Calibri" w:eastAsia="宋体" w:cs="宋体"/>
                <w:color w:val="auto"/>
                <w:highlight w:val="none"/>
                <w:shd w:val="clear" w:color="auto" w:fill="auto"/>
              </w:rPr>
              <w:t>数，</w:t>
            </w:r>
            <w:r>
              <w:rPr>
                <w:rFonts w:hint="eastAsia" w:ascii="Times New Roman" w:hAnsi="Times New Roman" w:eastAsia="宋体" w:cs="宋体"/>
                <w:color w:val="auto"/>
                <w:sz w:val="21"/>
                <w:szCs w:val="21"/>
                <w:highlight w:val="none"/>
                <w:shd w:val="clear" w:color="auto" w:fill="auto"/>
                <w:lang w:eastAsia="zh-CN"/>
              </w:rPr>
              <w:t>每低于9</w:t>
            </w:r>
            <w:r>
              <w:rPr>
                <w:rFonts w:hint="eastAsia" w:ascii="Times New Roman" w:hAnsi="Times New Roman" w:eastAsia="宋体" w:cs="宋体"/>
                <w:color w:val="auto"/>
                <w:sz w:val="21"/>
                <w:szCs w:val="21"/>
                <w:highlight w:val="none"/>
                <w:shd w:val="clear" w:color="auto" w:fill="auto"/>
                <w:lang w:val="en-US" w:eastAsia="zh-CN"/>
              </w:rPr>
              <w:t>7</w:t>
            </w:r>
            <w:r>
              <w:rPr>
                <w:rFonts w:hint="eastAsia" w:ascii="Times New Roman" w:hAnsi="Times New Roman" w:eastAsia="宋体" w:cs="宋体"/>
                <w:color w:val="auto"/>
                <w:sz w:val="21"/>
                <w:szCs w:val="21"/>
                <w:highlight w:val="none"/>
                <w:shd w:val="clear" w:color="auto" w:fill="auto"/>
                <w:lang w:eastAsia="zh-CN"/>
              </w:rPr>
              <w:t>%P一个</w:t>
            </w:r>
            <w:r>
              <w:rPr>
                <w:rFonts w:hint="eastAsia" w:ascii="宋体" w:hAnsi="宋体" w:eastAsia="宋体" w:cs="宋体"/>
                <w:color w:val="auto"/>
                <w:sz w:val="21"/>
                <w:szCs w:val="21"/>
                <w:highlight w:val="none"/>
                <w:shd w:val="clear" w:color="auto" w:fill="auto"/>
                <w:lang w:eastAsia="zh-CN"/>
              </w:rPr>
              <w:t>百分点</w:t>
            </w:r>
            <w:r>
              <w:rPr>
                <w:rFonts w:hint="eastAsia" w:ascii="Times New Roman" w:hAnsi="Times New Roman" w:eastAsia="宋体" w:cs="宋体"/>
                <w:color w:val="auto"/>
                <w:sz w:val="21"/>
                <w:szCs w:val="21"/>
                <w:highlight w:val="none"/>
                <w:shd w:val="clear" w:color="auto" w:fill="auto"/>
                <w:lang w:eastAsia="zh-CN"/>
              </w:rPr>
              <w:t>扣0.5分</w:t>
            </w:r>
            <w:r>
              <w:rPr>
                <w:rFonts w:hint="eastAsia" w:ascii="Times New Roman" w:hAnsi="Times New Roman" w:eastAsia="宋体" w:cs="宋体"/>
                <w:color w:val="auto"/>
                <w:highlight w:val="none"/>
                <w:shd w:val="clear" w:color="auto" w:fill="auto"/>
                <w:lang w:eastAsia="zh-CN"/>
              </w:rPr>
              <w:t>，</w:t>
            </w:r>
            <w:r>
              <w:rPr>
                <w:rFonts w:hint="eastAsia" w:ascii="Times New Roman" w:hAnsi="Times New Roman" w:eastAsia="宋体" w:cs="宋体"/>
                <w:color w:val="auto"/>
                <w:sz w:val="21"/>
                <w:szCs w:val="21"/>
                <w:highlight w:val="none"/>
                <w:shd w:val="clear" w:color="auto" w:fill="auto"/>
              </w:rPr>
              <w:t>不足一个百分点</w:t>
            </w:r>
            <w:r>
              <w:rPr>
                <w:rFonts w:hint="default" w:ascii="Times New Roman" w:hAnsi="Times New Roman" w:eastAsia="宋体" w:cs="宋体"/>
                <w:color w:val="auto"/>
                <w:sz w:val="21"/>
                <w:szCs w:val="21"/>
                <w:highlight w:val="none"/>
                <w:shd w:val="clear" w:color="auto" w:fill="auto"/>
                <w:lang w:eastAsia="zh-CN"/>
              </w:rPr>
              <w:t>时，</w:t>
            </w:r>
            <w:r>
              <w:rPr>
                <w:rFonts w:hint="eastAsia" w:ascii="Times New Roman" w:hAnsi="Times New Roman" w:eastAsia="宋体" w:cs="宋体"/>
                <w:color w:val="auto"/>
                <w:sz w:val="21"/>
                <w:szCs w:val="21"/>
                <w:highlight w:val="none"/>
                <w:shd w:val="clear" w:color="auto" w:fill="auto"/>
              </w:rPr>
              <w:t>用内插法计算</w:t>
            </w:r>
            <w:r>
              <w:rPr>
                <w:rFonts w:hint="eastAsia" w:ascii="Calibri" w:hAnsi="Calibri" w:cs="宋体"/>
                <w:color w:val="auto"/>
                <w:highlight w:val="none"/>
                <w:shd w:val="clear" w:color="auto" w:fill="auto"/>
                <w:lang w:eastAsia="zh-CN"/>
              </w:rPr>
              <w:t>。</w:t>
            </w:r>
          </w:p>
          <w:p w14:paraId="3FEBB1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lang w:eastAsia="zh-CN"/>
              </w:rPr>
              <w:t>（</w:t>
            </w:r>
            <w:r>
              <w:rPr>
                <w:rFonts w:hint="eastAsia" w:ascii="Calibri" w:hAnsi="Calibri" w:eastAsia="宋体" w:cs="宋体"/>
                <w:color w:val="auto"/>
                <w:highlight w:val="none"/>
                <w:shd w:val="clear" w:color="auto" w:fill="auto"/>
                <w:lang w:val="en-US" w:eastAsia="zh-CN"/>
              </w:rPr>
              <w:t>4）</w:t>
            </w:r>
            <w:r>
              <w:rPr>
                <w:rFonts w:hint="eastAsia" w:ascii="Calibri" w:hAnsi="Calibri" w:eastAsia="宋体" w:cs="宋体"/>
                <w:color w:val="auto"/>
                <w:highlight w:val="none"/>
                <w:shd w:val="clear" w:color="auto" w:fill="auto"/>
              </w:rPr>
              <w:t>按上述办法计算得总报价分后，若《</w:t>
            </w:r>
            <w:r>
              <w:rPr>
                <w:rFonts w:hint="eastAsia" w:ascii="Calibri" w:hAnsi="Calibri" w:eastAsia="宋体" w:cs="宋体"/>
                <w:color w:val="auto"/>
                <w:highlight w:val="none"/>
                <w:shd w:val="clear" w:color="auto" w:fill="auto"/>
                <w:lang w:eastAsia="zh-CN"/>
              </w:rPr>
              <w:t>建筑安装工程费</w:t>
            </w:r>
            <w:r>
              <w:rPr>
                <w:rFonts w:hint="eastAsia" w:ascii="Calibri" w:hAnsi="Calibri" w:eastAsia="宋体" w:cs="宋体"/>
                <w:color w:val="auto"/>
                <w:highlight w:val="none"/>
                <w:shd w:val="clear" w:color="auto" w:fill="auto"/>
              </w:rPr>
              <w:t>汇总表》《工程量清单</w:t>
            </w:r>
            <w:r>
              <w:rPr>
                <w:rFonts w:hint="eastAsia" w:ascii="Calibri" w:hAnsi="Calibri" w:cs="宋体"/>
                <w:color w:val="auto"/>
                <w:highlight w:val="none"/>
                <w:shd w:val="clear" w:color="auto" w:fill="auto"/>
                <w:lang w:eastAsia="zh-CN"/>
              </w:rPr>
              <w:t>计</w:t>
            </w:r>
            <w:r>
              <w:rPr>
                <w:rFonts w:hint="eastAsia" w:ascii="Calibri" w:hAnsi="Calibri" w:eastAsia="宋体" w:cs="宋体"/>
                <w:color w:val="auto"/>
                <w:highlight w:val="none"/>
                <w:shd w:val="clear" w:color="auto" w:fill="auto"/>
              </w:rPr>
              <w:t>价表》《</w:t>
            </w:r>
            <w:r>
              <w:rPr>
                <w:rFonts w:hint="eastAsia" w:ascii="Calibri" w:hAnsi="Calibri" w:cs="宋体"/>
                <w:color w:val="auto"/>
                <w:highlight w:val="none"/>
                <w:shd w:val="clear" w:color="auto" w:fill="auto"/>
                <w:lang w:eastAsia="zh-CN"/>
              </w:rPr>
              <w:t>技术</w:t>
            </w:r>
            <w:r>
              <w:rPr>
                <w:rFonts w:hint="eastAsia" w:ascii="Calibri" w:hAnsi="Calibri" w:eastAsia="宋体" w:cs="宋体"/>
                <w:color w:val="auto"/>
                <w:highlight w:val="none"/>
                <w:shd w:val="clear" w:color="auto" w:fill="auto"/>
                <w:lang w:eastAsia="zh-CN"/>
              </w:rPr>
              <w:t>措施项目清单</w:t>
            </w:r>
            <w:r>
              <w:rPr>
                <w:rFonts w:hint="eastAsia" w:ascii="Calibri" w:hAnsi="Calibri" w:cs="宋体"/>
                <w:color w:val="auto"/>
                <w:highlight w:val="none"/>
                <w:shd w:val="clear" w:color="auto" w:fill="auto"/>
                <w:lang w:eastAsia="zh-CN"/>
              </w:rPr>
              <w:t>计</w:t>
            </w:r>
            <w:r>
              <w:rPr>
                <w:rFonts w:hint="eastAsia" w:ascii="Calibri" w:hAnsi="Calibri" w:eastAsia="宋体" w:cs="宋体"/>
                <w:color w:val="auto"/>
                <w:highlight w:val="none"/>
                <w:shd w:val="clear" w:color="auto" w:fill="auto"/>
                <w:lang w:eastAsia="zh-CN"/>
              </w:rPr>
              <w:t>价表</w:t>
            </w:r>
            <w:r>
              <w:rPr>
                <w:rFonts w:hint="eastAsia" w:ascii="Calibri" w:hAnsi="Calibri" w:eastAsia="宋体" w:cs="宋体"/>
                <w:color w:val="auto"/>
                <w:highlight w:val="none"/>
                <w:shd w:val="clear" w:color="auto" w:fill="auto"/>
              </w:rPr>
              <w:t>》《</w:t>
            </w:r>
            <w:r>
              <w:rPr>
                <w:rFonts w:hint="eastAsia" w:ascii="Calibri" w:hAnsi="Calibri" w:cs="宋体"/>
                <w:color w:val="auto"/>
                <w:highlight w:val="none"/>
                <w:shd w:val="clear" w:color="auto" w:fill="auto"/>
                <w:lang w:eastAsia="zh-CN"/>
              </w:rPr>
              <w:t>综合</w:t>
            </w:r>
            <w:r>
              <w:rPr>
                <w:rFonts w:hint="eastAsia" w:ascii="Calibri" w:hAnsi="Calibri" w:eastAsia="宋体" w:cs="宋体"/>
                <w:color w:val="auto"/>
                <w:highlight w:val="none"/>
                <w:shd w:val="clear" w:color="auto" w:fill="auto"/>
                <w:lang w:eastAsia="zh-CN"/>
              </w:rPr>
              <w:t>措施项目清单</w:t>
            </w:r>
            <w:r>
              <w:rPr>
                <w:rFonts w:hint="eastAsia" w:ascii="Calibri" w:hAnsi="Calibri" w:cs="宋体"/>
                <w:color w:val="auto"/>
                <w:highlight w:val="none"/>
                <w:shd w:val="clear" w:color="auto" w:fill="auto"/>
                <w:lang w:eastAsia="zh-CN"/>
              </w:rPr>
              <w:t>计</w:t>
            </w:r>
            <w:r>
              <w:rPr>
                <w:rFonts w:hint="eastAsia" w:ascii="Calibri" w:hAnsi="Calibri" w:eastAsia="宋体" w:cs="宋体"/>
                <w:color w:val="auto"/>
                <w:highlight w:val="none"/>
                <w:shd w:val="clear" w:color="auto" w:fill="auto"/>
                <w:lang w:eastAsia="zh-CN"/>
              </w:rPr>
              <w:t>价表</w:t>
            </w:r>
            <w:r>
              <w:rPr>
                <w:rFonts w:hint="eastAsia"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lang w:eastAsia="zh-CN"/>
              </w:rPr>
              <w:t>其他项目清单</w:t>
            </w:r>
            <w:r>
              <w:rPr>
                <w:rFonts w:hint="eastAsia" w:ascii="Calibri" w:hAnsi="Calibri" w:cs="宋体"/>
                <w:color w:val="auto"/>
                <w:highlight w:val="none"/>
                <w:shd w:val="clear" w:color="auto" w:fill="auto"/>
                <w:lang w:eastAsia="zh-CN"/>
              </w:rPr>
              <w:t>计</w:t>
            </w:r>
            <w:r>
              <w:rPr>
                <w:rFonts w:hint="eastAsia" w:ascii="Calibri" w:hAnsi="Calibri" w:eastAsia="宋体" w:cs="宋体"/>
                <w:color w:val="auto"/>
                <w:highlight w:val="none"/>
                <w:shd w:val="clear" w:color="auto" w:fill="auto"/>
                <w:lang w:eastAsia="zh-CN"/>
              </w:rPr>
              <w:t>价表</w:t>
            </w:r>
            <w:r>
              <w:rPr>
                <w:rFonts w:hint="eastAsia" w:ascii="Calibri" w:hAnsi="Calibri" w:eastAsia="宋体" w:cs="宋体"/>
                <w:color w:val="auto"/>
                <w:highlight w:val="none"/>
                <w:shd w:val="clear" w:color="auto" w:fill="auto"/>
              </w:rPr>
              <w:t>》等有算术错误的，以</w:t>
            </w:r>
            <w:r>
              <w:rPr>
                <w:rFonts w:hint="eastAsia" w:ascii="Calibri" w:hAnsi="Calibri" w:eastAsia="宋体" w:cs="宋体"/>
                <w:strike w:val="0"/>
                <w:color w:val="auto"/>
                <w:highlight w:val="none"/>
                <w:shd w:val="clear" w:color="auto" w:fill="auto"/>
              </w:rPr>
              <w:t>投标</w:t>
            </w:r>
            <w:r>
              <w:rPr>
                <w:rFonts w:hint="eastAsia" w:ascii="Calibri" w:hAnsi="Calibri" w:eastAsia="宋体" w:cs="宋体"/>
                <w:strike w:val="0"/>
                <w:color w:val="auto"/>
                <w:highlight w:val="none"/>
                <w:shd w:val="clear" w:color="auto" w:fill="auto"/>
                <w:lang w:val="en-US" w:eastAsia="zh-CN"/>
              </w:rPr>
              <w:t>函</w:t>
            </w:r>
            <w:r>
              <w:rPr>
                <w:rFonts w:hint="eastAsia" w:ascii="Calibri" w:hAnsi="Calibri" w:eastAsia="宋体" w:cs="宋体"/>
                <w:strike w:val="0"/>
                <w:color w:val="auto"/>
                <w:highlight w:val="none"/>
                <w:shd w:val="clear" w:color="auto" w:fill="auto"/>
              </w:rPr>
              <w:t>标明的总额</w:t>
            </w:r>
            <w:r>
              <w:rPr>
                <w:rFonts w:hint="eastAsia" w:ascii="Calibri" w:hAnsi="Calibri" w:eastAsia="宋体" w:cs="宋体"/>
                <w:color w:val="auto"/>
                <w:highlight w:val="none"/>
                <w:shd w:val="clear" w:color="auto" w:fill="auto"/>
              </w:rPr>
              <w:t>为基数，经</w:t>
            </w:r>
            <w:r>
              <w:rPr>
                <w:rFonts w:hint="eastAsia" w:ascii="Calibri" w:hAnsi="Calibri" w:eastAsia="宋体" w:cs="宋体"/>
                <w:strike w:val="0"/>
                <w:color w:val="auto"/>
                <w:highlight w:val="none"/>
                <w:shd w:val="clear" w:color="auto" w:fill="auto"/>
              </w:rPr>
              <w:t>算术错误</w:t>
            </w:r>
            <w:r>
              <w:rPr>
                <w:rFonts w:hint="eastAsia" w:ascii="Calibri" w:hAnsi="Calibri" w:eastAsia="宋体" w:cs="宋体"/>
                <w:color w:val="auto"/>
                <w:highlight w:val="none"/>
                <w:shd w:val="clear" w:color="auto" w:fill="auto"/>
              </w:rPr>
              <w:t>改正后的投标报价汇总表总额每偏离一个百分点扣2分，</w:t>
            </w:r>
            <w:r>
              <w:rPr>
                <w:rFonts w:hint="eastAsia" w:ascii="Times New Roman" w:hAnsi="Times New Roman" w:eastAsia="宋体" w:cs="宋体"/>
                <w:color w:val="auto"/>
                <w:sz w:val="21"/>
                <w:szCs w:val="21"/>
                <w:highlight w:val="none"/>
                <w:shd w:val="clear" w:color="auto" w:fill="auto"/>
              </w:rPr>
              <w:t>不足一个百分点</w:t>
            </w:r>
            <w:r>
              <w:rPr>
                <w:rFonts w:hint="default" w:ascii="Times New Roman" w:hAnsi="Times New Roman" w:eastAsia="宋体" w:cs="宋体"/>
                <w:color w:val="auto"/>
                <w:sz w:val="21"/>
                <w:szCs w:val="21"/>
                <w:highlight w:val="none"/>
                <w:shd w:val="clear" w:color="auto" w:fill="auto"/>
                <w:lang w:eastAsia="zh-CN"/>
              </w:rPr>
              <w:t>时，</w:t>
            </w:r>
            <w:r>
              <w:rPr>
                <w:rFonts w:hint="eastAsia" w:ascii="Times New Roman" w:hAnsi="Times New Roman" w:eastAsia="宋体" w:cs="宋体"/>
                <w:color w:val="auto"/>
                <w:sz w:val="21"/>
                <w:szCs w:val="21"/>
                <w:highlight w:val="none"/>
                <w:shd w:val="clear" w:color="auto" w:fill="auto"/>
              </w:rPr>
              <w:t>用内插法计算</w:t>
            </w:r>
            <w:r>
              <w:rPr>
                <w:rFonts w:hint="eastAsia" w:ascii="Calibri" w:hAnsi="Calibri" w:eastAsia="宋体" w:cs="宋体"/>
                <w:color w:val="auto"/>
                <w:highlight w:val="none"/>
                <w:shd w:val="clear" w:color="auto" w:fill="auto"/>
              </w:rPr>
              <w:t>。</w:t>
            </w:r>
          </w:p>
          <w:p w14:paraId="54FAF4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宋体"/>
                <w:color w:val="auto"/>
                <w:highlight w:val="none"/>
                <w:shd w:val="clear" w:color="auto" w:fill="auto"/>
              </w:rPr>
            </w:pPr>
            <w:r>
              <w:rPr>
                <w:rFonts w:hint="eastAsia" w:ascii="Calibri" w:hAnsi="Calibri" w:cs="宋体"/>
                <w:color w:val="auto"/>
                <w:highlight w:val="none"/>
                <w:shd w:val="clear" w:color="auto" w:fill="auto"/>
                <w:lang w:eastAsia="zh-CN"/>
              </w:rPr>
              <w:t>2.</w:t>
            </w:r>
            <w:r>
              <w:rPr>
                <w:rFonts w:hint="eastAsia" w:ascii="Calibri" w:hAnsi="Calibri" w:eastAsia="宋体" w:cs="宋体"/>
                <w:color w:val="auto"/>
                <w:highlight w:val="none"/>
                <w:shd w:val="clear" w:color="auto" w:fill="auto"/>
              </w:rPr>
              <w:t>单价部分（满分15分）</w:t>
            </w:r>
          </w:p>
          <w:p w14:paraId="665CC7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单</w:t>
            </w:r>
            <w:r>
              <w:rPr>
                <w:rFonts w:hint="default" w:ascii="Calibri" w:hAnsi="Calibri" w:eastAsia="宋体" w:cs="宋体"/>
                <w:color w:val="auto"/>
                <w:highlight w:val="none"/>
                <w:shd w:val="clear" w:color="auto" w:fill="auto"/>
              </w:rPr>
              <w:t>价得分以</w:t>
            </w:r>
            <w:r>
              <w:rPr>
                <w:rFonts w:hint="eastAsia" w:ascii="Calibri" w:hAnsi="Calibri" w:eastAsia="宋体" w:cs="宋体"/>
                <w:color w:val="auto"/>
                <w:highlight w:val="none"/>
                <w:shd w:val="clear" w:color="auto" w:fill="auto"/>
              </w:rPr>
              <w:t>1</w:t>
            </w:r>
            <w:r>
              <w:rPr>
                <w:rFonts w:hint="default" w:ascii="Calibri" w:hAnsi="Calibri" w:eastAsia="宋体" w:cs="宋体"/>
                <w:color w:val="auto"/>
                <w:highlight w:val="none"/>
                <w:shd w:val="clear" w:color="auto" w:fill="auto"/>
              </w:rPr>
              <w:t>5分为基数</w:t>
            </w:r>
            <w:r>
              <w:rPr>
                <w:rFonts w:hint="eastAsia" w:ascii="Calibri" w:hAnsi="Calibri" w:eastAsia="宋体" w:cs="宋体"/>
                <w:color w:val="auto"/>
                <w:highlight w:val="none"/>
                <w:shd w:val="clear" w:color="auto" w:fill="auto"/>
              </w:rPr>
              <w:t>扣</w:t>
            </w:r>
            <w:r>
              <w:rPr>
                <w:rFonts w:hint="default" w:ascii="Calibri" w:hAnsi="Calibri" w:eastAsia="宋体" w:cs="宋体"/>
                <w:color w:val="auto"/>
                <w:highlight w:val="none"/>
                <w:shd w:val="clear" w:color="auto" w:fill="auto"/>
              </w:rPr>
              <w:t>减</w:t>
            </w:r>
            <w:r>
              <w:rPr>
                <w:rFonts w:hint="eastAsia" w:ascii="Calibri" w:hAnsi="Calibri" w:eastAsia="宋体" w:cs="宋体"/>
                <w:color w:val="auto"/>
                <w:highlight w:val="none"/>
                <w:shd w:val="clear" w:color="auto" w:fill="auto"/>
                <w:lang w:eastAsia="zh-CN"/>
              </w:rPr>
              <w:t>，</w:t>
            </w:r>
            <w:r>
              <w:rPr>
                <w:rFonts w:hint="eastAsia" w:ascii="Calibri" w:hAnsi="Calibri" w:eastAsia="宋体" w:cs="宋体"/>
                <w:color w:val="auto"/>
                <w:highlight w:val="none"/>
                <w:shd w:val="clear" w:color="auto" w:fill="auto"/>
              </w:rPr>
              <w:t>直至</w:t>
            </w:r>
            <w:r>
              <w:rPr>
                <w:rFonts w:hint="eastAsia" w:ascii="Calibri" w:hAnsi="Calibri" w:cs="宋体"/>
                <w:color w:val="auto"/>
                <w:highlight w:val="none"/>
                <w:shd w:val="clear" w:color="auto" w:fill="auto"/>
                <w:lang w:val="en-US" w:eastAsia="zh-CN"/>
              </w:rPr>
              <w:t>单价得</w:t>
            </w:r>
            <w:r>
              <w:rPr>
                <w:rFonts w:hint="eastAsia" w:ascii="Calibri" w:hAnsi="Calibri" w:eastAsia="宋体" w:cs="宋体"/>
                <w:color w:val="auto"/>
                <w:highlight w:val="none"/>
                <w:shd w:val="clear" w:color="auto" w:fill="auto"/>
              </w:rPr>
              <w:t>分被扣至0分为止</w:t>
            </w:r>
            <w:r>
              <w:rPr>
                <w:rFonts w:hint="default" w:ascii="Calibri" w:hAnsi="Calibri" w:eastAsia="宋体" w:cs="宋体"/>
                <w:color w:val="auto"/>
                <w:highlight w:val="none"/>
                <w:shd w:val="clear" w:color="auto" w:fill="auto"/>
              </w:rPr>
              <w:t>：</w:t>
            </w:r>
          </w:p>
          <w:p w14:paraId="49DB3A57">
            <w:pPr>
              <w:keepNext w:val="0"/>
              <w:keepLines w:val="0"/>
              <w:suppressLineNumbers w:val="0"/>
              <w:spacing w:before="0" w:beforeAutospacing="0" w:after="0" w:afterAutospacing="0" w:line="360" w:lineRule="auto"/>
              <w:ind w:left="0" w:right="0" w:firstLine="345"/>
              <w:rPr>
                <w:rFonts w:hint="eastAsia" w:ascii="Calibri" w:hAnsi="Calibri" w:eastAsia="宋体" w:cs="宋体"/>
                <w:color w:val="auto"/>
                <w:highlight w:val="none"/>
                <w:shd w:val="clear" w:color="auto" w:fill="auto"/>
              </w:rPr>
            </w:pPr>
            <w:r>
              <w:rPr>
                <w:rFonts w:hint="eastAsia" w:ascii="汉仪书宋二S" w:hAnsi="汉仪书宋二S" w:eastAsia="汉仪书宋二S" w:cs="汉仪书宋二S"/>
                <w:color w:val="auto"/>
                <w:highlight w:val="none"/>
                <w:shd w:val="clear" w:color="auto" w:fill="auto"/>
                <w:lang w:eastAsia="zh-CN"/>
              </w:rPr>
              <w:t>（</w:t>
            </w:r>
            <w:r>
              <w:rPr>
                <w:rFonts w:hint="eastAsia" w:ascii="汉仪书宋二S" w:hAnsi="汉仪书宋二S" w:eastAsia="汉仪书宋二S" w:cs="汉仪书宋二S"/>
                <w:color w:val="auto"/>
                <w:highlight w:val="none"/>
                <w:shd w:val="clear" w:color="auto" w:fill="auto"/>
                <w:lang w:val="en-US" w:eastAsia="zh-CN"/>
              </w:rPr>
              <w:t>1</w:t>
            </w:r>
            <w:r>
              <w:rPr>
                <w:rFonts w:hint="eastAsia" w:ascii="汉仪书宋二S" w:hAnsi="汉仪书宋二S" w:eastAsia="汉仪书宋二S" w:cs="汉仪书宋二S"/>
                <w:color w:val="auto"/>
                <w:highlight w:val="none"/>
                <w:shd w:val="clear" w:color="auto" w:fill="auto"/>
                <w:lang w:eastAsia="zh-CN"/>
              </w:rPr>
              <w:t>）</w:t>
            </w:r>
            <w:r>
              <w:rPr>
                <w:rFonts w:hint="eastAsia" w:ascii="Calibri" w:hAnsi="Calibri" w:eastAsia="宋体" w:cs="宋体"/>
                <w:color w:val="auto"/>
                <w:highlight w:val="none"/>
                <w:shd w:val="clear" w:color="auto" w:fill="auto"/>
              </w:rPr>
              <w:t>对</w:t>
            </w:r>
            <w:r>
              <w:rPr>
                <w:rFonts w:hint="eastAsia" w:ascii="Calibri" w:hAnsi="Calibri" w:cs="宋体"/>
                <w:color w:val="auto"/>
                <w:highlight w:val="none"/>
                <w:shd w:val="clear" w:color="auto" w:fill="auto"/>
                <w:lang w:eastAsia="zh-CN"/>
              </w:rPr>
              <w:t>最高投标限价</w:t>
            </w:r>
            <w:r>
              <w:rPr>
                <w:rFonts w:hint="eastAsia" w:ascii="Calibri" w:hAnsi="Calibri" w:eastAsia="宋体" w:cs="宋体"/>
                <w:color w:val="auto"/>
                <w:highlight w:val="none"/>
                <w:shd w:val="clear" w:color="auto" w:fill="auto"/>
              </w:rPr>
              <w:t>和所有</w:t>
            </w:r>
            <w:r>
              <w:rPr>
                <w:rFonts w:hint="default" w:ascii="Calibri" w:hAnsi="Calibri" w:eastAsia="宋体" w:cs="宋体"/>
                <w:color w:val="auto"/>
                <w:highlight w:val="none"/>
                <w:shd w:val="clear" w:color="auto" w:fill="auto"/>
              </w:rPr>
              <w:t>通过形式评审、响应性评审、资格评审、技术标评审合格</w:t>
            </w:r>
            <w:r>
              <w:rPr>
                <w:rFonts w:hint="eastAsia" w:ascii="Calibri" w:hAnsi="Calibri" w:eastAsia="宋体" w:cs="宋体"/>
                <w:color w:val="auto"/>
                <w:highlight w:val="none"/>
                <w:shd w:val="clear" w:color="auto" w:fill="auto"/>
                <w:lang w:eastAsia="zh-CN"/>
              </w:rPr>
              <w:t>或可行</w:t>
            </w:r>
            <w:r>
              <w:rPr>
                <w:rFonts w:hint="default" w:ascii="Calibri" w:hAnsi="Calibri" w:eastAsia="宋体" w:cs="宋体"/>
                <w:color w:val="auto"/>
                <w:highlight w:val="none"/>
                <w:shd w:val="clear" w:color="auto" w:fill="auto"/>
              </w:rPr>
              <w:t>、投标总价低于或等于</w:t>
            </w:r>
            <w:r>
              <w:rPr>
                <w:rFonts w:hint="eastAsia" w:ascii="Calibri" w:hAnsi="Calibri" w:eastAsia="宋体" w:cs="宋体"/>
                <w:color w:val="auto"/>
                <w:highlight w:val="none"/>
                <w:shd w:val="clear" w:color="auto" w:fill="auto"/>
                <w:lang w:eastAsia="zh-CN"/>
              </w:rPr>
              <w:t>最高投标限价</w:t>
            </w:r>
            <w:r>
              <w:rPr>
                <w:rFonts w:hint="eastAsia" w:ascii="Calibri" w:hAnsi="Calibri" w:cs="宋体"/>
                <w:color w:val="auto"/>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经评标委员会审定不存在低于其企业成本</w:t>
            </w:r>
            <w:r>
              <w:rPr>
                <w:rFonts w:hint="default" w:ascii="Calibri" w:hAnsi="Calibri" w:eastAsia="宋体" w:cs="宋体"/>
                <w:color w:val="auto"/>
                <w:highlight w:val="none"/>
                <w:shd w:val="clear" w:color="auto" w:fill="auto"/>
              </w:rPr>
              <w:t>的报价</w:t>
            </w:r>
            <w:r>
              <w:rPr>
                <w:rFonts w:hint="eastAsia" w:ascii="Calibri" w:hAnsi="Calibri" w:eastAsia="宋体" w:cs="宋体"/>
                <w:color w:val="auto"/>
                <w:highlight w:val="none"/>
                <w:shd w:val="clear" w:color="auto" w:fill="auto"/>
              </w:rPr>
              <w:t xml:space="preserve">的每项分部分项工程量清单项目计算出合计价算术平均值，将合计价算术平均值由高到低进行排序，取合计价算术平均值最高的前30%（含）项进行评审。 </w:t>
            </w:r>
          </w:p>
          <w:p w14:paraId="2E439358">
            <w:pPr>
              <w:keepNext w:val="0"/>
              <w:keepLines w:val="0"/>
              <w:suppressLineNumbers w:val="0"/>
              <w:spacing w:before="0" w:beforeAutospacing="0" w:after="0" w:afterAutospacing="0" w:line="360" w:lineRule="auto"/>
              <w:ind w:left="0" w:right="0" w:firstLine="345"/>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对最高投标限价和</w:t>
            </w:r>
            <w:r>
              <w:rPr>
                <w:rFonts w:hint="default" w:ascii="Calibri" w:hAnsi="Calibri" w:eastAsia="宋体" w:cs="宋体"/>
                <w:color w:val="auto"/>
                <w:highlight w:val="none"/>
                <w:shd w:val="clear" w:color="auto" w:fill="auto"/>
              </w:rPr>
              <w:t>通过形式评审、响应性评审、资格评审、技术标评审合格</w:t>
            </w:r>
            <w:r>
              <w:rPr>
                <w:rFonts w:hint="eastAsia" w:ascii="Calibri" w:hAnsi="Calibri" w:eastAsia="宋体" w:cs="宋体"/>
                <w:color w:val="auto"/>
                <w:highlight w:val="none"/>
                <w:shd w:val="clear" w:color="auto" w:fill="auto"/>
                <w:lang w:eastAsia="zh-CN"/>
              </w:rPr>
              <w:t>或可行</w:t>
            </w:r>
            <w:r>
              <w:rPr>
                <w:rFonts w:hint="default" w:ascii="Calibri" w:hAnsi="Calibri" w:eastAsia="宋体" w:cs="宋体"/>
                <w:color w:val="auto"/>
                <w:highlight w:val="none"/>
                <w:shd w:val="clear" w:color="auto" w:fill="auto"/>
              </w:rPr>
              <w:t>、投标总价低于或等于</w:t>
            </w:r>
            <w:r>
              <w:rPr>
                <w:rFonts w:hint="eastAsia" w:ascii="Calibri" w:hAnsi="Calibri" w:eastAsia="宋体" w:cs="宋体"/>
                <w:color w:val="auto"/>
                <w:highlight w:val="none"/>
                <w:shd w:val="clear" w:color="auto" w:fill="auto"/>
                <w:lang w:eastAsia="zh-CN"/>
              </w:rPr>
              <w:t>最高投标限价</w:t>
            </w:r>
            <w:r>
              <w:rPr>
                <w:rFonts w:hint="eastAsia" w:ascii="Calibri" w:hAnsi="Calibri" w:cs="宋体"/>
                <w:color w:val="auto"/>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经评标委员会审定不存在低于其企业成本</w:t>
            </w:r>
            <w:r>
              <w:rPr>
                <w:rFonts w:hint="default" w:ascii="Calibri" w:hAnsi="Calibri" w:eastAsia="宋体" w:cs="宋体"/>
                <w:color w:val="auto"/>
                <w:highlight w:val="none"/>
                <w:shd w:val="clear" w:color="auto" w:fill="auto"/>
              </w:rPr>
              <w:t>的报价</w:t>
            </w:r>
            <w:r>
              <w:rPr>
                <w:rFonts w:hint="eastAsia" w:ascii="Calibri" w:hAnsi="Calibri" w:eastAsia="宋体" w:cs="宋体"/>
                <w:color w:val="auto"/>
                <w:highlight w:val="none"/>
                <w:shd w:val="clear" w:color="auto" w:fill="auto"/>
              </w:rPr>
              <w:t>计算出每项分部分项工程量清单</w:t>
            </w:r>
            <w:r>
              <w:rPr>
                <w:rFonts w:hint="eastAsia" w:ascii="Calibri" w:hAnsi="Calibri" w:cs="宋体"/>
                <w:color w:val="auto"/>
                <w:highlight w:val="none"/>
                <w:shd w:val="clear" w:color="auto" w:fill="auto"/>
                <w:lang w:val="en-US" w:eastAsia="zh-CN"/>
              </w:rPr>
              <w:t>综合单</w:t>
            </w:r>
            <w:r>
              <w:rPr>
                <w:rFonts w:hint="eastAsia" w:ascii="Calibri" w:hAnsi="Calibri" w:eastAsia="宋体" w:cs="宋体"/>
                <w:color w:val="auto"/>
                <w:highlight w:val="none"/>
                <w:shd w:val="clear" w:color="auto" w:fill="auto"/>
              </w:rPr>
              <w:t>价算术平均值，以每项的</w:t>
            </w:r>
            <w:r>
              <w:rPr>
                <w:rFonts w:hint="eastAsia" w:ascii="Calibri" w:hAnsi="Calibri" w:cs="宋体"/>
                <w:color w:val="auto"/>
                <w:highlight w:val="none"/>
                <w:shd w:val="clear" w:color="auto" w:fill="auto"/>
                <w:lang w:val="en-US" w:eastAsia="zh-CN"/>
              </w:rPr>
              <w:t>综合单</w:t>
            </w:r>
            <w:r>
              <w:rPr>
                <w:rFonts w:hint="eastAsia" w:ascii="Calibri" w:hAnsi="Calibri" w:eastAsia="宋体" w:cs="宋体"/>
                <w:color w:val="auto"/>
                <w:highlight w:val="none"/>
                <w:shd w:val="clear" w:color="auto" w:fill="auto"/>
              </w:rPr>
              <w:t>价算术平均值作为基准值</w:t>
            </w:r>
            <w:r>
              <w:rPr>
                <w:rFonts w:hint="eastAsia" w:ascii="Calibri" w:hAnsi="Calibri" w:cs="宋体"/>
                <w:color w:val="auto"/>
                <w:highlight w:val="none"/>
                <w:shd w:val="clear" w:color="auto" w:fill="auto"/>
                <w:lang w:eastAsia="zh-CN"/>
              </w:rPr>
              <w:t>。将</w:t>
            </w:r>
            <w:r>
              <w:rPr>
                <w:rFonts w:hint="eastAsia" w:ascii="Calibri" w:hAnsi="Calibri" w:eastAsia="宋体" w:cs="宋体"/>
                <w:color w:val="auto"/>
                <w:highlight w:val="none"/>
                <w:shd w:val="clear" w:color="auto" w:fill="auto"/>
              </w:rPr>
              <w:t>合计价算术平均值最高的前30%分部分项工程清单项目的综合单价</w:t>
            </w:r>
            <w:r>
              <w:rPr>
                <w:rFonts w:hint="eastAsia" w:ascii="Calibri" w:hAnsi="Calibri" w:cs="宋体"/>
                <w:color w:val="auto"/>
                <w:highlight w:val="none"/>
                <w:shd w:val="clear" w:color="auto" w:fill="auto"/>
                <w:lang w:eastAsia="zh-CN"/>
              </w:rPr>
              <w:t>逐项</w:t>
            </w:r>
            <w:r>
              <w:rPr>
                <w:rFonts w:hint="eastAsia" w:ascii="Calibri" w:hAnsi="Calibri" w:eastAsia="宋体" w:cs="宋体"/>
                <w:color w:val="auto"/>
                <w:highlight w:val="none"/>
                <w:shd w:val="clear" w:color="auto" w:fill="auto"/>
              </w:rPr>
              <w:t>与基准值</w:t>
            </w:r>
            <w:r>
              <w:rPr>
                <w:rFonts w:hint="eastAsia" w:ascii="Calibri" w:hAnsi="Calibri" w:cs="宋体"/>
                <w:color w:val="auto"/>
                <w:highlight w:val="none"/>
                <w:shd w:val="clear" w:color="auto" w:fill="auto"/>
                <w:lang w:eastAsia="zh-CN"/>
              </w:rPr>
              <w:t>比对，偏差绝对值≥</w:t>
            </w:r>
            <w:r>
              <w:rPr>
                <w:rFonts w:hint="eastAsia" w:ascii="Calibri" w:hAnsi="Calibri" w:cs="宋体"/>
                <w:color w:val="auto"/>
                <w:highlight w:val="none"/>
                <w:shd w:val="clear" w:color="auto" w:fill="auto"/>
                <w:lang w:val="en-US" w:eastAsia="zh-CN"/>
              </w:rPr>
              <w:t>30%的，视为异常低价项。每有一项异常低价项扣X分（建设项目分部分项工程量清单子目数量≤300时，X=1；300＜建设项目分部分项工程量清单子目数量≤600时，X=0.5；建设项目分部分项工程量清单子目数量＞600时，X=0.1）</w:t>
            </w:r>
            <w:r>
              <w:rPr>
                <w:rFonts w:hint="eastAsia" w:ascii="Calibri" w:hAnsi="Calibri" w:eastAsia="宋体" w:cs="宋体"/>
                <w:color w:val="auto"/>
                <w:highlight w:val="none"/>
                <w:shd w:val="clear" w:color="auto" w:fill="auto"/>
              </w:rPr>
              <w:t>。</w:t>
            </w:r>
          </w:p>
          <w:p w14:paraId="567797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宋体"/>
                <w:color w:val="auto"/>
                <w:highlight w:val="none"/>
                <w:shd w:val="clear" w:color="auto" w:fill="auto"/>
              </w:rPr>
            </w:pPr>
            <w:r>
              <w:rPr>
                <w:rFonts w:hint="default" w:ascii="Calibri" w:hAnsi="Calibri" w:eastAsia="宋体" w:cs="宋体"/>
                <w:color w:val="auto"/>
                <w:highlight w:val="none"/>
                <w:shd w:val="clear" w:color="auto" w:fill="auto"/>
              </w:rPr>
              <w:t>（</w:t>
            </w:r>
            <w:r>
              <w:rPr>
                <w:rFonts w:hint="eastAsia" w:ascii="Calibri" w:hAnsi="Calibri" w:cs="宋体"/>
                <w:color w:val="auto"/>
                <w:highlight w:val="none"/>
                <w:shd w:val="clear" w:color="auto" w:fill="auto"/>
                <w:lang w:val="en-US" w:eastAsia="zh-CN"/>
              </w:rPr>
              <w:t>2</w:t>
            </w:r>
            <w:r>
              <w:rPr>
                <w:rFonts w:hint="default" w:ascii="Calibri" w:hAnsi="Calibri" w:eastAsia="宋体" w:cs="宋体"/>
                <w:color w:val="auto"/>
                <w:highlight w:val="none"/>
                <w:shd w:val="clear" w:color="auto" w:fill="auto"/>
              </w:rPr>
              <w:t>）</w:t>
            </w:r>
            <w:r>
              <w:rPr>
                <w:rFonts w:hint="eastAsia" w:ascii="Calibri" w:hAnsi="Calibri" w:eastAsia="宋体" w:cs="宋体"/>
                <w:color w:val="auto"/>
                <w:highlight w:val="none"/>
                <w:shd w:val="clear" w:color="auto" w:fill="auto"/>
              </w:rPr>
              <w:t>已标价的《工程量清单</w:t>
            </w:r>
            <w:r>
              <w:rPr>
                <w:rFonts w:hint="eastAsia" w:ascii="Calibri" w:hAnsi="Calibri" w:cs="宋体"/>
                <w:color w:val="auto"/>
                <w:highlight w:val="none"/>
                <w:shd w:val="clear" w:color="auto" w:fill="auto"/>
                <w:lang w:eastAsia="zh-CN"/>
              </w:rPr>
              <w:t>计</w:t>
            </w:r>
            <w:r>
              <w:rPr>
                <w:rFonts w:hint="eastAsia" w:ascii="Calibri" w:hAnsi="Calibri" w:eastAsia="宋体" w:cs="宋体"/>
                <w:color w:val="auto"/>
                <w:highlight w:val="none"/>
                <w:shd w:val="clear" w:color="auto" w:fill="auto"/>
              </w:rPr>
              <w:t>价表》中引用的单价与单价分析表不符的，每发现一处扣0.5分。单项报价以算术修正后的《工程量清单</w:t>
            </w:r>
            <w:r>
              <w:rPr>
                <w:rFonts w:hint="eastAsia" w:ascii="Calibri" w:hAnsi="Calibri" w:cs="宋体"/>
                <w:color w:val="auto"/>
                <w:highlight w:val="none"/>
                <w:shd w:val="clear" w:color="auto" w:fill="auto"/>
                <w:lang w:eastAsia="zh-CN"/>
              </w:rPr>
              <w:t>计</w:t>
            </w:r>
            <w:r>
              <w:rPr>
                <w:rFonts w:hint="eastAsia" w:ascii="Calibri" w:hAnsi="Calibri" w:eastAsia="宋体" w:cs="宋体"/>
                <w:color w:val="auto"/>
                <w:highlight w:val="none"/>
                <w:shd w:val="clear" w:color="auto" w:fill="auto"/>
              </w:rPr>
              <w:t>价表》为准。</w:t>
            </w:r>
          </w:p>
          <w:p w14:paraId="5733CF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（注：①当有效报价数大于4家时，投标平均单价=所有相应项目单价去</w:t>
            </w:r>
            <w:r>
              <w:rPr>
                <w:rFonts w:hint="eastAsia" w:ascii="Calibri" w:hAnsi="Calibri" w:eastAsia="宋体" w:cs="宋体"/>
                <w:color w:val="auto"/>
                <w:highlight w:val="none"/>
                <w:shd w:val="clear" w:color="auto" w:fill="auto"/>
                <w:lang w:val="en-US" w:eastAsia="zh-CN"/>
              </w:rPr>
              <w:t>掉</w:t>
            </w:r>
            <w:r>
              <w:rPr>
                <w:rFonts w:hint="eastAsia" w:ascii="Calibri" w:hAnsi="Calibri" w:eastAsia="宋体" w:cs="宋体"/>
                <w:color w:val="auto"/>
                <w:highlight w:val="none"/>
                <w:shd w:val="clear" w:color="auto" w:fill="auto"/>
              </w:rPr>
              <w:t>一个最高值和一个最低值后的平均数；②当有效报价数小于等于4时，投标平均单价=所有相应项目单价的平均数</w:t>
            </w:r>
            <w:r>
              <w:rPr>
                <w:rFonts w:hint="eastAsia" w:ascii="Calibri" w:hAnsi="Calibri" w:cs="宋体"/>
                <w:color w:val="auto"/>
                <w:highlight w:val="none"/>
                <w:shd w:val="clear" w:color="auto" w:fill="auto"/>
                <w:lang w:eastAsia="zh-CN"/>
              </w:rPr>
              <w:t>）</w:t>
            </w:r>
          </w:p>
          <w:p w14:paraId="554A21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Calibri" w:hAnsi="Calibri" w:eastAsia="宋体" w:cs="宋体"/>
                <w:color w:val="auto"/>
                <w:highlight w:val="none"/>
                <w:shd w:val="clear" w:color="auto" w:fill="auto"/>
              </w:rPr>
            </w:pPr>
            <w:r>
              <w:rPr>
                <w:rFonts w:hint="eastAsia" w:ascii="Calibri" w:hAnsi="Calibri" w:cs="宋体"/>
                <w:color w:val="auto"/>
                <w:highlight w:val="none"/>
                <w:shd w:val="clear" w:color="auto" w:fill="auto"/>
                <w:lang w:eastAsia="zh-CN"/>
              </w:rPr>
              <w:t>3.</w:t>
            </w:r>
            <w:r>
              <w:rPr>
                <w:rFonts w:hint="eastAsia" w:ascii="Calibri" w:hAnsi="Calibri" w:eastAsia="宋体" w:cs="宋体"/>
                <w:color w:val="auto"/>
                <w:highlight w:val="none"/>
                <w:shd w:val="clear" w:color="auto" w:fill="auto"/>
              </w:rPr>
              <w:t>计分保留至小数点后四位。</w:t>
            </w:r>
          </w:p>
          <w:p w14:paraId="65C174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Calibri" w:hAnsi="Calibri" w:eastAsia="宋体" w:cs="宋体"/>
                <w:color w:val="auto"/>
                <w:highlight w:val="none"/>
                <w:shd w:val="clear" w:color="auto" w:fill="auto"/>
              </w:rPr>
            </w:pPr>
            <w:r>
              <w:rPr>
                <w:rFonts w:hint="eastAsia" w:ascii="Calibri" w:hAnsi="Calibri" w:cs="宋体"/>
                <w:color w:val="auto"/>
                <w:highlight w:val="none"/>
                <w:shd w:val="clear" w:color="auto" w:fill="auto"/>
                <w:lang w:val="en-US" w:eastAsia="zh-CN"/>
              </w:rPr>
              <w:t>4.</w:t>
            </w:r>
            <w:r>
              <w:rPr>
                <w:rFonts w:hint="eastAsia" w:ascii="Calibri" w:hAnsi="Calibri" w:eastAsia="宋体" w:cs="宋体"/>
                <w:b w:val="0"/>
                <w:bCs w:val="0"/>
                <w:color w:val="auto"/>
                <w:highlight w:val="none"/>
                <w:shd w:val="clear" w:color="auto" w:fill="auto"/>
              </w:rPr>
              <w:t>价格得分</w:t>
            </w:r>
            <w:r>
              <w:rPr>
                <w:rFonts w:hint="eastAsia" w:ascii="Times New Roman" w:hAnsi="Times New Roman" w:eastAsia="宋体" w:cs="宋体"/>
                <w:color w:val="auto"/>
                <w:sz w:val="21"/>
                <w:szCs w:val="21"/>
                <w:highlight w:val="none"/>
                <w:shd w:val="clear" w:color="auto" w:fill="auto"/>
              </w:rPr>
              <w:t>（满分</w:t>
            </w:r>
            <w:r>
              <w:rPr>
                <w:rFonts w:hint="eastAsia" w:ascii="Calibri" w:hAnsi="Calibri" w:eastAsia="宋体" w:cs="宋体"/>
                <w:color w:val="auto"/>
                <w:sz w:val="21"/>
                <w:szCs w:val="21"/>
                <w:highlight w:val="none"/>
                <w:shd w:val="clear" w:color="auto" w:fill="auto"/>
              </w:rPr>
              <w:t>100</w:t>
            </w:r>
            <w:r>
              <w:rPr>
                <w:rFonts w:hint="eastAsia" w:ascii="Times New Roman" w:hAnsi="Times New Roman" w:eastAsia="宋体" w:cs="宋体"/>
                <w:color w:val="auto"/>
                <w:sz w:val="21"/>
                <w:szCs w:val="21"/>
                <w:highlight w:val="none"/>
                <w:shd w:val="clear" w:color="auto" w:fill="auto"/>
              </w:rPr>
              <w:t>分）</w:t>
            </w:r>
            <w:r>
              <w:rPr>
                <w:rFonts w:hint="eastAsia" w:ascii="Calibri" w:hAnsi="Calibri" w:eastAsia="宋体" w:cs="宋体"/>
                <w:b w:val="0"/>
                <w:bCs w:val="0"/>
                <w:color w:val="auto"/>
                <w:highlight w:val="none"/>
                <w:shd w:val="clear" w:color="auto" w:fill="auto"/>
              </w:rPr>
              <w:t>=</w:t>
            </w:r>
            <w:r>
              <w:rPr>
                <w:rFonts w:hint="eastAsia" w:ascii="Calibri" w:hAnsi="Calibri" w:eastAsia="宋体" w:cs="宋体"/>
                <w:color w:val="auto"/>
                <w:highlight w:val="none"/>
                <w:shd w:val="clear" w:color="auto" w:fill="auto"/>
              </w:rPr>
              <w:t>总报价得分+单价部分得分</w:t>
            </w:r>
          </w:p>
          <w:p w14:paraId="2FF7FB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textAlignment w:val="auto"/>
              <w:rPr>
                <w:rFonts w:hint="default" w:ascii="Calibri" w:hAnsi="Calibri" w:eastAsia="宋体" w:cs="宋体"/>
                <w:b/>
                <w:bCs/>
                <w:color w:val="auto"/>
                <w:highlight w:val="none"/>
                <w:shd w:val="clear" w:color="auto" w:fill="auto"/>
              </w:rPr>
            </w:pPr>
            <w:r>
              <w:rPr>
                <w:rFonts w:hint="eastAsia" w:ascii="Calibri" w:hAnsi="Calibri" w:cs="宋体"/>
                <w:b/>
                <w:color w:val="auto"/>
                <w:highlight w:val="none"/>
                <w:shd w:val="clear" w:color="auto" w:fill="auto"/>
                <w:lang w:val="en-US" w:eastAsia="zh-CN"/>
              </w:rPr>
              <w:t>三</w:t>
            </w:r>
            <w:r>
              <w:rPr>
                <w:rFonts w:hint="default" w:ascii="Calibri" w:hAnsi="Calibri" w:eastAsia="宋体" w:cs="宋体"/>
                <w:b/>
                <w:color w:val="auto"/>
                <w:highlight w:val="none"/>
                <w:shd w:val="clear" w:color="auto" w:fill="auto"/>
              </w:rPr>
              <w:t>、</w:t>
            </w:r>
            <w:r>
              <w:rPr>
                <w:rFonts w:hint="eastAsia" w:ascii="Calibri" w:hAnsi="Calibri" w:eastAsia="宋体" w:cs="宋体"/>
                <w:b/>
                <w:color w:val="auto"/>
                <w:highlight w:val="none"/>
                <w:shd w:val="clear" w:color="auto" w:fill="auto"/>
              </w:rPr>
              <w:t>非专门面向中小企业采购、接受联合体或允许分包的政府采购工程项目</w:t>
            </w:r>
            <w:r>
              <w:rPr>
                <w:rFonts w:hint="eastAsia" w:ascii="Calibri" w:hAnsi="Calibri" w:eastAsia="宋体" w:cs="宋体"/>
                <w:b/>
                <w:bCs/>
                <w:color w:val="auto"/>
                <w:highlight w:val="none"/>
                <w:shd w:val="clear" w:color="auto" w:fill="auto"/>
              </w:rPr>
              <w:t>报价分加分</w:t>
            </w:r>
          </w:p>
          <w:p w14:paraId="57BA5B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按上述方法计算出价格分加权分后，</w:t>
            </w:r>
          </w:p>
          <w:p w14:paraId="20DEF4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如本项目为招标公告中规定的未预留份额专门面向中小企业采购的采购项目，评标委员会应当对满足第二章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投标人须知前附表</w:t>
            </w:r>
            <w:r>
              <w:rPr>
                <w:rFonts w:hint="eastAsia" w:ascii="Calibri" w:hAnsi="Calibri" w:cs="Times New Roman"/>
                <w:color w:val="auto"/>
                <w:highlight w:val="none"/>
                <w:shd w:val="clear" w:color="auto" w:fill="auto"/>
                <w:lang w:eastAsia="zh-CN"/>
              </w:rPr>
              <w:t>”</w:t>
            </w:r>
            <w:r>
              <w:rPr>
                <w:rFonts w:hint="eastAsia" w:ascii="Calibri" w:hAnsi="Calibri" w:eastAsia="宋体" w:cs="Times New Roman"/>
                <w:color w:val="auto"/>
                <w:highlight w:val="none"/>
                <w:shd w:val="clear" w:color="auto" w:fill="auto"/>
              </w:rPr>
              <w:t>规定的</w:t>
            </w:r>
            <w:r>
              <w:rPr>
                <w:rFonts w:hint="eastAsia" w:ascii="Calibri" w:hAnsi="Calibri" w:eastAsia="宋体" w:cs="宋体"/>
                <w:color w:val="auto"/>
                <w:highlight w:val="none"/>
                <w:shd w:val="clear" w:color="auto" w:fill="auto"/>
              </w:rPr>
              <w:t>小微企业价格分加权分给予3%的加分，用加分后的价格分加权分计算汇总得分。</w:t>
            </w:r>
          </w:p>
          <w:p w14:paraId="1E9227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 xml:space="preserve">如接受联合体投标时投标人为大中型企业与小微企业组成联合体，且投标文件所附联合协议约定小微企业的合同份额占到合同总金额 </w:t>
            </w:r>
            <w:r>
              <w:rPr>
                <w:rFonts w:hint="eastAsia" w:ascii="Calibri" w:hAnsi="Calibri" w:eastAsia="宋体" w:cs="宋体"/>
                <w:color w:val="auto"/>
                <w:highlight w:val="none"/>
                <w:shd w:val="clear" w:color="auto" w:fill="auto"/>
                <w:lang w:eastAsia="zh-CN"/>
              </w:rPr>
              <w:t>4</w:t>
            </w:r>
            <w:r>
              <w:rPr>
                <w:rFonts w:hint="eastAsia" w:ascii="Calibri" w:hAnsi="Calibri" w:eastAsia="宋体" w:cs="宋体"/>
                <w:color w:val="auto"/>
                <w:highlight w:val="none"/>
                <w:shd w:val="clear" w:color="auto" w:fill="auto"/>
              </w:rPr>
              <w:t>0%以上的；或者第二章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投标人须知前附表</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 xml:space="preserve">允许分包时投标人为大中型企业并在投标文件中明确向一家或者多家小微企业分包，且投标文件所附分包意向协议约定小微企业的合同份额占到合同总金额 </w:t>
            </w:r>
            <w:r>
              <w:rPr>
                <w:rFonts w:hint="eastAsia" w:ascii="Calibri" w:hAnsi="Calibri" w:eastAsia="宋体" w:cs="宋体"/>
                <w:color w:val="auto"/>
                <w:highlight w:val="none"/>
                <w:shd w:val="clear" w:color="auto" w:fill="auto"/>
                <w:lang w:eastAsia="zh-CN"/>
              </w:rPr>
              <w:t>4</w:t>
            </w:r>
            <w:r>
              <w:rPr>
                <w:rFonts w:hint="eastAsia" w:ascii="Calibri" w:hAnsi="Calibri" w:eastAsia="宋体" w:cs="宋体"/>
                <w:color w:val="auto"/>
                <w:highlight w:val="none"/>
                <w:shd w:val="clear" w:color="auto" w:fill="auto"/>
              </w:rPr>
              <w:t xml:space="preserve">0%以上的；评标委员会应当对联合体或者大中型企业的价格分加权分给予 </w:t>
            </w:r>
            <w:r>
              <w:rPr>
                <w:rFonts w:hint="default" w:ascii="Calibri" w:hAnsi="Calibri" w:eastAsia="宋体" w:cs="宋体"/>
                <w:color w:val="auto"/>
                <w:highlight w:val="none"/>
                <w:shd w:val="clear" w:color="auto" w:fill="auto"/>
              </w:rPr>
              <w:t>1</w:t>
            </w:r>
            <w:r>
              <w:rPr>
                <w:rFonts w:hint="eastAsia" w:ascii="Calibri" w:hAnsi="Calibri" w:eastAsia="宋体" w:cs="宋体"/>
                <w:color w:val="auto"/>
                <w:highlight w:val="none"/>
                <w:shd w:val="clear" w:color="auto" w:fill="auto"/>
              </w:rPr>
              <w:t>%的加分，用加分后的价格分加权分计算汇总得分。</w:t>
            </w:r>
            <w:r>
              <w:rPr>
                <w:rFonts w:hint="eastAsia" w:ascii="宋体" w:hAnsi="宋体" w:eastAsia="宋体" w:cs="宋体"/>
                <w:color w:val="auto"/>
                <w:highlight w:val="none"/>
                <w:shd w:val="clear" w:color="auto" w:fill="auto"/>
              </w:rPr>
              <w:t>组成联合体或者接受分包的小微企业与联合体内其他企业、分包企业之间存在直接控股、管理关系的，不享受以上价格优惠政策。</w:t>
            </w:r>
          </w:p>
          <w:p w14:paraId="562813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注：如某投标人价格分加权分已是满分，符合上述规定时仍给予加分。</w:t>
            </w:r>
          </w:p>
          <w:p w14:paraId="4FF9AC9F">
            <w:pPr>
              <w:pStyle w:val="40"/>
              <w:keepNext w:val="0"/>
              <w:keepLines w:val="0"/>
              <w:suppressLineNumbers w:val="0"/>
              <w:spacing w:beforeAutospacing="0" w:afterAutospacing="0"/>
              <w:ind w:firstLineChars="200"/>
              <w:rPr>
                <w:rFonts w:hint="default" w:eastAsia="宋体"/>
                <w:color w:val="auto"/>
                <w:highlight w:val="none"/>
                <w:shd w:val="clear" w:color="auto" w:fill="auto"/>
                <w:lang w:val="en-US" w:eastAsia="zh-CN"/>
              </w:rPr>
            </w:pPr>
            <w:r>
              <w:rPr>
                <w:rFonts w:hint="eastAsia" w:ascii="Calibri" w:hAnsi="Calibri" w:eastAsia="宋体" w:cs="宋体"/>
                <w:color w:val="auto"/>
                <w:highlight w:val="none"/>
                <w:shd w:val="clear" w:color="auto" w:fill="auto"/>
              </w:rPr>
              <w:t>报价分加权得分</w:t>
            </w:r>
            <w:r>
              <w:rPr>
                <w:rFonts w:hint="eastAsia" w:ascii="Calibri" w:hAnsi="Calibri" w:cs="宋体"/>
                <w:color w:val="auto"/>
                <w:highlight w:val="none"/>
                <w:shd w:val="clear" w:color="auto" w:fill="auto"/>
                <w:lang w:val="en-US" w:eastAsia="zh-CN"/>
              </w:rPr>
              <w:t>=价格得分×</w:t>
            </w:r>
            <w:r>
              <w:rPr>
                <w:rFonts w:hint="eastAsia" w:ascii="宋体" w:hAnsi="宋体" w:eastAsia="宋体" w:cs="宋体"/>
                <w:color w:val="auto"/>
                <w:highlight w:val="none"/>
                <w:shd w:val="clear" w:color="auto" w:fill="auto"/>
              </w:rPr>
              <w:t>报价分分值权重</w:t>
            </w:r>
          </w:p>
          <w:p w14:paraId="35673D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报价最后得分=报价分加权得分+小微企业或残疾人或监狱企业加分（如有）</w:t>
            </w:r>
          </w:p>
          <w:p w14:paraId="5167AD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例：某项目计算价格分</w:t>
            </w:r>
            <w:r>
              <w:rPr>
                <w:rFonts w:hint="eastAsia" w:ascii="宋体" w:hAnsi="宋体" w:eastAsia="宋体" w:cs="宋体"/>
                <w:color w:val="auto"/>
                <w:highlight w:val="none"/>
                <w:shd w:val="clear" w:color="auto" w:fill="auto"/>
                <w:lang w:eastAsia="zh-CN"/>
              </w:rPr>
              <w:t>时</w:t>
            </w:r>
            <w:r>
              <w:rPr>
                <w:rFonts w:hint="eastAsia" w:ascii="宋体" w:hAnsi="宋体" w:eastAsia="宋体" w:cs="宋体"/>
                <w:color w:val="auto"/>
                <w:highlight w:val="none"/>
                <w:shd w:val="clear" w:color="auto" w:fill="auto"/>
              </w:rPr>
              <w:t>，报价分分值权重为7</w:t>
            </w:r>
            <w:r>
              <w:rPr>
                <w:rFonts w:hint="default" w:ascii="宋体" w:hAnsi="宋体" w:eastAsia="宋体" w:cs="宋体"/>
                <w:color w:val="auto"/>
                <w:highlight w:val="none"/>
                <w:shd w:val="clear" w:color="auto" w:fill="auto"/>
              </w:rPr>
              <w:t>0</w:t>
            </w:r>
            <w:r>
              <w:rPr>
                <w:rFonts w:hint="eastAsia" w:ascii="宋体" w:hAnsi="宋体" w:eastAsia="宋体" w:cs="宋体"/>
                <w:color w:val="auto"/>
                <w:highlight w:val="none"/>
                <w:shd w:val="clear" w:color="auto" w:fill="auto"/>
              </w:rPr>
              <w:t>%，某投标人为小微企业，价格</w:t>
            </w:r>
            <w:r>
              <w:rPr>
                <w:rFonts w:hint="eastAsia" w:ascii="宋体" w:hAnsi="宋体" w:cs="宋体"/>
                <w:color w:val="auto"/>
                <w:highlight w:val="none"/>
                <w:shd w:val="clear" w:color="auto" w:fill="auto"/>
                <w:lang w:val="en-US" w:eastAsia="zh-CN"/>
              </w:rPr>
              <w:t>得</w:t>
            </w:r>
            <w:r>
              <w:rPr>
                <w:rFonts w:hint="eastAsia" w:ascii="宋体" w:hAnsi="宋体" w:eastAsia="宋体" w:cs="宋体"/>
                <w:color w:val="auto"/>
                <w:highlight w:val="none"/>
                <w:shd w:val="clear" w:color="auto" w:fill="auto"/>
              </w:rPr>
              <w:t>分为1</w:t>
            </w:r>
            <w:r>
              <w:rPr>
                <w:rFonts w:hint="default" w:ascii="宋体" w:hAnsi="宋体" w:eastAsia="宋体" w:cs="宋体"/>
                <w:color w:val="auto"/>
                <w:highlight w:val="none"/>
                <w:shd w:val="clear" w:color="auto" w:fill="auto"/>
              </w:rPr>
              <w:t>00</w:t>
            </w:r>
            <w:r>
              <w:rPr>
                <w:rFonts w:hint="eastAsia" w:ascii="宋体" w:hAnsi="宋体" w:eastAsia="宋体" w:cs="宋体"/>
                <w:color w:val="auto"/>
                <w:highlight w:val="none"/>
                <w:shd w:val="clear" w:color="auto" w:fill="auto"/>
              </w:rPr>
              <w:t>分，加权后为7</w:t>
            </w:r>
            <w:r>
              <w:rPr>
                <w:rFonts w:hint="default" w:ascii="宋体" w:hAnsi="宋体" w:eastAsia="宋体" w:cs="宋体"/>
                <w:color w:val="auto"/>
                <w:highlight w:val="none"/>
                <w:shd w:val="clear" w:color="auto" w:fill="auto"/>
              </w:rPr>
              <w:t>0</w:t>
            </w:r>
            <w:r>
              <w:rPr>
                <w:rFonts w:hint="eastAsia" w:ascii="宋体" w:hAnsi="宋体" w:eastAsia="宋体" w:cs="宋体"/>
                <w:color w:val="auto"/>
                <w:highlight w:val="none"/>
                <w:shd w:val="clear" w:color="auto" w:fill="auto"/>
              </w:rPr>
              <w:t>分，则</w:t>
            </w:r>
            <w:r>
              <w:rPr>
                <w:rFonts w:hint="eastAsia" w:ascii="Calibri" w:hAnsi="Calibri" w:eastAsia="宋体" w:cs="宋体"/>
                <w:color w:val="auto"/>
                <w:highlight w:val="none"/>
                <w:shd w:val="clear" w:color="auto" w:fill="auto"/>
              </w:rPr>
              <w:t>报价最后得分</w:t>
            </w:r>
            <w:r>
              <w:rPr>
                <w:rFonts w:hint="eastAsia" w:ascii="宋体" w:hAnsi="宋体" w:eastAsia="宋体" w:cs="宋体"/>
                <w:color w:val="auto"/>
                <w:highlight w:val="none"/>
                <w:shd w:val="clear" w:color="auto" w:fill="auto"/>
              </w:rPr>
              <w:t>应为7</w:t>
            </w:r>
            <w:r>
              <w:rPr>
                <w:rFonts w:hint="default" w:ascii="宋体" w:hAnsi="宋体" w:eastAsia="宋体" w:cs="宋体"/>
                <w:color w:val="auto"/>
                <w:highlight w:val="none"/>
                <w:shd w:val="clear" w:color="auto" w:fill="auto"/>
              </w:rPr>
              <w:t>0*</w:t>
            </w:r>
            <w:r>
              <w:rPr>
                <w:rFonts w:hint="eastAsia" w:ascii="宋体" w:hAnsi="宋体" w:eastAsia="宋体" w:cs="宋体"/>
                <w:color w:val="auto"/>
                <w:highlight w:val="none"/>
                <w:shd w:val="clear" w:color="auto" w:fill="auto"/>
              </w:rPr>
              <w:t>（1</w:t>
            </w:r>
            <w:r>
              <w:rPr>
                <w:rFonts w:hint="default" w:ascii="宋体" w:hAnsi="宋体" w:eastAsia="宋体" w:cs="宋体"/>
                <w:color w:val="auto"/>
                <w:highlight w:val="none"/>
                <w:shd w:val="clear" w:color="auto" w:fill="auto"/>
              </w:rPr>
              <w:t>+3</w:t>
            </w:r>
            <w:r>
              <w:rPr>
                <w:rFonts w:hint="eastAsia" w:ascii="宋体" w:hAnsi="宋体" w:eastAsia="宋体" w:cs="宋体"/>
                <w:color w:val="auto"/>
                <w:highlight w:val="none"/>
                <w:shd w:val="clear" w:color="auto" w:fill="auto"/>
              </w:rPr>
              <w:t>%）=</w:t>
            </w:r>
            <w:r>
              <w:rPr>
                <w:rFonts w:hint="default" w:ascii="宋体" w:hAnsi="宋体" w:eastAsia="宋体" w:cs="宋体"/>
                <w:color w:val="auto"/>
                <w:highlight w:val="none"/>
                <w:shd w:val="clear" w:color="auto" w:fill="auto"/>
              </w:rPr>
              <w:t>72.1</w:t>
            </w:r>
            <w:r>
              <w:rPr>
                <w:rFonts w:hint="eastAsia" w:ascii="宋体" w:hAnsi="宋体" w:eastAsia="宋体" w:cs="宋体"/>
                <w:color w:val="auto"/>
                <w:highlight w:val="none"/>
                <w:shd w:val="clear" w:color="auto" w:fill="auto"/>
              </w:rPr>
              <w:t>分。</w:t>
            </w:r>
          </w:p>
          <w:p w14:paraId="0F811B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Calibri" w:hAnsi="Calibri" w:eastAsia="宋体" w:cs="Times New Roman"/>
                <w:color w:val="auto"/>
                <w:highlight w:val="none"/>
                <w:shd w:val="clear" w:color="auto" w:fill="auto"/>
              </w:rPr>
            </w:pPr>
          </w:p>
        </w:tc>
      </w:tr>
      <w:tr w14:paraId="0946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1090" w:hRule="atLeast"/>
          <w:jc w:val="center"/>
        </w:trPr>
        <w:tc>
          <w:tcPr>
            <w:tcW w:w="780" w:type="dxa"/>
            <w:gridSpan w:val="2"/>
            <w:noWrap w:val="0"/>
            <w:vAlign w:val="center"/>
          </w:tcPr>
          <w:p w14:paraId="25A41F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2.2.2</w:t>
            </w:r>
            <w:r>
              <w:rPr>
                <w:rFonts w:hint="eastAsia" w:ascii="Calibri" w:hAnsi="Calibri" w:cs="Times New Roman"/>
                <w:color w:val="auto"/>
                <w:highlight w:val="none"/>
                <w:shd w:val="clear" w:color="auto" w:fill="auto"/>
                <w:lang w:eastAsia="zh-CN"/>
              </w:rPr>
              <w:t>(</w:t>
            </w:r>
            <w:r>
              <w:rPr>
                <w:rFonts w:hint="eastAsia" w:ascii="Calibri" w:hAnsi="Calibri" w:eastAsia="宋体" w:cs="Times New Roman"/>
                <w:color w:val="auto"/>
                <w:highlight w:val="none"/>
                <w:shd w:val="clear" w:color="auto" w:fill="auto"/>
              </w:rPr>
              <w:t>4</w:t>
            </w:r>
            <w:r>
              <w:rPr>
                <w:rFonts w:hint="eastAsia" w:ascii="Calibri" w:hAnsi="Calibri" w:cs="Times New Roman"/>
                <w:color w:val="auto"/>
                <w:highlight w:val="none"/>
                <w:shd w:val="clear" w:color="auto" w:fill="auto"/>
                <w:lang w:eastAsia="zh-CN"/>
              </w:rPr>
              <w:t>)</w:t>
            </w:r>
          </w:p>
        </w:tc>
        <w:tc>
          <w:tcPr>
            <w:tcW w:w="1382" w:type="dxa"/>
            <w:noWrap w:val="0"/>
            <w:vAlign w:val="center"/>
          </w:tcPr>
          <w:p w14:paraId="7D513D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企业信誉实力分评分标准【分值权重（</w:t>
            </w:r>
            <w:r>
              <w:rPr>
                <w:rFonts w:hint="default" w:ascii="Calibri" w:hAnsi="Calibri" w:eastAsia="宋体" w:cs="宋体"/>
                <w:color w:val="auto"/>
                <w:highlight w:val="none"/>
                <w:shd w:val="clear" w:color="auto" w:fill="auto"/>
              </w:rPr>
              <w:t>2</w:t>
            </w:r>
            <w:r>
              <w:rPr>
                <w:rFonts w:hint="eastAsia" w:ascii="Calibri" w:hAnsi="Calibri" w:eastAsia="宋体" w:cs="宋体"/>
                <w:color w:val="auto"/>
                <w:highlight w:val="none"/>
                <w:shd w:val="clear" w:color="auto" w:fill="auto"/>
              </w:rPr>
              <w:t>0%）】</w:t>
            </w:r>
          </w:p>
          <w:p w14:paraId="189573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Times New Roman"/>
                <w:color w:val="auto"/>
                <w:highlight w:val="none"/>
                <w:shd w:val="clear" w:color="auto" w:fill="auto"/>
              </w:rPr>
            </w:pPr>
          </w:p>
        </w:tc>
        <w:tc>
          <w:tcPr>
            <w:tcW w:w="7860" w:type="dxa"/>
            <w:gridSpan w:val="5"/>
            <w:noWrap w:val="0"/>
            <w:vAlign w:val="center"/>
          </w:tcPr>
          <w:p w14:paraId="3AA2C9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textAlignment w:val="auto"/>
              <w:rPr>
                <w:rFonts w:hint="default" w:ascii="宋体" w:hAnsi="宋体" w:eastAsia="宋体" w:cs="宋体"/>
                <w:b/>
                <w:color w:val="auto"/>
                <w:highlight w:val="none"/>
                <w:shd w:val="clear" w:color="auto" w:fill="auto"/>
                <w:lang w:val="en-US" w:eastAsia="zh-CN"/>
              </w:rPr>
            </w:pP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招标人不应用信用评价结果，评标时各投标人</w:t>
            </w: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诚信综合评价分</w:t>
            </w: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分值均以满分</w:t>
            </w:r>
            <w:r>
              <w:rPr>
                <w:rFonts w:hint="eastAsia" w:ascii="宋体" w:hAnsi="宋体" w:cs="宋体"/>
                <w:b/>
                <w:color w:val="auto"/>
                <w:highlight w:val="none"/>
                <w:shd w:val="clear" w:color="auto" w:fill="auto"/>
                <w:lang w:val="en-US" w:eastAsia="zh-CN"/>
              </w:rPr>
              <w:t>（100分）</w:t>
            </w:r>
            <w:r>
              <w:rPr>
                <w:rFonts w:hint="eastAsia" w:ascii="宋体" w:hAnsi="宋体" w:eastAsia="宋体" w:cs="宋体"/>
                <w:b/>
                <w:color w:val="auto"/>
                <w:highlight w:val="none"/>
                <w:shd w:val="clear" w:color="auto" w:fill="auto"/>
                <w:lang w:val="en-US" w:eastAsia="zh-CN"/>
              </w:rPr>
              <w:t>计</w:t>
            </w:r>
            <w:r>
              <w:rPr>
                <w:rFonts w:hint="eastAsia" w:ascii="宋体" w:hAnsi="宋体" w:cs="宋体"/>
                <w:b/>
                <w:color w:val="auto"/>
                <w:highlight w:val="none"/>
                <w:shd w:val="clear" w:color="auto" w:fill="auto"/>
                <w:lang w:val="en-US" w:eastAsia="zh-CN"/>
              </w:rPr>
              <w:t>，按20%权重计入投标人汇总得分。</w:t>
            </w:r>
          </w:p>
          <w:p w14:paraId="4D9C1C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textAlignment w:val="auto"/>
              <w:rPr>
                <w:rFonts w:hint="eastAsia"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□招标人应用信用评价结果，具体如下：</w:t>
            </w:r>
          </w:p>
          <w:p w14:paraId="375A12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2" w:firstLineChars="200"/>
              <w:textAlignment w:val="auto"/>
              <w:rPr>
                <w:rFonts w:hint="eastAsia" w:ascii="宋体" w:hAnsi="宋体" w:eastAsia="宋体" w:cs="宋体"/>
                <w:b/>
                <w:color w:val="auto"/>
                <w:highlight w:val="none"/>
                <w:shd w:val="clear" w:color="auto" w:fill="auto"/>
              </w:rPr>
            </w:pPr>
            <w:r>
              <w:rPr>
                <w:rFonts w:hint="eastAsia" w:ascii="宋体" w:hAnsi="宋体" w:eastAsia="宋体" w:cs="宋体"/>
                <w:b/>
                <w:color w:val="auto"/>
                <w:highlight w:val="none"/>
                <w:shd w:val="clear" w:color="auto" w:fill="auto"/>
              </w:rPr>
              <w:t>企业信誉实力得分的确定</w:t>
            </w:r>
            <w:r>
              <w:rPr>
                <w:rFonts w:hint="eastAsia" w:ascii="方正楷体_GB2312" w:hAnsi="方正楷体_GB2312" w:eastAsia="方正楷体_GB2312" w:cs="方正楷体_GB2312"/>
                <w:b w:val="0"/>
                <w:bCs w:val="0"/>
                <w:color w:val="auto"/>
                <w:highlight w:val="none"/>
                <w:shd w:val="clear" w:color="auto" w:fill="auto"/>
              </w:rPr>
              <w:t>（</w:t>
            </w:r>
            <w:r>
              <w:rPr>
                <w:rFonts w:hint="eastAsia" w:ascii="方正楷体_GB2312" w:hAnsi="方正楷体_GB2312" w:eastAsia="方正楷体_GB2312" w:cs="方正楷体_GB2312"/>
                <w:b w:val="0"/>
                <w:bCs w:val="0"/>
                <w:color w:val="auto"/>
                <w:highlight w:val="none"/>
                <w:shd w:val="clear" w:color="auto" w:fill="auto"/>
                <w:lang w:eastAsia="zh-CN"/>
              </w:rPr>
              <w:t>备注：</w:t>
            </w:r>
            <w:r>
              <w:rPr>
                <w:rFonts w:hint="eastAsia" w:ascii="方正楷体_GB2312" w:hAnsi="方正楷体_GB2312" w:eastAsia="方正楷体_GB2312" w:cs="方正楷体_GB2312"/>
                <w:b w:val="0"/>
                <w:bCs w:val="0"/>
                <w:color w:val="auto"/>
                <w:highlight w:val="none"/>
                <w:shd w:val="clear" w:color="auto" w:fill="auto"/>
                <w:lang w:val="en-US" w:eastAsia="zh-CN"/>
              </w:rPr>
              <w:t>1.</w:t>
            </w:r>
            <w:r>
              <w:rPr>
                <w:rFonts w:hint="eastAsia" w:ascii="方正楷体_GB2312" w:hAnsi="方正楷体_GB2312" w:eastAsia="方正楷体_GB2312" w:cs="方正楷体_GB2312"/>
                <w:b w:val="0"/>
                <w:i w:val="0"/>
                <w:caps w:val="0"/>
                <w:color w:val="auto"/>
                <w:spacing w:val="0"/>
                <w:sz w:val="21"/>
                <w:szCs w:val="21"/>
                <w:highlight w:val="none"/>
                <w:shd w:val="clear" w:color="auto" w:fill="auto"/>
                <w:lang w:eastAsia="zh-CN"/>
              </w:rPr>
              <w:t>联合体的诚信综合评价分按联合体牵头人的企业诚信综合评价分认定；</w:t>
            </w:r>
            <w:r>
              <w:rPr>
                <w:rFonts w:hint="eastAsia" w:ascii="方正楷体_GB2312" w:hAnsi="方正楷体_GB2312" w:eastAsia="方正楷体_GB2312" w:cs="方正楷体_GB2312"/>
                <w:b w:val="0"/>
                <w:i w:val="0"/>
                <w:caps w:val="0"/>
                <w:color w:val="auto"/>
                <w:spacing w:val="0"/>
                <w:sz w:val="21"/>
                <w:szCs w:val="21"/>
                <w:highlight w:val="none"/>
                <w:shd w:val="clear" w:color="auto" w:fill="auto"/>
                <w:lang w:val="en-US" w:eastAsia="zh-CN"/>
              </w:rPr>
              <w:t>2.</w:t>
            </w:r>
            <w:r>
              <w:rPr>
                <w:rFonts w:hint="eastAsia" w:ascii="方正楷体_GB2312" w:hAnsi="方正楷体_GB2312" w:eastAsia="方正楷体_GB2312" w:cs="方正楷体_GB2312"/>
                <w:b w:val="0"/>
                <w:color w:val="auto"/>
                <w:highlight w:val="none"/>
                <w:u w:val="single"/>
                <w:shd w:val="clear" w:color="auto" w:fill="auto"/>
              </w:rPr>
              <w:t xml:space="preserve">         </w:t>
            </w:r>
            <w:r>
              <w:rPr>
                <w:rFonts w:hint="eastAsia" w:ascii="方正楷体_GB2312" w:hAnsi="方正楷体_GB2312" w:eastAsia="方正楷体_GB2312" w:cs="方正楷体_GB2312"/>
                <w:b w:val="0"/>
                <w:color w:val="auto"/>
                <w:highlight w:val="none"/>
                <w:shd w:val="clear" w:color="auto" w:fill="auto"/>
              </w:rPr>
              <w:t>）：</w:t>
            </w:r>
          </w:p>
          <w:p w14:paraId="36B54A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Times New Roman" w:hAnsi="Times New Roman" w:eastAsia="宋体" w:cs="宋体"/>
                <w:b w:val="0"/>
                <w:color w:val="auto"/>
                <w:highlight w:val="none"/>
                <w:shd w:val="clear" w:color="auto" w:fill="auto"/>
              </w:rPr>
            </w:pPr>
          </w:p>
          <w:p w14:paraId="696970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Times New Roman" w:hAnsi="Times New Roman" w:eastAsia="宋体" w:cs="宋体"/>
                <w:b w:val="0"/>
                <w:color w:val="auto"/>
                <w:highlight w:val="none"/>
                <w:shd w:val="clear" w:color="auto" w:fill="auto"/>
              </w:rPr>
            </w:pPr>
            <w:r>
              <w:rPr>
                <w:rFonts w:hint="eastAsia" w:ascii="Times New Roman" w:hAnsi="Times New Roman" w:eastAsia="宋体" w:cs="宋体"/>
                <w:color w:val="auto"/>
                <w:highlight w:val="none"/>
                <w:shd w:val="clear" w:color="auto" w:fill="auto"/>
              </w:rPr>
              <w:t>企业信誉实力加权得分=根据实时公布的</w:t>
            </w:r>
            <w:r>
              <w:rPr>
                <w:rFonts w:hint="eastAsia" w:ascii="Times New Roman" w:hAnsi="Times New Roman" w:eastAsia="宋体" w:cs="宋体"/>
                <w:b w:val="0"/>
                <w:color w:val="auto"/>
                <w:highlight w:val="none"/>
                <w:shd w:val="clear" w:color="auto" w:fill="auto"/>
              </w:rPr>
              <w:t>自治区级</w:t>
            </w:r>
            <w:r>
              <w:rPr>
                <w:rFonts w:hint="eastAsia" w:ascii="Times New Roman" w:hAnsi="Times New Roman" w:eastAsia="宋体" w:cs="宋体"/>
                <w:color w:val="auto"/>
                <w:highlight w:val="none"/>
                <w:shd w:val="clear" w:color="auto" w:fill="auto"/>
              </w:rPr>
              <w:t>诚信综合评价分（百分制）×</w:t>
            </w:r>
            <w:r>
              <w:rPr>
                <w:rFonts w:hint="eastAsia" w:ascii="Times New Roman" w:hAnsi="Times New Roman" w:eastAsia="宋体" w:cs="宋体"/>
                <w:color w:val="auto"/>
                <w:highlight w:val="none"/>
                <w:u w:val="single"/>
                <w:shd w:val="clear" w:color="auto" w:fill="auto"/>
              </w:rPr>
              <w:t xml:space="preserve">    </w:t>
            </w:r>
            <w:r>
              <w:rPr>
                <w:rFonts w:hint="eastAsia" w:ascii="Times New Roman" w:hAnsi="Times New Roman" w:eastAsia="宋体" w:cs="宋体"/>
                <w:color w:val="auto"/>
                <w:highlight w:val="none"/>
                <w:u w:val="none"/>
                <w:shd w:val="clear" w:color="auto" w:fill="auto"/>
              </w:rPr>
              <w:t>%</w:t>
            </w:r>
            <w:r>
              <w:rPr>
                <w:rFonts w:hint="eastAsia" w:ascii="Times New Roman" w:hAnsi="Times New Roman" w:eastAsia="宋体" w:cs="宋体"/>
                <w:color w:val="auto"/>
                <w:highlight w:val="none"/>
                <w:shd w:val="clear" w:color="auto" w:fill="auto"/>
              </w:rPr>
              <w:t>（</w:t>
            </w:r>
            <w:r>
              <w:rPr>
                <w:rFonts w:hint="eastAsia" w:ascii="Times New Roman" w:hAnsi="Times New Roman" w:eastAsia="宋体" w:cs="宋体"/>
                <w:color w:val="auto"/>
                <w:highlight w:val="none"/>
                <w:shd w:val="clear" w:color="auto" w:fill="auto"/>
                <w:lang w:eastAsia="zh-CN"/>
              </w:rPr>
              <w:t>最高投标限价</w:t>
            </w:r>
            <w:r>
              <w:rPr>
                <w:rFonts w:hint="eastAsia" w:ascii="Times New Roman" w:hAnsi="Times New Roman" w:eastAsia="宋体" w:cs="宋体"/>
                <w:color w:val="auto"/>
                <w:highlight w:val="none"/>
                <w:shd w:val="clear" w:color="auto" w:fill="auto"/>
              </w:rPr>
              <w:t>1亿元以上取</w:t>
            </w:r>
            <w:r>
              <w:rPr>
                <w:rFonts w:hint="eastAsia" w:ascii="Times New Roman" w:hAnsi="Times New Roman" w:eastAsia="宋体" w:cs="宋体"/>
                <w:color w:val="auto"/>
                <w:highlight w:val="none"/>
                <w:u w:val="single"/>
                <w:shd w:val="clear" w:color="auto" w:fill="auto"/>
              </w:rPr>
              <w:t>50%-100%</w:t>
            </w:r>
            <w:r>
              <w:rPr>
                <w:rFonts w:hint="eastAsia" w:ascii="Times New Roman" w:hAnsi="Times New Roman" w:eastAsia="宋体" w:cs="宋体"/>
                <w:color w:val="auto"/>
                <w:highlight w:val="none"/>
                <w:shd w:val="clear" w:color="auto" w:fill="auto"/>
              </w:rPr>
              <w:t>，1亿元以下取</w:t>
            </w:r>
            <w:r>
              <w:rPr>
                <w:rFonts w:hint="eastAsia" w:cs="宋体"/>
                <w:color w:val="auto"/>
                <w:highlight w:val="none"/>
                <w:u w:val="single"/>
                <w:shd w:val="clear" w:color="auto" w:fill="auto"/>
                <w:lang w:val="en-US" w:eastAsia="zh-CN"/>
              </w:rPr>
              <w:t>4</w:t>
            </w:r>
            <w:r>
              <w:rPr>
                <w:rFonts w:hint="eastAsia" w:ascii="Times New Roman" w:hAnsi="Times New Roman" w:eastAsia="宋体" w:cs="宋体"/>
                <w:color w:val="auto"/>
                <w:highlight w:val="none"/>
                <w:u w:val="single"/>
                <w:shd w:val="clear" w:color="auto" w:fill="auto"/>
              </w:rPr>
              <w:t>0%-100%</w:t>
            </w:r>
            <w:r>
              <w:rPr>
                <w:rFonts w:hint="eastAsia" w:ascii="Times New Roman" w:hAnsi="Times New Roman" w:eastAsia="宋体" w:cs="宋体"/>
                <w:color w:val="auto"/>
                <w:highlight w:val="none"/>
                <w:shd w:val="clear" w:color="auto" w:fill="auto"/>
              </w:rPr>
              <w:t>）×企业信誉实力分分值权重（20%）+根据实时公布的</w:t>
            </w:r>
            <w:r>
              <w:rPr>
                <w:rFonts w:hint="eastAsia" w:ascii="Times New Roman" w:hAnsi="Times New Roman" w:eastAsia="宋体" w:cs="宋体"/>
                <w:b w:val="0"/>
                <w:color w:val="auto"/>
                <w:highlight w:val="none"/>
                <w:shd w:val="clear" w:color="auto" w:fill="auto"/>
              </w:rPr>
              <w:t>设区市级</w:t>
            </w:r>
            <w:r>
              <w:rPr>
                <w:rFonts w:hint="eastAsia" w:ascii="Times New Roman" w:hAnsi="Times New Roman" w:eastAsia="宋体" w:cs="宋体"/>
                <w:color w:val="auto"/>
                <w:highlight w:val="none"/>
                <w:shd w:val="clear" w:color="auto" w:fill="auto"/>
              </w:rPr>
              <w:t>诚信综合评价分（百分制）×</w:t>
            </w:r>
            <w:r>
              <w:rPr>
                <w:rFonts w:hint="eastAsia" w:ascii="Times New Roman" w:hAnsi="Times New Roman" w:eastAsia="宋体" w:cs="宋体"/>
                <w:color w:val="auto"/>
                <w:highlight w:val="none"/>
                <w:u w:val="single"/>
                <w:shd w:val="clear" w:color="auto" w:fill="auto"/>
              </w:rPr>
              <w:t xml:space="preserve">    </w:t>
            </w:r>
            <w:r>
              <w:rPr>
                <w:rFonts w:hint="eastAsia" w:ascii="Times New Roman" w:hAnsi="Times New Roman" w:eastAsia="宋体" w:cs="宋体"/>
                <w:color w:val="auto"/>
                <w:highlight w:val="none"/>
                <w:u w:val="none"/>
                <w:shd w:val="clear" w:color="auto" w:fill="auto"/>
              </w:rPr>
              <w:t>%</w:t>
            </w:r>
            <w:r>
              <w:rPr>
                <w:rFonts w:hint="eastAsia" w:ascii="Times New Roman" w:hAnsi="Times New Roman" w:eastAsia="宋体" w:cs="宋体"/>
                <w:color w:val="auto"/>
                <w:highlight w:val="none"/>
                <w:shd w:val="clear" w:color="auto" w:fill="auto"/>
              </w:rPr>
              <w:t>（</w:t>
            </w:r>
            <w:r>
              <w:rPr>
                <w:rFonts w:hint="eastAsia" w:ascii="Times New Roman" w:hAnsi="Times New Roman" w:eastAsia="宋体" w:cs="宋体"/>
                <w:color w:val="auto"/>
                <w:highlight w:val="none"/>
                <w:shd w:val="clear" w:color="auto" w:fill="auto"/>
                <w:lang w:eastAsia="zh-CN"/>
              </w:rPr>
              <w:t>最高投标限价</w:t>
            </w:r>
            <w:r>
              <w:rPr>
                <w:rFonts w:hint="eastAsia" w:ascii="Times New Roman" w:hAnsi="Times New Roman" w:eastAsia="宋体" w:cs="宋体"/>
                <w:color w:val="auto"/>
                <w:highlight w:val="none"/>
                <w:shd w:val="clear" w:color="auto" w:fill="auto"/>
              </w:rPr>
              <w:t>1亿元以上取</w:t>
            </w:r>
            <w:r>
              <w:rPr>
                <w:rFonts w:hint="eastAsia" w:ascii="Times New Roman" w:hAnsi="Times New Roman" w:eastAsia="宋体" w:cs="宋体"/>
                <w:color w:val="auto"/>
                <w:highlight w:val="none"/>
                <w:u w:val="single"/>
                <w:shd w:val="clear" w:color="auto" w:fill="auto"/>
              </w:rPr>
              <w:t>50%-0%</w:t>
            </w:r>
            <w:r>
              <w:rPr>
                <w:rFonts w:hint="eastAsia" w:ascii="Times New Roman" w:hAnsi="Times New Roman" w:eastAsia="宋体" w:cs="宋体"/>
                <w:color w:val="auto"/>
                <w:highlight w:val="none"/>
                <w:shd w:val="clear" w:color="auto" w:fill="auto"/>
              </w:rPr>
              <w:t>，1亿元以下取</w:t>
            </w:r>
            <w:r>
              <w:rPr>
                <w:rFonts w:hint="eastAsia" w:cs="宋体"/>
                <w:color w:val="auto"/>
                <w:highlight w:val="none"/>
                <w:u w:val="single"/>
                <w:shd w:val="clear" w:color="auto" w:fill="auto"/>
                <w:lang w:val="en-US" w:eastAsia="zh-CN"/>
              </w:rPr>
              <w:t>6</w:t>
            </w:r>
            <w:r>
              <w:rPr>
                <w:rFonts w:hint="eastAsia" w:ascii="Times New Roman" w:hAnsi="Times New Roman" w:eastAsia="宋体" w:cs="宋体"/>
                <w:color w:val="auto"/>
                <w:highlight w:val="none"/>
                <w:u w:val="single"/>
                <w:shd w:val="clear" w:color="auto" w:fill="auto"/>
              </w:rPr>
              <w:t>0%-0%</w:t>
            </w:r>
            <w:r>
              <w:rPr>
                <w:rFonts w:hint="eastAsia" w:ascii="Times New Roman" w:hAnsi="Times New Roman" w:eastAsia="宋体" w:cs="宋体"/>
                <w:color w:val="auto"/>
                <w:highlight w:val="none"/>
                <w:shd w:val="clear" w:color="auto" w:fill="auto"/>
              </w:rPr>
              <w:t>）×企业信誉实力分分值权重（20%）</w:t>
            </w:r>
          </w:p>
          <w:p w14:paraId="22333A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方正楷体_GB2312" w:hAnsi="方正楷体_GB2312" w:eastAsia="方正楷体_GB2312" w:cs="方正楷体_GB2312"/>
                <w:b w:val="0"/>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rPr>
              <w:t>【备注：自治区级诚信综合评价分占比与设区市级诚信综合评价分占比之和为100%，具体权重由各设区市在</w:t>
            </w:r>
            <w:r>
              <w:rPr>
                <w:rFonts w:hint="eastAsia" w:ascii="方正楷体_GB2312" w:hAnsi="方正楷体_GB2312" w:eastAsia="方正楷体_GB2312" w:cs="方正楷体_GB2312"/>
                <w:color w:val="auto"/>
                <w:highlight w:val="none"/>
                <w:shd w:val="clear" w:color="auto" w:fill="auto"/>
                <w:lang w:eastAsia="zh-CN"/>
              </w:rPr>
              <w:t>规定</w:t>
            </w:r>
            <w:r>
              <w:rPr>
                <w:rFonts w:hint="eastAsia" w:ascii="方正楷体_GB2312" w:hAnsi="方正楷体_GB2312" w:eastAsia="方正楷体_GB2312" w:cs="方正楷体_GB2312"/>
                <w:color w:val="auto"/>
                <w:highlight w:val="none"/>
                <w:shd w:val="clear" w:color="auto" w:fill="auto"/>
              </w:rPr>
              <w:t>比例范围内自行</w:t>
            </w:r>
            <w:r>
              <w:rPr>
                <w:rFonts w:hint="eastAsia" w:ascii="方正楷体_GB2312" w:hAnsi="方正楷体_GB2312" w:eastAsia="方正楷体_GB2312" w:cs="方正楷体_GB2312"/>
                <w:color w:val="auto"/>
                <w:highlight w:val="none"/>
                <w:shd w:val="clear" w:color="auto" w:fill="auto"/>
                <w:lang w:eastAsia="zh-CN"/>
              </w:rPr>
              <w:t>确</w:t>
            </w:r>
            <w:r>
              <w:rPr>
                <w:rFonts w:hint="eastAsia" w:ascii="方正楷体_GB2312" w:hAnsi="方正楷体_GB2312" w:eastAsia="方正楷体_GB2312" w:cs="方正楷体_GB2312"/>
                <w:color w:val="auto"/>
                <w:highlight w:val="none"/>
                <w:shd w:val="clear" w:color="auto" w:fill="auto"/>
              </w:rPr>
              <w:t>定，</w:t>
            </w:r>
            <w:r>
              <w:rPr>
                <w:rFonts w:hint="eastAsia" w:ascii="方正楷体_GB2312" w:hAnsi="方正楷体_GB2312" w:eastAsia="方正楷体_GB2312" w:cs="方正楷体_GB2312"/>
                <w:color w:val="auto"/>
                <w:highlight w:val="none"/>
                <w:shd w:val="clear" w:color="auto" w:fill="auto"/>
                <w:lang w:eastAsia="zh-CN"/>
              </w:rPr>
              <w:t>招标代理</w:t>
            </w:r>
            <w:r>
              <w:rPr>
                <w:rFonts w:hint="eastAsia" w:ascii="方正楷体_GB2312" w:hAnsi="方正楷体_GB2312" w:eastAsia="方正楷体_GB2312" w:cs="方正楷体_GB2312"/>
                <w:color w:val="auto"/>
                <w:highlight w:val="none"/>
                <w:shd w:val="clear" w:color="auto" w:fill="auto"/>
              </w:rPr>
              <w:t>在发出招标文件前把确定后的比例填入招标文件内】</w:t>
            </w:r>
          </w:p>
          <w:p w14:paraId="0914E4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eastAsia" w:ascii="Calibri" w:hAnsi="Calibri" w:eastAsia="宋体" w:cs="Times New Roman"/>
                <w:color w:val="auto"/>
                <w:highlight w:val="none"/>
                <w:shd w:val="clear" w:color="auto" w:fill="auto"/>
              </w:rPr>
            </w:pPr>
            <w:r>
              <w:rPr>
                <w:rFonts w:hint="eastAsia" w:ascii="Times New Roman" w:hAnsi="Times New Roman" w:eastAsia="宋体" w:cs="宋体"/>
                <w:color w:val="auto"/>
                <w:highlight w:val="none"/>
                <w:shd w:val="clear" w:color="auto" w:fill="auto"/>
              </w:rPr>
              <w:t>注：自治区级诚信综合评价分由评委在</w:t>
            </w:r>
            <w:r>
              <w:rPr>
                <w:rFonts w:hint="eastAsia" w:cs="宋体"/>
                <w:color w:val="auto"/>
                <w:highlight w:val="none"/>
                <w:shd w:val="clear" w:color="auto" w:fill="auto"/>
                <w:lang w:eastAsia="zh-CN"/>
              </w:rPr>
              <w:t>“</w:t>
            </w:r>
            <w:r>
              <w:rPr>
                <w:rFonts w:hint="default" w:ascii="Times New Roman" w:hAnsi="Times New Roman" w:eastAsia="宋体" w:cs="宋体"/>
                <w:color w:val="auto"/>
                <w:highlight w:val="none"/>
                <w:shd w:val="clear" w:color="auto" w:fill="auto"/>
              </w:rPr>
              <w:t>桂建云</w:t>
            </w:r>
            <w:r>
              <w:rPr>
                <w:rFonts w:hint="eastAsia" w:cs="宋体"/>
                <w:color w:val="auto"/>
                <w:highlight w:val="none"/>
                <w:shd w:val="clear" w:color="auto" w:fill="auto"/>
                <w:lang w:eastAsia="zh-CN"/>
              </w:rPr>
              <w:t>”</w:t>
            </w:r>
            <w:r>
              <w:rPr>
                <w:rFonts w:hint="eastAsia" w:ascii="Times New Roman" w:hAnsi="Times New Roman" w:eastAsia="宋体" w:cs="宋体"/>
                <w:color w:val="auto"/>
                <w:highlight w:val="none"/>
                <w:shd w:val="clear" w:color="auto" w:fill="auto"/>
              </w:rPr>
              <w:t>平台信息发布的诚信评分公示栏目中查询。 设区市级诚信综合评价分</w:t>
            </w:r>
            <w:r>
              <w:rPr>
                <w:rFonts w:hint="eastAsia" w:cs="宋体"/>
                <w:color w:val="auto"/>
                <w:highlight w:val="none"/>
                <w:shd w:val="clear" w:color="auto" w:fill="auto"/>
                <w:lang w:val="en-US" w:eastAsia="zh-CN"/>
              </w:rPr>
              <w:t>在</w:t>
            </w:r>
            <w:r>
              <w:rPr>
                <w:rFonts w:hint="eastAsia" w:ascii="宋体" w:hAnsi="宋体" w:cs="宋体"/>
                <w:color w:val="auto"/>
                <w:kern w:val="0"/>
                <w:highlight w:val="none"/>
                <w:shd w:val="clear" w:color="auto" w:fill="auto"/>
                <w:lang w:val="en-US" w:eastAsia="zh-CN"/>
              </w:rPr>
              <w:t>（</w:t>
            </w:r>
            <w:r>
              <w:rPr>
                <w:rFonts w:hint="eastAsia" w:ascii="方正楷体_GB2312" w:hAnsi="方正楷体_GB2312" w:eastAsia="方正楷体_GB2312" w:cs="方正楷体_GB2312"/>
                <w:color w:val="auto"/>
                <w:kern w:val="0"/>
                <w:highlight w:val="none"/>
                <w:u w:val="single"/>
                <w:shd w:val="clear" w:color="auto" w:fill="auto"/>
                <w:lang w:val="en-US" w:eastAsia="zh-CN"/>
              </w:rPr>
              <w:t>各市查询地址</w:t>
            </w:r>
            <w:r>
              <w:rPr>
                <w:rFonts w:hint="eastAsia" w:ascii="宋体" w:hAnsi="宋体" w:cs="宋体"/>
                <w:color w:val="auto"/>
                <w:kern w:val="0"/>
                <w:highlight w:val="none"/>
                <w:u w:val="single"/>
                <w:shd w:val="clear" w:color="auto" w:fill="auto"/>
                <w:lang w:val="en-US" w:eastAsia="zh-CN"/>
              </w:rPr>
              <w:t>）</w:t>
            </w:r>
            <w:r>
              <w:rPr>
                <w:rFonts w:hint="eastAsia" w:cs="宋体"/>
                <w:color w:val="auto"/>
                <w:highlight w:val="none"/>
                <w:u w:val="none"/>
                <w:shd w:val="clear" w:color="auto" w:fill="auto"/>
                <w:lang w:val="en-US" w:eastAsia="zh-CN"/>
              </w:rPr>
              <w:t>查询</w:t>
            </w:r>
            <w:r>
              <w:rPr>
                <w:rFonts w:hint="eastAsia" w:ascii="Times New Roman" w:hAnsi="Times New Roman" w:eastAsia="宋体" w:cs="宋体"/>
                <w:color w:val="auto"/>
                <w:highlight w:val="none"/>
                <w:shd w:val="clear" w:color="auto" w:fill="auto"/>
              </w:rPr>
              <w:t>。</w:t>
            </w:r>
          </w:p>
        </w:tc>
      </w:tr>
      <w:tr w14:paraId="5973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211" w:hRule="atLeast"/>
          <w:jc w:val="center"/>
        </w:trPr>
        <w:tc>
          <w:tcPr>
            <w:tcW w:w="2162" w:type="dxa"/>
            <w:gridSpan w:val="3"/>
            <w:noWrap w:val="0"/>
            <w:vAlign w:val="center"/>
          </w:tcPr>
          <w:p w14:paraId="624A93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投标人汇总得分</w:t>
            </w:r>
          </w:p>
          <w:p w14:paraId="08CCCD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（满分100分）</w:t>
            </w:r>
          </w:p>
        </w:tc>
        <w:tc>
          <w:tcPr>
            <w:tcW w:w="7860" w:type="dxa"/>
            <w:gridSpan w:val="5"/>
            <w:noWrap w:val="0"/>
            <w:vAlign w:val="center"/>
          </w:tcPr>
          <w:p w14:paraId="1C512F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报价最后得分=报价分加权得分+小微企业或残疾人或监狱企业加分（如有）</w:t>
            </w:r>
          </w:p>
          <w:p w14:paraId="61DCED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Calibri" w:hAnsi="Calibri" w:eastAsia="宋体" w:cs="宋体"/>
                <w:color w:val="auto"/>
                <w:highlight w:val="none"/>
                <w:shd w:val="clear" w:color="auto" w:fill="auto"/>
              </w:rPr>
            </w:pPr>
            <w:r>
              <w:rPr>
                <w:rFonts w:hint="eastAsia" w:ascii="Calibri" w:hAnsi="Calibri" w:eastAsia="宋体" w:cs="宋体"/>
                <w:color w:val="auto"/>
                <w:highlight w:val="none"/>
                <w:shd w:val="clear" w:color="auto" w:fill="auto"/>
              </w:rPr>
              <w:t>商务标得分= 报价</w:t>
            </w:r>
            <w:r>
              <w:rPr>
                <w:rFonts w:hint="eastAsia" w:ascii="Calibri" w:hAnsi="Calibri" w:cs="宋体"/>
                <w:color w:val="auto"/>
                <w:highlight w:val="none"/>
                <w:shd w:val="clear" w:color="auto" w:fill="auto"/>
                <w:lang w:val="en-US" w:eastAsia="zh-CN"/>
              </w:rPr>
              <w:t>最后</w:t>
            </w:r>
            <w:r>
              <w:rPr>
                <w:rFonts w:hint="eastAsia" w:ascii="Calibri" w:hAnsi="Calibri" w:eastAsia="宋体" w:cs="宋体"/>
                <w:color w:val="auto"/>
                <w:highlight w:val="none"/>
                <w:shd w:val="clear" w:color="auto" w:fill="auto"/>
              </w:rPr>
              <w:t>得分+ 企业信誉实力加权得分</w:t>
            </w:r>
          </w:p>
          <w:p w14:paraId="08192B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投标人汇总得分</w:t>
            </w:r>
            <w:r>
              <w:rPr>
                <w:rFonts w:hint="default" w:ascii="Calibri" w:hAnsi="Calibri" w:eastAsia="宋体" w:cs="Times New Roman"/>
                <w:color w:val="auto"/>
                <w:highlight w:val="none"/>
                <w:shd w:val="clear" w:color="auto" w:fill="auto"/>
              </w:rPr>
              <w:t>=</w:t>
            </w:r>
            <w:r>
              <w:rPr>
                <w:rFonts w:hint="eastAsia" w:ascii="Calibri" w:hAnsi="Calibri" w:eastAsia="宋体" w:cs="宋体"/>
                <w:color w:val="auto"/>
                <w:highlight w:val="none"/>
                <w:shd w:val="clear" w:color="auto" w:fill="auto"/>
              </w:rPr>
              <w:t xml:space="preserve"> 技术标加权得分 </w:t>
            </w:r>
            <w:r>
              <w:rPr>
                <w:rFonts w:hint="default" w:ascii="Calibri" w:hAnsi="Calibri" w:eastAsia="宋体" w:cs="Times New Roman"/>
                <w:color w:val="auto"/>
                <w:highlight w:val="none"/>
                <w:shd w:val="clear" w:color="auto" w:fill="auto"/>
              </w:rPr>
              <w:t>+</w:t>
            </w:r>
            <w:r>
              <w:rPr>
                <w:rFonts w:hint="eastAsia" w:ascii="Calibri" w:hAnsi="Calibri" w:eastAsia="宋体" w:cs="Times New Roman"/>
                <w:color w:val="auto"/>
                <w:highlight w:val="none"/>
                <w:shd w:val="clear" w:color="auto" w:fill="auto"/>
              </w:rPr>
              <w:t xml:space="preserve"> </w:t>
            </w:r>
            <w:r>
              <w:rPr>
                <w:rFonts w:hint="eastAsia" w:ascii="Calibri" w:hAnsi="Calibri" w:eastAsia="宋体" w:cs="宋体"/>
                <w:color w:val="auto"/>
                <w:highlight w:val="none"/>
                <w:shd w:val="clear" w:color="auto" w:fill="auto"/>
              </w:rPr>
              <w:t>商务标得分</w:t>
            </w:r>
          </w:p>
        </w:tc>
      </w:tr>
      <w:tr w14:paraId="6A54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211" w:hRule="atLeast"/>
          <w:jc w:val="center"/>
        </w:trPr>
        <w:tc>
          <w:tcPr>
            <w:tcW w:w="771" w:type="dxa"/>
            <w:noWrap w:val="0"/>
            <w:vAlign w:val="center"/>
          </w:tcPr>
          <w:p w14:paraId="59B372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3</w:t>
            </w:r>
          </w:p>
        </w:tc>
        <w:tc>
          <w:tcPr>
            <w:tcW w:w="1391" w:type="dxa"/>
            <w:gridSpan w:val="2"/>
            <w:noWrap w:val="0"/>
            <w:vAlign w:val="center"/>
          </w:tcPr>
          <w:p w14:paraId="71211D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评标程序</w:t>
            </w:r>
          </w:p>
        </w:tc>
        <w:tc>
          <w:tcPr>
            <w:tcW w:w="7860" w:type="dxa"/>
            <w:gridSpan w:val="5"/>
            <w:noWrap w:val="0"/>
            <w:vAlign w:val="center"/>
          </w:tcPr>
          <w:p w14:paraId="613B3F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详见本章附件</w:t>
            </w:r>
            <w:r>
              <w:rPr>
                <w:rFonts w:hint="default" w:ascii="Calibri" w:hAnsi="Calibri" w:eastAsia="宋体" w:cs="Times New Roman"/>
                <w:color w:val="auto"/>
                <w:highlight w:val="none"/>
                <w:shd w:val="clear" w:color="auto" w:fill="auto"/>
              </w:rPr>
              <w:t>A</w:t>
            </w:r>
            <w:r>
              <w:rPr>
                <w:rFonts w:hint="eastAsia" w:ascii="Calibri" w:hAnsi="Calibri" w:eastAsia="宋体" w:cs="宋体"/>
                <w:color w:val="auto"/>
                <w:highlight w:val="none"/>
                <w:shd w:val="clear" w:color="auto" w:fill="auto"/>
              </w:rPr>
              <w:t>：评标详细程序</w:t>
            </w:r>
          </w:p>
        </w:tc>
      </w:tr>
      <w:tr w14:paraId="69C5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Height w:val="507" w:hRule="atLeast"/>
          <w:jc w:val="center"/>
        </w:trPr>
        <w:tc>
          <w:tcPr>
            <w:tcW w:w="771" w:type="dxa"/>
            <w:noWrap w:val="0"/>
            <w:vAlign w:val="center"/>
          </w:tcPr>
          <w:p w14:paraId="5D8C0E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default" w:ascii="Calibri" w:hAnsi="Calibri" w:eastAsia="宋体" w:cs="Times New Roman"/>
                <w:color w:val="auto"/>
                <w:highlight w:val="none"/>
                <w:shd w:val="clear" w:color="auto" w:fill="auto"/>
              </w:rPr>
              <w:t>3.1.2</w:t>
            </w:r>
          </w:p>
        </w:tc>
        <w:tc>
          <w:tcPr>
            <w:tcW w:w="1391" w:type="dxa"/>
            <w:gridSpan w:val="2"/>
            <w:noWrap w:val="0"/>
            <w:vAlign w:val="center"/>
          </w:tcPr>
          <w:p w14:paraId="553377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否决投标条件</w:t>
            </w:r>
          </w:p>
        </w:tc>
        <w:tc>
          <w:tcPr>
            <w:tcW w:w="7860" w:type="dxa"/>
            <w:gridSpan w:val="5"/>
            <w:noWrap w:val="0"/>
            <w:vAlign w:val="center"/>
          </w:tcPr>
          <w:p w14:paraId="6F1860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Calibri" w:hAnsi="Calibri"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详见本章附件</w:t>
            </w:r>
            <w:r>
              <w:rPr>
                <w:rFonts w:hint="default" w:ascii="Calibri" w:hAnsi="Calibri" w:eastAsia="宋体" w:cs="Times New Roman"/>
                <w:color w:val="auto"/>
                <w:highlight w:val="none"/>
                <w:shd w:val="clear" w:color="auto" w:fill="auto"/>
              </w:rPr>
              <w:t>B</w:t>
            </w:r>
            <w:r>
              <w:rPr>
                <w:rFonts w:hint="eastAsia" w:ascii="Calibri" w:hAnsi="Calibri" w:eastAsia="宋体" w:cs="宋体"/>
                <w:color w:val="auto"/>
                <w:highlight w:val="none"/>
                <w:shd w:val="clear" w:color="auto" w:fill="auto"/>
              </w:rPr>
              <w:t>：否决投标条件</w:t>
            </w:r>
          </w:p>
        </w:tc>
      </w:tr>
    </w:tbl>
    <w:p w14:paraId="428154C4">
      <w:pPr>
        <w:spacing w:line="360" w:lineRule="auto"/>
        <w:rPr>
          <w:color w:val="auto"/>
          <w:highlight w:val="none"/>
        </w:rPr>
      </w:pPr>
      <w:r>
        <w:rPr>
          <w:rFonts w:hint="eastAsia" w:cs="宋体"/>
          <w:color w:val="auto"/>
          <w:highlight w:val="none"/>
        </w:rPr>
        <w:t>备注：</w:t>
      </w:r>
    </w:p>
    <w:p w14:paraId="3B6C0235">
      <w:pPr>
        <w:spacing w:line="360" w:lineRule="auto"/>
        <w:ind w:firstLine="437"/>
        <w:rPr>
          <w:rFonts w:hint="eastAsia" w:ascii="方正楷体_GB2312" w:hAnsi="方正楷体_GB2312" w:eastAsia="方正楷体_GB2312" w:cs="方正楷体_GB2312"/>
          <w:color w:val="auto"/>
          <w:highlight w:val="none"/>
          <w:u w:val="single"/>
        </w:rPr>
      </w:pPr>
      <w:r>
        <w:rPr>
          <w:rFonts w:hint="eastAsia" w:ascii="方正楷体_GB2312" w:hAnsi="方正楷体_GB2312" w:eastAsia="方正楷体_GB2312" w:cs="方正楷体_GB2312"/>
          <w:color w:val="auto"/>
          <w:highlight w:val="none"/>
        </w:rPr>
        <w:t>1. 招标项目所需企业资质等级已是最低级别的，不应设置业绩要求。招标公告没有提出类似工程业绩要求的，资格评审时如果采用合格制，不得设置类似工程业绩要求；如果采用有限数量制，可以设置类似工程业绩要求。</w:t>
      </w:r>
    </w:p>
    <w:p w14:paraId="2D66D23B">
      <w:pPr>
        <w:spacing w:line="360" w:lineRule="auto"/>
        <w:ind w:firstLine="437"/>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 招标公告提出类似工程业绩要求的，资格评审时必须设置类似工程业绩要求，考核期同</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投标人须知前附表</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3.1.4条，类似工程</w:t>
      </w:r>
      <w:r>
        <w:rPr>
          <w:rFonts w:hint="eastAsia" w:ascii="方正楷体_GB2312" w:hAnsi="方正楷体_GB2312" w:eastAsia="方正楷体_GB2312" w:cs="方正楷体_GB2312"/>
          <w:color w:val="auto"/>
          <w:highlight w:val="none"/>
          <w:lang w:val="en-US" w:eastAsia="zh-CN"/>
        </w:rPr>
        <w:t>定义与</w:t>
      </w:r>
      <w:r>
        <w:rPr>
          <w:rFonts w:hint="eastAsia" w:ascii="方正楷体_GB2312" w:hAnsi="方正楷体_GB2312" w:eastAsia="方正楷体_GB2312" w:cs="方正楷体_GB2312"/>
          <w:color w:val="auto"/>
          <w:highlight w:val="none"/>
        </w:rPr>
        <w:t>招标公告</w:t>
      </w:r>
      <w:r>
        <w:rPr>
          <w:rFonts w:hint="eastAsia" w:ascii="方正楷体_GB2312" w:hAnsi="方正楷体_GB2312" w:eastAsia="方正楷体_GB2312" w:cs="方正楷体_GB2312"/>
          <w:color w:val="auto"/>
          <w:highlight w:val="none"/>
          <w:lang w:val="en-US" w:eastAsia="zh-CN"/>
        </w:rPr>
        <w:t>一致</w:t>
      </w:r>
      <w:r>
        <w:rPr>
          <w:rFonts w:hint="eastAsia" w:ascii="方正楷体_GB2312" w:hAnsi="方正楷体_GB2312" w:eastAsia="方正楷体_GB2312" w:cs="方正楷体_GB2312"/>
          <w:color w:val="auto"/>
          <w:highlight w:val="none"/>
        </w:rPr>
        <w:t>。</w:t>
      </w:r>
    </w:p>
    <w:p w14:paraId="568D4949">
      <w:pPr>
        <w:spacing w:line="360" w:lineRule="auto"/>
        <w:ind w:firstLine="437"/>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3. 人员资格岗位、职称、业绩等信息评分需以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录入的为准，否则在评审时不予承认。</w:t>
      </w:r>
    </w:p>
    <w:p w14:paraId="4AA5E6FB">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 xml:space="preserve">4. </w:t>
      </w:r>
      <w:r>
        <w:rPr>
          <w:rFonts w:hint="eastAsia" w:ascii="方正楷体_GB2312" w:hAnsi="方正楷体_GB2312" w:eastAsia="方正楷体_GB2312" w:cs="方正楷体_GB2312"/>
          <w:color w:val="auto"/>
          <w:highlight w:val="none"/>
          <w:lang w:eastAsia="zh-CN"/>
        </w:rPr>
        <w:t>自治区级</w:t>
      </w:r>
      <w:r>
        <w:rPr>
          <w:rFonts w:hint="eastAsia" w:ascii="方正楷体_GB2312" w:hAnsi="方正楷体_GB2312" w:eastAsia="方正楷体_GB2312" w:cs="方正楷体_GB2312"/>
          <w:color w:val="auto"/>
          <w:highlight w:val="none"/>
        </w:rPr>
        <w:t>企业信誉实力</w:t>
      </w:r>
      <w:r>
        <w:rPr>
          <w:rFonts w:hint="eastAsia" w:ascii="方正楷体_GB2312" w:hAnsi="方正楷体_GB2312" w:eastAsia="方正楷体_GB2312" w:cs="方正楷体_GB2312"/>
          <w:color w:val="auto"/>
          <w:highlight w:val="none"/>
          <w:lang w:eastAsia="zh-CN"/>
        </w:rPr>
        <w:t>诚信综合评价分</w:t>
      </w:r>
      <w:r>
        <w:rPr>
          <w:rFonts w:hint="eastAsia" w:ascii="方正楷体_GB2312" w:hAnsi="方正楷体_GB2312" w:eastAsia="方正楷体_GB2312" w:cs="方正楷体_GB2312"/>
          <w:color w:val="auto"/>
          <w:highlight w:val="none"/>
        </w:rPr>
        <w:t>从</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系统计取</w:t>
      </w:r>
      <w:r>
        <w:rPr>
          <w:rFonts w:hint="eastAsia" w:ascii="方正楷体_GB2312" w:hAnsi="方正楷体_GB2312" w:eastAsia="方正楷体_GB2312" w:cs="方正楷体_GB2312"/>
          <w:color w:val="auto"/>
          <w:highlight w:val="none"/>
          <w:lang w:eastAsia="zh-CN"/>
        </w:rPr>
        <w:t>，各设区市企业信誉实力分从各市平台查询</w:t>
      </w: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各设区市房屋建筑及市政基础设施工程招标时，企业信誉实力分由自治区级、市级两部分组成，其中</w:t>
      </w:r>
      <w:r>
        <w:rPr>
          <w:rFonts w:hint="eastAsia" w:ascii="方正楷体_GB2312" w:hAnsi="方正楷体_GB2312" w:eastAsia="方正楷体_GB2312" w:cs="方正楷体_GB2312"/>
          <w:color w:val="auto"/>
          <w:highlight w:val="none"/>
          <w:lang w:eastAsia="zh-CN"/>
        </w:rPr>
        <w:t>自治</w:t>
      </w:r>
      <w:r>
        <w:rPr>
          <w:rFonts w:hint="eastAsia" w:ascii="方正楷体_GB2312" w:hAnsi="方正楷体_GB2312" w:eastAsia="方正楷体_GB2312" w:cs="方正楷体_GB2312"/>
          <w:color w:val="auto"/>
          <w:highlight w:val="none"/>
        </w:rPr>
        <w:t>区级的诚信综合评价分占比</w:t>
      </w:r>
      <w:r>
        <w:rPr>
          <w:rFonts w:hint="eastAsia" w:ascii="方正楷体_GB2312" w:hAnsi="方正楷体_GB2312" w:eastAsia="方正楷体_GB2312" w:cs="方正楷体_GB2312"/>
          <w:color w:val="auto"/>
          <w:highlight w:val="none"/>
          <w:lang w:eastAsia="zh-CN"/>
        </w:rPr>
        <w:t>最高投标限价</w:t>
      </w:r>
      <w:r>
        <w:rPr>
          <w:rFonts w:hint="eastAsia" w:ascii="方正楷体_GB2312" w:hAnsi="方正楷体_GB2312" w:eastAsia="方正楷体_GB2312" w:cs="方正楷体_GB2312"/>
          <w:color w:val="auto"/>
          <w:highlight w:val="none"/>
        </w:rPr>
        <w:t>1亿元以上取</w:t>
      </w:r>
      <w:r>
        <w:rPr>
          <w:rFonts w:hint="eastAsia" w:ascii="方正楷体_GB2312" w:hAnsi="方正楷体_GB2312" w:eastAsia="方正楷体_GB2312" w:cs="方正楷体_GB2312"/>
          <w:color w:val="auto"/>
          <w:highlight w:val="none"/>
          <w:lang w:eastAsia="zh-CN"/>
        </w:rPr>
        <w:t>50%—100%</w:t>
      </w:r>
      <w:r>
        <w:rPr>
          <w:rFonts w:hint="eastAsia" w:ascii="方正楷体_GB2312" w:hAnsi="方正楷体_GB2312" w:eastAsia="方正楷体_GB2312" w:cs="方正楷体_GB2312"/>
          <w:color w:val="auto"/>
          <w:highlight w:val="none"/>
        </w:rPr>
        <w:t>，1亿元以下取</w:t>
      </w:r>
      <w:r>
        <w:rPr>
          <w:rFonts w:hint="eastAsia" w:ascii="方正楷体_GB2312" w:hAnsi="方正楷体_GB2312" w:eastAsia="方正楷体_GB2312" w:cs="方正楷体_GB2312"/>
          <w:color w:val="auto"/>
          <w:highlight w:val="none"/>
          <w:lang w:eastAsia="zh-CN"/>
        </w:rPr>
        <w:t>40%—100%</w:t>
      </w:r>
      <w:r>
        <w:rPr>
          <w:rFonts w:hint="eastAsia" w:ascii="方正楷体_GB2312" w:hAnsi="方正楷体_GB2312" w:eastAsia="方正楷体_GB2312" w:cs="方正楷体_GB2312"/>
          <w:color w:val="auto"/>
          <w:highlight w:val="none"/>
        </w:rPr>
        <w:t>，设区市级诚信综合评价分占比</w:t>
      </w:r>
      <w:r>
        <w:rPr>
          <w:rFonts w:hint="eastAsia" w:ascii="方正楷体_GB2312" w:hAnsi="方正楷体_GB2312" w:eastAsia="方正楷体_GB2312" w:cs="方正楷体_GB2312"/>
          <w:color w:val="auto"/>
          <w:highlight w:val="none"/>
          <w:lang w:eastAsia="zh-CN"/>
        </w:rPr>
        <w:t>最高投标限价</w:t>
      </w:r>
      <w:r>
        <w:rPr>
          <w:rFonts w:hint="eastAsia" w:ascii="方正楷体_GB2312" w:hAnsi="方正楷体_GB2312" w:eastAsia="方正楷体_GB2312" w:cs="方正楷体_GB2312"/>
          <w:color w:val="auto"/>
          <w:highlight w:val="none"/>
        </w:rPr>
        <w:t>1亿元以上取</w:t>
      </w:r>
      <w:r>
        <w:rPr>
          <w:rFonts w:hint="eastAsia" w:ascii="方正楷体_GB2312" w:hAnsi="方正楷体_GB2312" w:eastAsia="方正楷体_GB2312" w:cs="方正楷体_GB2312"/>
          <w:color w:val="auto"/>
          <w:highlight w:val="none"/>
          <w:lang w:eastAsia="zh-CN"/>
        </w:rPr>
        <w:t>50%—0%</w:t>
      </w:r>
      <w:r>
        <w:rPr>
          <w:rFonts w:hint="eastAsia" w:ascii="方正楷体_GB2312" w:hAnsi="方正楷体_GB2312" w:eastAsia="方正楷体_GB2312" w:cs="方正楷体_GB2312"/>
          <w:color w:val="auto"/>
          <w:highlight w:val="none"/>
        </w:rPr>
        <w:t>，1亿元以下取</w:t>
      </w:r>
      <w:r>
        <w:rPr>
          <w:rFonts w:hint="eastAsia" w:ascii="方正楷体_GB2312" w:hAnsi="方正楷体_GB2312" w:eastAsia="方正楷体_GB2312" w:cs="方正楷体_GB2312"/>
          <w:color w:val="auto"/>
          <w:highlight w:val="none"/>
          <w:lang w:eastAsia="zh-CN"/>
        </w:rPr>
        <w:t>60%—0%</w:t>
      </w:r>
      <w:r>
        <w:rPr>
          <w:rFonts w:hint="eastAsia" w:ascii="方正楷体_GB2312" w:hAnsi="方正楷体_GB2312" w:eastAsia="方正楷体_GB2312" w:cs="方正楷体_GB2312"/>
          <w:color w:val="auto"/>
          <w:highlight w:val="none"/>
        </w:rPr>
        <w:t>（具体权重由各设区市在</w:t>
      </w:r>
      <w:r>
        <w:rPr>
          <w:rFonts w:hint="eastAsia" w:ascii="方正楷体_GB2312" w:hAnsi="方正楷体_GB2312" w:eastAsia="方正楷体_GB2312" w:cs="方正楷体_GB2312"/>
          <w:color w:val="auto"/>
          <w:highlight w:val="none"/>
          <w:lang w:eastAsia="zh-CN"/>
        </w:rPr>
        <w:t>规定</w:t>
      </w:r>
      <w:r>
        <w:rPr>
          <w:rFonts w:hint="eastAsia" w:ascii="方正楷体_GB2312" w:hAnsi="方正楷体_GB2312" w:eastAsia="方正楷体_GB2312" w:cs="方正楷体_GB2312"/>
          <w:color w:val="auto"/>
          <w:highlight w:val="none"/>
        </w:rPr>
        <w:t>比例范围内自行</w:t>
      </w:r>
      <w:r>
        <w:rPr>
          <w:rFonts w:hint="eastAsia" w:ascii="方正楷体_GB2312" w:hAnsi="方正楷体_GB2312" w:eastAsia="方正楷体_GB2312" w:cs="方正楷体_GB2312"/>
          <w:color w:val="auto"/>
          <w:highlight w:val="none"/>
          <w:lang w:eastAsia="zh-CN"/>
        </w:rPr>
        <w:t>确</w:t>
      </w:r>
      <w:r>
        <w:rPr>
          <w:rFonts w:hint="eastAsia" w:ascii="方正楷体_GB2312" w:hAnsi="方正楷体_GB2312" w:eastAsia="方正楷体_GB2312" w:cs="方正楷体_GB2312"/>
          <w:color w:val="auto"/>
          <w:highlight w:val="none"/>
        </w:rPr>
        <w:t>定）；</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b w:val="0"/>
          <w:bCs w:val="0"/>
          <w:i w:val="0"/>
          <w:caps w:val="0"/>
          <w:color w:val="auto"/>
          <w:spacing w:val="0"/>
          <w:sz w:val="21"/>
          <w:szCs w:val="21"/>
          <w:highlight w:val="none"/>
          <w:shd w:val="clear" w:color="auto" w:fill="auto"/>
          <w:lang w:eastAsia="zh-CN"/>
        </w:rPr>
        <w:t>联合体的诚信综合评价分按联合体牵头人的企业诚信综合评价分认定；</w:t>
      </w:r>
      <w:r>
        <w:rPr>
          <w:rFonts w:hint="eastAsia" w:ascii="方正楷体_GB2312" w:hAnsi="方正楷体_GB2312" w:eastAsia="方正楷体_GB2312" w:cs="方正楷体_GB2312"/>
          <w:b w:val="0"/>
          <w:bCs w:val="0"/>
          <w:i w:val="0"/>
          <w:caps w:val="0"/>
          <w:color w:val="auto"/>
          <w:spacing w:val="0"/>
          <w:sz w:val="21"/>
          <w:szCs w:val="21"/>
          <w:highlight w:val="none"/>
          <w:shd w:val="clear" w:color="auto" w:fill="auto"/>
          <w:lang w:val="en-US" w:eastAsia="zh-CN"/>
        </w:rPr>
        <w:t>3.</w:t>
      </w:r>
      <w:r>
        <w:rPr>
          <w:rFonts w:hint="eastAsia" w:ascii="方正楷体_GB2312" w:hAnsi="方正楷体_GB2312" w:eastAsia="方正楷体_GB2312" w:cs="方正楷体_GB2312"/>
          <w:b w:val="0"/>
          <w:bCs w:val="0"/>
          <w:color w:val="auto"/>
          <w:highlight w:val="none"/>
          <w:u w:val="single"/>
          <w:shd w:val="clear" w:color="auto" w:fill="auto"/>
        </w:rPr>
        <w:t xml:space="preserve">        </w:t>
      </w:r>
      <w:r>
        <w:rPr>
          <w:rFonts w:hint="eastAsia" w:ascii="方正楷体_GB2312" w:hAnsi="方正楷体_GB2312" w:eastAsia="方正楷体_GB2312" w:cs="方正楷体_GB2312"/>
          <w:color w:val="auto"/>
          <w:highlight w:val="none"/>
        </w:rPr>
        <w:t>】</w:t>
      </w:r>
    </w:p>
    <w:p w14:paraId="05CE9B80">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5. 表2.2.2（1）中施工组织设计为暗标。</w:t>
      </w:r>
    </w:p>
    <w:p w14:paraId="17CCFFE2">
      <w:pPr>
        <w:spacing w:line="360" w:lineRule="auto"/>
        <w:ind w:firstLine="437"/>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6. 综合评估法</w:t>
      </w:r>
      <w:r>
        <w:rPr>
          <w:rFonts w:hint="eastAsia" w:ascii="方正楷体_GB2312" w:hAnsi="方正楷体_GB2312" w:eastAsia="方正楷体_GB2312" w:cs="方正楷体_GB2312"/>
          <w:color w:val="auto"/>
          <w:highlight w:val="none"/>
          <w:lang w:eastAsia="zh-CN"/>
        </w:rPr>
        <w:t>建议</w:t>
      </w:r>
      <w:r>
        <w:rPr>
          <w:rFonts w:hint="eastAsia" w:ascii="方正楷体_GB2312" w:hAnsi="方正楷体_GB2312" w:eastAsia="方正楷体_GB2312" w:cs="方正楷体_GB2312"/>
          <w:color w:val="auto"/>
          <w:highlight w:val="none"/>
        </w:rPr>
        <w:t>用于1000万元以上项目。</w:t>
      </w:r>
    </w:p>
    <w:p w14:paraId="1B4EBDB3">
      <w:pPr>
        <w:spacing w:line="360" w:lineRule="auto"/>
        <w:rPr>
          <w:rFonts w:hint="eastAsia" w:ascii="方正楷体_GB2312" w:hAnsi="方正楷体_GB2312" w:eastAsia="方正楷体_GB2312" w:cs="方正楷体_GB2312"/>
          <w:color w:val="auto"/>
          <w:highlight w:val="none"/>
        </w:rPr>
        <w:sectPr>
          <w:pgSz w:w="11906" w:h="16838"/>
          <w:pgMar w:top="1440" w:right="1440" w:bottom="1440" w:left="1797" w:header="851" w:footer="851" w:gutter="0"/>
          <w:cols w:space="720" w:num="1"/>
          <w:docGrid w:linePitch="312" w:charSpace="0"/>
        </w:sectPr>
      </w:pPr>
    </w:p>
    <w:p w14:paraId="44FAEDC5">
      <w:pPr>
        <w:rPr>
          <w:color w:val="auto"/>
          <w:highlight w:val="none"/>
        </w:rPr>
      </w:pPr>
    </w:p>
    <w:p w14:paraId="67B5C89B">
      <w:pPr>
        <w:pStyle w:val="3"/>
        <w:jc w:val="center"/>
        <w:rPr>
          <w:color w:val="auto"/>
          <w:highlight w:val="none"/>
        </w:rPr>
      </w:pPr>
      <w:bookmarkStart w:id="442" w:name="_Toc407135170"/>
      <w:bookmarkStart w:id="443" w:name="_Toc15637"/>
      <w:bookmarkStart w:id="444" w:name="_Toc1370327807"/>
      <w:bookmarkStart w:id="445" w:name="_Toc389065240"/>
      <w:bookmarkStart w:id="446" w:name="_Toc78449735"/>
      <w:r>
        <w:rPr>
          <w:rFonts w:hint="eastAsia" w:cs="黑体"/>
          <w:color w:val="auto"/>
          <w:highlight w:val="none"/>
        </w:rPr>
        <w:t>评标办法（综合评估法）正文部分</w:t>
      </w:r>
      <w:bookmarkEnd w:id="442"/>
      <w:bookmarkEnd w:id="443"/>
      <w:bookmarkEnd w:id="444"/>
      <w:bookmarkEnd w:id="445"/>
      <w:bookmarkEnd w:id="446"/>
    </w:p>
    <w:p w14:paraId="0E8F0925">
      <w:pPr>
        <w:rPr>
          <w:color w:val="auto"/>
          <w:highlight w:val="none"/>
        </w:rPr>
      </w:pPr>
    </w:p>
    <w:p w14:paraId="0E4D61B6">
      <w:pPr>
        <w:pStyle w:val="4"/>
        <w:rPr>
          <w:color w:val="auto"/>
          <w:highlight w:val="none"/>
        </w:rPr>
      </w:pPr>
      <w:bookmarkStart w:id="447" w:name="_Toc22280"/>
      <w:bookmarkStart w:id="448" w:name="_Toc316613770"/>
      <w:bookmarkStart w:id="449" w:name="_Toc407135171"/>
      <w:bookmarkStart w:id="450" w:name="_Toc389065241"/>
      <w:bookmarkStart w:id="451" w:name="_Toc184635093"/>
      <w:bookmarkStart w:id="452" w:name="_Toc78449736"/>
      <w:r>
        <w:rPr>
          <w:color w:val="auto"/>
          <w:highlight w:val="none"/>
        </w:rPr>
        <w:t xml:space="preserve">1 </w:t>
      </w:r>
      <w:r>
        <w:rPr>
          <w:rFonts w:hint="eastAsia" w:cs="黑体"/>
          <w:color w:val="auto"/>
          <w:highlight w:val="none"/>
        </w:rPr>
        <w:t>评标方法</w:t>
      </w:r>
      <w:bookmarkEnd w:id="447"/>
      <w:bookmarkEnd w:id="448"/>
      <w:bookmarkEnd w:id="449"/>
      <w:bookmarkEnd w:id="450"/>
      <w:bookmarkEnd w:id="451"/>
      <w:bookmarkEnd w:id="452"/>
    </w:p>
    <w:p w14:paraId="48230873">
      <w:pPr>
        <w:spacing w:line="360" w:lineRule="auto"/>
        <w:ind w:firstLine="420" w:firstLineChars="200"/>
        <w:rPr>
          <w:color w:val="auto"/>
          <w:highlight w:val="none"/>
        </w:rPr>
      </w:pPr>
      <w:r>
        <w:rPr>
          <w:rFonts w:hint="eastAsia" w:cs="宋体"/>
          <w:color w:val="auto"/>
          <w:highlight w:val="none"/>
        </w:rPr>
        <w:t>本次评标采用综合评估法。评标委员会对满足招标文件实质性要求的投标文件，按照本章</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第</w:t>
      </w:r>
      <w:r>
        <w:rPr>
          <w:color w:val="auto"/>
          <w:highlight w:val="none"/>
        </w:rPr>
        <w:t>2.</w:t>
      </w:r>
      <w:r>
        <w:rPr>
          <w:rFonts w:hint="eastAsia"/>
          <w:color w:val="auto"/>
          <w:highlight w:val="none"/>
          <w:lang w:eastAsia="zh-CN"/>
        </w:rPr>
        <w:t>1.</w:t>
      </w:r>
      <w:r>
        <w:rPr>
          <w:color w:val="auto"/>
          <w:highlight w:val="none"/>
        </w:rPr>
        <w:t>2.2</w:t>
      </w:r>
      <w:r>
        <w:rPr>
          <w:rFonts w:hint="eastAsia" w:cs="宋体"/>
          <w:color w:val="auto"/>
          <w:highlight w:val="none"/>
        </w:rPr>
        <w:t>款规定的评分标准进行打分，并按综合得分由高到低顺序推荐中标候选人，或根据招标人授权直接确定中标人，但投标报价低于其成本的除外。综合评分相等时，以投标报价低的优先；投标价也相等时，以企业信誉实力分高的优先；企业信誉实力分也相等的，以企业用于该项工程投标的资质高的优先；企业用于该项工程投标的资质也相等的，以技术标得分高的优先；技术标得分也相等的，由评标委员会采用记名投票方式确定。</w:t>
      </w:r>
    </w:p>
    <w:p w14:paraId="359D363F">
      <w:pPr>
        <w:pStyle w:val="4"/>
        <w:rPr>
          <w:color w:val="auto"/>
          <w:highlight w:val="none"/>
        </w:rPr>
      </w:pPr>
      <w:bookmarkStart w:id="453" w:name="_Toc389065242"/>
      <w:bookmarkStart w:id="454" w:name="_Toc407135172"/>
      <w:bookmarkStart w:id="455" w:name="_Toc184635094"/>
      <w:bookmarkStart w:id="456" w:name="_Toc78449737"/>
      <w:bookmarkStart w:id="457" w:name="_Toc52269809"/>
      <w:bookmarkStart w:id="458" w:name="_Toc383"/>
      <w:r>
        <w:rPr>
          <w:color w:val="auto"/>
          <w:highlight w:val="none"/>
        </w:rPr>
        <w:t xml:space="preserve">2 </w:t>
      </w:r>
      <w:r>
        <w:rPr>
          <w:rFonts w:hint="eastAsia" w:cs="黑体"/>
          <w:color w:val="auto"/>
          <w:highlight w:val="none"/>
        </w:rPr>
        <w:t>评审标准</w:t>
      </w:r>
      <w:bookmarkEnd w:id="453"/>
      <w:bookmarkEnd w:id="454"/>
      <w:bookmarkEnd w:id="455"/>
      <w:bookmarkEnd w:id="456"/>
      <w:bookmarkEnd w:id="457"/>
      <w:bookmarkEnd w:id="458"/>
    </w:p>
    <w:p w14:paraId="6553F5EC">
      <w:pPr>
        <w:pStyle w:val="5"/>
        <w:ind w:firstLine="420"/>
        <w:rPr>
          <w:color w:val="auto"/>
          <w:highlight w:val="none"/>
        </w:rPr>
      </w:pPr>
      <w:bookmarkStart w:id="459" w:name="_Toc14808"/>
      <w:bookmarkStart w:id="460" w:name="_Toc78449738"/>
      <w:bookmarkStart w:id="461" w:name="_Toc389065243"/>
      <w:bookmarkStart w:id="462" w:name="_Toc407135173"/>
      <w:bookmarkStart w:id="463" w:name="_Toc30258851"/>
      <w:r>
        <w:rPr>
          <w:color w:val="auto"/>
          <w:highlight w:val="none"/>
        </w:rPr>
        <w:t xml:space="preserve">2.1 </w:t>
      </w:r>
      <w:r>
        <w:rPr>
          <w:rFonts w:hint="eastAsia" w:cs="黑体"/>
          <w:color w:val="auto"/>
          <w:highlight w:val="none"/>
        </w:rPr>
        <w:t>初步评审标准</w:t>
      </w:r>
      <w:bookmarkEnd w:id="459"/>
      <w:bookmarkEnd w:id="460"/>
      <w:bookmarkEnd w:id="461"/>
      <w:bookmarkEnd w:id="462"/>
      <w:bookmarkEnd w:id="463"/>
    </w:p>
    <w:p w14:paraId="67D328EF">
      <w:pPr>
        <w:spacing w:line="360" w:lineRule="auto"/>
        <w:ind w:firstLine="420" w:firstLineChars="200"/>
        <w:rPr>
          <w:color w:val="auto"/>
          <w:highlight w:val="none"/>
        </w:rPr>
      </w:pPr>
      <w:r>
        <w:rPr>
          <w:color w:val="auto"/>
          <w:highlight w:val="none"/>
        </w:rPr>
        <w:t>2.1.1</w:t>
      </w:r>
      <w:r>
        <w:rPr>
          <w:rFonts w:hint="eastAsia" w:cs="宋体"/>
          <w:color w:val="auto"/>
          <w:highlight w:val="none"/>
        </w:rPr>
        <w:t>形式评审标准：见</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w:t>
      </w:r>
    </w:p>
    <w:p w14:paraId="176324E0">
      <w:pPr>
        <w:spacing w:line="360" w:lineRule="auto"/>
        <w:ind w:firstLine="420" w:firstLineChars="200"/>
        <w:rPr>
          <w:color w:val="auto"/>
          <w:highlight w:val="none"/>
        </w:rPr>
      </w:pPr>
      <w:r>
        <w:rPr>
          <w:color w:val="auto"/>
          <w:highlight w:val="none"/>
        </w:rPr>
        <w:t>2.1.2</w:t>
      </w:r>
      <w:r>
        <w:rPr>
          <w:rFonts w:hint="eastAsia" w:cs="宋体"/>
          <w:color w:val="auto"/>
          <w:highlight w:val="none"/>
        </w:rPr>
        <w:t>响应性评审标准：见</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w:t>
      </w:r>
    </w:p>
    <w:p w14:paraId="2B4C24C3">
      <w:pPr>
        <w:spacing w:line="360" w:lineRule="auto"/>
        <w:ind w:firstLine="420" w:firstLineChars="200"/>
        <w:rPr>
          <w:color w:val="auto"/>
          <w:highlight w:val="none"/>
        </w:rPr>
      </w:pPr>
      <w:r>
        <w:rPr>
          <w:color w:val="auto"/>
          <w:highlight w:val="none"/>
        </w:rPr>
        <w:t>2.1.3</w:t>
      </w:r>
      <w:bookmarkStart w:id="464" w:name="_Toc389065244"/>
      <w:bookmarkStart w:id="465" w:name="_Toc184635095"/>
      <w:bookmarkStart w:id="466" w:name="_Toc389065245"/>
      <w:r>
        <w:rPr>
          <w:rFonts w:hint="eastAsia" w:cs="宋体"/>
          <w:color w:val="auto"/>
          <w:highlight w:val="none"/>
        </w:rPr>
        <w:t xml:space="preserve"> 资格评审标准：见</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w:t>
      </w:r>
    </w:p>
    <w:p w14:paraId="3D23D4FC">
      <w:pPr>
        <w:pStyle w:val="5"/>
        <w:ind w:firstLine="420"/>
        <w:rPr>
          <w:color w:val="auto"/>
          <w:highlight w:val="none"/>
        </w:rPr>
      </w:pPr>
      <w:bookmarkStart w:id="467" w:name="_Toc78449739"/>
      <w:bookmarkStart w:id="468" w:name="_Toc18303"/>
      <w:bookmarkStart w:id="469" w:name="_Toc292042466"/>
      <w:bookmarkStart w:id="470" w:name="_Toc407135174"/>
      <w:r>
        <w:rPr>
          <w:color w:val="auto"/>
          <w:highlight w:val="none"/>
        </w:rPr>
        <w:t xml:space="preserve">2.2 </w:t>
      </w:r>
      <w:r>
        <w:rPr>
          <w:rFonts w:hint="eastAsia" w:cs="黑体"/>
          <w:color w:val="auto"/>
          <w:highlight w:val="none"/>
        </w:rPr>
        <w:t>详细评审标准</w:t>
      </w:r>
      <w:bookmarkEnd w:id="464"/>
      <w:bookmarkEnd w:id="467"/>
      <w:bookmarkEnd w:id="468"/>
      <w:bookmarkEnd w:id="469"/>
      <w:bookmarkEnd w:id="470"/>
    </w:p>
    <w:p w14:paraId="5D213380">
      <w:pPr>
        <w:spacing w:line="360" w:lineRule="auto"/>
        <w:ind w:firstLine="420" w:firstLineChars="200"/>
        <w:rPr>
          <w:color w:val="auto"/>
          <w:highlight w:val="none"/>
        </w:rPr>
      </w:pPr>
      <w:r>
        <w:rPr>
          <w:color w:val="auto"/>
          <w:highlight w:val="none"/>
        </w:rPr>
        <w:t xml:space="preserve">2.2.1 </w:t>
      </w:r>
      <w:r>
        <w:rPr>
          <w:rFonts w:hint="eastAsia" w:cs="宋体"/>
          <w:color w:val="auto"/>
          <w:highlight w:val="none"/>
        </w:rPr>
        <w:t>分值构成：见</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w:t>
      </w:r>
    </w:p>
    <w:p w14:paraId="54F8FE7A">
      <w:pPr>
        <w:spacing w:line="360" w:lineRule="auto"/>
        <w:ind w:firstLine="420" w:firstLineChars="200"/>
        <w:rPr>
          <w:color w:val="auto"/>
          <w:highlight w:val="none"/>
        </w:rPr>
      </w:pPr>
      <w:r>
        <w:rPr>
          <w:color w:val="auto"/>
          <w:highlight w:val="none"/>
        </w:rPr>
        <w:t xml:space="preserve">2.2.2 </w:t>
      </w:r>
      <w:r>
        <w:rPr>
          <w:rFonts w:hint="eastAsia" w:cs="宋体"/>
          <w:color w:val="auto"/>
          <w:highlight w:val="none"/>
        </w:rPr>
        <w:t>评分标准</w:t>
      </w:r>
    </w:p>
    <w:p w14:paraId="3C0BE9D1">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）技术标评分标准：见</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w:t>
      </w:r>
    </w:p>
    <w:p w14:paraId="54FAAC7D">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）评标基准价计算方法：见</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w:t>
      </w:r>
    </w:p>
    <w:p w14:paraId="20E1BA33">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）报价分评分标准：见</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w:t>
      </w:r>
    </w:p>
    <w:p w14:paraId="13D3651A">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）企业信誉实力分评分标准：见</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w:t>
      </w:r>
    </w:p>
    <w:p w14:paraId="1BB7ED14">
      <w:pPr>
        <w:pStyle w:val="4"/>
        <w:rPr>
          <w:rFonts w:cs="黑体"/>
          <w:color w:val="auto"/>
          <w:highlight w:val="none"/>
        </w:rPr>
      </w:pPr>
      <w:bookmarkStart w:id="471" w:name="_Toc8351"/>
      <w:bookmarkStart w:id="472" w:name="_Toc78449740"/>
      <w:bookmarkStart w:id="473" w:name="_Toc1483272473"/>
      <w:bookmarkStart w:id="474" w:name="_Toc407135175"/>
      <w:r>
        <w:rPr>
          <w:color w:val="auto"/>
          <w:highlight w:val="none"/>
        </w:rPr>
        <w:t xml:space="preserve">3 </w:t>
      </w:r>
      <w:r>
        <w:rPr>
          <w:rFonts w:hint="eastAsia" w:cs="黑体"/>
          <w:color w:val="auto"/>
          <w:highlight w:val="none"/>
        </w:rPr>
        <w:t>评标程序</w:t>
      </w:r>
      <w:bookmarkEnd w:id="465"/>
      <w:bookmarkEnd w:id="466"/>
      <w:bookmarkEnd w:id="471"/>
      <w:bookmarkEnd w:id="472"/>
      <w:bookmarkEnd w:id="473"/>
      <w:bookmarkEnd w:id="474"/>
    </w:p>
    <w:p w14:paraId="53A421AA">
      <w:pPr>
        <w:pStyle w:val="5"/>
        <w:ind w:firstLine="420"/>
        <w:rPr>
          <w:color w:val="auto"/>
          <w:highlight w:val="none"/>
        </w:rPr>
      </w:pPr>
      <w:bookmarkStart w:id="475" w:name="_Toc389065246"/>
      <w:bookmarkStart w:id="476" w:name="_Toc2114357834"/>
      <w:bookmarkStart w:id="477" w:name="_Toc407135176"/>
      <w:bookmarkStart w:id="478" w:name="_Toc23666"/>
      <w:bookmarkStart w:id="479" w:name="_Toc78449741"/>
      <w:r>
        <w:rPr>
          <w:color w:val="auto"/>
          <w:highlight w:val="none"/>
        </w:rPr>
        <w:t xml:space="preserve">3.1 </w:t>
      </w:r>
      <w:r>
        <w:rPr>
          <w:rFonts w:hint="eastAsia" w:cs="黑体"/>
          <w:color w:val="auto"/>
          <w:highlight w:val="none"/>
        </w:rPr>
        <w:t>初步评审</w:t>
      </w:r>
      <w:bookmarkEnd w:id="475"/>
      <w:bookmarkEnd w:id="476"/>
      <w:bookmarkEnd w:id="477"/>
      <w:bookmarkEnd w:id="478"/>
      <w:bookmarkEnd w:id="479"/>
    </w:p>
    <w:p w14:paraId="36B18D3C">
      <w:pPr>
        <w:spacing w:line="360" w:lineRule="auto"/>
        <w:ind w:firstLine="420" w:firstLineChars="200"/>
        <w:rPr>
          <w:color w:val="auto"/>
          <w:highlight w:val="none"/>
        </w:rPr>
      </w:pPr>
      <w:r>
        <w:rPr>
          <w:color w:val="auto"/>
          <w:highlight w:val="none"/>
        </w:rPr>
        <w:t xml:space="preserve">3.1.1 </w:t>
      </w:r>
      <w:r>
        <w:rPr>
          <w:rFonts w:hint="eastAsia" w:cs="宋体"/>
          <w:color w:val="auto"/>
          <w:highlight w:val="none"/>
        </w:rPr>
        <w:t>评标委员会依据本章第</w:t>
      </w:r>
      <w:r>
        <w:rPr>
          <w:color w:val="auto"/>
          <w:highlight w:val="none"/>
        </w:rPr>
        <w:t>2.1</w:t>
      </w:r>
      <w:r>
        <w:rPr>
          <w:rFonts w:hint="eastAsia" w:cs="宋体"/>
          <w:color w:val="auto"/>
          <w:highlight w:val="none"/>
        </w:rPr>
        <w:t>款规定的标准对投标文件进行初步评审。有一项不符合评审标准的，作否决投标处理。</w:t>
      </w:r>
    </w:p>
    <w:p w14:paraId="087125AE">
      <w:pPr>
        <w:spacing w:line="360" w:lineRule="auto"/>
        <w:ind w:firstLine="420" w:firstLineChars="200"/>
        <w:rPr>
          <w:color w:val="auto"/>
          <w:highlight w:val="none"/>
        </w:rPr>
      </w:pPr>
      <w:r>
        <w:rPr>
          <w:color w:val="auto"/>
          <w:highlight w:val="none"/>
        </w:rPr>
        <w:t xml:space="preserve">3.1.2 </w:t>
      </w:r>
      <w:r>
        <w:rPr>
          <w:rFonts w:hint="eastAsia" w:cs="宋体"/>
          <w:color w:val="auto"/>
          <w:highlight w:val="none"/>
        </w:rPr>
        <w:t>投标人有以下情形之一的，其投标作否决投标处理：</w:t>
      </w:r>
    </w:p>
    <w:p w14:paraId="35BAA895">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第</w:t>
      </w:r>
      <w:r>
        <w:rPr>
          <w:color w:val="auto"/>
          <w:highlight w:val="none"/>
        </w:rPr>
        <w:t xml:space="preserve">1.4.3 </w:t>
      </w:r>
      <w:r>
        <w:rPr>
          <w:rFonts w:hint="eastAsia" w:cs="宋体"/>
          <w:color w:val="auto"/>
          <w:highlight w:val="none"/>
        </w:rPr>
        <w:t>项、第1.4.4项规定的任何一种情形的：</w:t>
      </w:r>
    </w:p>
    <w:p w14:paraId="080CB7FA">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）串通投标或弄虚作假或有其他违法行为的；</w:t>
      </w:r>
    </w:p>
    <w:p w14:paraId="1005C5BE">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）不按评标委员会要求澄清、说明或补正的。</w:t>
      </w:r>
    </w:p>
    <w:p w14:paraId="164B8A0B">
      <w:pPr>
        <w:pStyle w:val="5"/>
        <w:ind w:firstLine="420"/>
        <w:rPr>
          <w:color w:val="auto"/>
          <w:highlight w:val="none"/>
        </w:rPr>
      </w:pPr>
      <w:bookmarkStart w:id="480" w:name="_Toc78449742"/>
      <w:bookmarkStart w:id="481" w:name="_Toc407135177"/>
      <w:bookmarkStart w:id="482" w:name="_Toc11028"/>
      <w:bookmarkStart w:id="483" w:name="_Toc389065247"/>
      <w:bookmarkStart w:id="484" w:name="_Toc1982125575"/>
      <w:r>
        <w:rPr>
          <w:color w:val="auto"/>
          <w:highlight w:val="none"/>
        </w:rPr>
        <w:t xml:space="preserve">3.2 </w:t>
      </w:r>
      <w:r>
        <w:rPr>
          <w:rFonts w:hint="eastAsia" w:cs="黑体"/>
          <w:color w:val="auto"/>
          <w:highlight w:val="none"/>
        </w:rPr>
        <w:t>详细评审</w:t>
      </w:r>
      <w:bookmarkEnd w:id="480"/>
      <w:bookmarkEnd w:id="481"/>
      <w:bookmarkEnd w:id="482"/>
      <w:bookmarkEnd w:id="483"/>
      <w:bookmarkEnd w:id="484"/>
    </w:p>
    <w:p w14:paraId="095D4892">
      <w:pPr>
        <w:spacing w:line="360" w:lineRule="auto"/>
        <w:ind w:firstLine="420" w:firstLineChars="200"/>
        <w:rPr>
          <w:color w:val="auto"/>
          <w:highlight w:val="none"/>
        </w:rPr>
      </w:pPr>
      <w:r>
        <w:rPr>
          <w:color w:val="auto"/>
          <w:highlight w:val="none"/>
        </w:rPr>
        <w:t xml:space="preserve">3.2.1 </w:t>
      </w:r>
      <w:r>
        <w:rPr>
          <w:rFonts w:hint="eastAsia" w:cs="宋体"/>
          <w:color w:val="auto"/>
          <w:highlight w:val="none"/>
        </w:rPr>
        <w:t>评标委员会按照本章</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第</w:t>
      </w:r>
      <w:r>
        <w:rPr>
          <w:color w:val="auto"/>
          <w:highlight w:val="none"/>
        </w:rPr>
        <w:t>2.2</w:t>
      </w:r>
      <w:r>
        <w:rPr>
          <w:rFonts w:hint="eastAsia" w:cs="宋体"/>
          <w:color w:val="auto"/>
          <w:highlight w:val="none"/>
        </w:rPr>
        <w:t>款规定的量化因素和分值进行打分，并计算出综合评估得分。</w:t>
      </w:r>
    </w:p>
    <w:p w14:paraId="054134B3">
      <w:pPr>
        <w:spacing w:line="360" w:lineRule="auto"/>
        <w:ind w:firstLine="420" w:firstLineChars="200"/>
        <w:rPr>
          <w:color w:val="auto"/>
          <w:highlight w:val="none"/>
        </w:rPr>
      </w:pPr>
      <w:r>
        <w:rPr>
          <w:color w:val="auto"/>
          <w:highlight w:val="none"/>
        </w:rPr>
        <w:t xml:space="preserve">3.2.2 </w:t>
      </w:r>
      <w:r>
        <w:rPr>
          <w:rFonts w:hint="eastAsia"/>
          <w:color w:val="auto"/>
          <w:highlight w:val="none"/>
        </w:rPr>
        <w:t>所</w:t>
      </w:r>
      <w:r>
        <w:rPr>
          <w:color w:val="auto"/>
          <w:highlight w:val="none"/>
        </w:rPr>
        <w:t>有过程</w:t>
      </w:r>
      <w:r>
        <w:rPr>
          <w:rFonts w:hint="eastAsia" w:cs="宋体"/>
          <w:color w:val="auto"/>
          <w:highlight w:val="none"/>
        </w:rPr>
        <w:t>评分分值计算保留小数点后四位，投标人汇总得分保留小数点后两位，小数点后第三位</w:t>
      </w:r>
      <w:r>
        <w:rPr>
          <w:rFonts w:hint="eastAsia"/>
          <w:color w:val="auto"/>
          <w:highlight w:val="none"/>
          <w:lang w:eastAsia="zh-CN"/>
        </w:rPr>
        <w:t>“</w:t>
      </w:r>
      <w:r>
        <w:rPr>
          <w:rFonts w:hint="eastAsia" w:cs="宋体"/>
          <w:color w:val="auto"/>
          <w:highlight w:val="none"/>
        </w:rPr>
        <w:t>四舍五入</w:t>
      </w:r>
      <w:r>
        <w:rPr>
          <w:rFonts w:hint="eastAsia"/>
          <w:color w:val="auto"/>
          <w:highlight w:val="none"/>
          <w:lang w:eastAsia="zh-CN"/>
        </w:rPr>
        <w:t>”</w:t>
      </w:r>
      <w:r>
        <w:rPr>
          <w:rFonts w:hint="eastAsia" w:cs="宋体"/>
          <w:color w:val="auto"/>
          <w:highlight w:val="none"/>
        </w:rPr>
        <w:t>。</w:t>
      </w:r>
    </w:p>
    <w:p w14:paraId="49AD8975">
      <w:pPr>
        <w:spacing w:line="360" w:lineRule="auto"/>
        <w:ind w:firstLine="420" w:firstLineChars="200"/>
        <w:rPr>
          <w:color w:val="auto"/>
          <w:highlight w:val="none"/>
        </w:rPr>
      </w:pPr>
      <w:r>
        <w:rPr>
          <w:color w:val="auto"/>
          <w:highlight w:val="none"/>
        </w:rPr>
        <w:t xml:space="preserve">3.2.3 </w:t>
      </w:r>
      <w:r>
        <w:rPr>
          <w:rFonts w:hint="eastAsia" w:cs="宋体"/>
          <w:color w:val="auto"/>
          <w:highlight w:val="none"/>
        </w:rPr>
        <w:t>投标人汇总得分（满分</w:t>
      </w:r>
      <w:r>
        <w:rPr>
          <w:color w:val="auto"/>
          <w:highlight w:val="none"/>
        </w:rPr>
        <w:t>100</w:t>
      </w:r>
      <w:r>
        <w:rPr>
          <w:rFonts w:hint="eastAsia" w:cs="宋体"/>
          <w:color w:val="auto"/>
          <w:highlight w:val="none"/>
        </w:rPr>
        <w:t>分）</w:t>
      </w:r>
      <w:r>
        <w:rPr>
          <w:color w:val="auto"/>
          <w:highlight w:val="none"/>
        </w:rPr>
        <w:t>=</w:t>
      </w:r>
      <w:r>
        <w:rPr>
          <w:rFonts w:hint="eastAsia" w:cs="宋体"/>
          <w:color w:val="auto"/>
          <w:highlight w:val="none"/>
        </w:rPr>
        <w:t>商务标得分</w:t>
      </w:r>
      <w:r>
        <w:rPr>
          <w:color w:val="auto"/>
          <w:highlight w:val="none"/>
        </w:rPr>
        <w:t>+</w:t>
      </w:r>
      <w:r>
        <w:rPr>
          <w:rFonts w:hint="eastAsia" w:cs="宋体"/>
          <w:color w:val="auto"/>
          <w:highlight w:val="none"/>
        </w:rPr>
        <w:t>技术标加权得分。</w:t>
      </w:r>
    </w:p>
    <w:p w14:paraId="7B842F73">
      <w:pPr>
        <w:pStyle w:val="5"/>
        <w:ind w:firstLine="420"/>
        <w:rPr>
          <w:color w:val="auto"/>
          <w:highlight w:val="none"/>
        </w:rPr>
      </w:pPr>
      <w:bookmarkStart w:id="485" w:name="_Toc1893612524"/>
      <w:bookmarkStart w:id="486" w:name="_Toc78449743"/>
      <w:bookmarkStart w:id="487" w:name="_Toc29136"/>
      <w:bookmarkStart w:id="488" w:name="_Toc389065248"/>
      <w:bookmarkStart w:id="489" w:name="_Toc407135178"/>
      <w:r>
        <w:rPr>
          <w:color w:val="auto"/>
          <w:highlight w:val="none"/>
        </w:rPr>
        <w:t xml:space="preserve">3.3 </w:t>
      </w:r>
      <w:r>
        <w:rPr>
          <w:rFonts w:hint="eastAsia" w:cs="黑体"/>
          <w:color w:val="auto"/>
          <w:highlight w:val="none"/>
        </w:rPr>
        <w:t>投标文件的澄清和补正</w:t>
      </w:r>
      <w:bookmarkEnd w:id="485"/>
      <w:bookmarkEnd w:id="486"/>
      <w:bookmarkEnd w:id="487"/>
      <w:bookmarkEnd w:id="488"/>
      <w:bookmarkEnd w:id="489"/>
    </w:p>
    <w:p w14:paraId="1010D5C4">
      <w:pPr>
        <w:spacing w:line="360" w:lineRule="auto"/>
        <w:ind w:firstLine="420" w:firstLineChars="200"/>
        <w:rPr>
          <w:color w:val="auto"/>
          <w:highlight w:val="none"/>
        </w:rPr>
      </w:pPr>
      <w:r>
        <w:rPr>
          <w:color w:val="auto"/>
          <w:highlight w:val="none"/>
        </w:rPr>
        <w:t xml:space="preserve">3.3.1 </w:t>
      </w:r>
      <w:r>
        <w:rPr>
          <w:rFonts w:hint="eastAsia" w:cs="宋体"/>
          <w:color w:val="auto"/>
          <w:highlight w:val="none"/>
        </w:rPr>
        <w:t>在评标过程中，评标委员会可以书面形式要求投标人对所提交的投标文件中不明确的内容进行书面澄清或说明，也可以要求投标人对细微偏差进行补正。澄清、说明和补正必须由评标委员会书面提出、投标人书面答复，否则无效。评标委员会不接受投标人主动提出的澄清、说明或补正。</w:t>
      </w:r>
    </w:p>
    <w:p w14:paraId="02120DBB">
      <w:pPr>
        <w:spacing w:line="360" w:lineRule="auto"/>
        <w:ind w:firstLine="420" w:firstLineChars="200"/>
        <w:rPr>
          <w:color w:val="auto"/>
          <w:highlight w:val="none"/>
        </w:rPr>
      </w:pPr>
      <w:r>
        <w:rPr>
          <w:color w:val="auto"/>
          <w:highlight w:val="none"/>
        </w:rPr>
        <w:t xml:space="preserve">3.3.2 </w:t>
      </w:r>
      <w:r>
        <w:rPr>
          <w:rFonts w:hint="eastAsia" w:cs="宋体"/>
          <w:color w:val="auto"/>
          <w:highlight w:val="none"/>
        </w:rPr>
        <w:t>澄清、说明和补正不得改变投标文件的实质性内容，也不可对投标总价进行修改</w:t>
      </w:r>
      <w:r>
        <w:rPr>
          <w:rFonts w:hint="eastAsia" w:cs="宋体"/>
          <w:color w:val="auto"/>
          <w:highlight w:val="none"/>
          <w:lang w:eastAsia="zh-CN"/>
        </w:rPr>
        <w:t>。</w:t>
      </w:r>
      <w:r>
        <w:rPr>
          <w:rFonts w:hint="eastAsia" w:cs="宋体"/>
          <w:color w:val="auto"/>
          <w:highlight w:val="none"/>
        </w:rPr>
        <w:t>投标人的书面澄清、说明和补正属于投标文件的组成部分。投标报价澄清或说明过程不可要求投标人通过确认或撤回不响应的投标文件转变为响应招标文件实质性要求的投标文件。</w:t>
      </w:r>
    </w:p>
    <w:p w14:paraId="7C136748">
      <w:pPr>
        <w:spacing w:line="360" w:lineRule="auto"/>
        <w:ind w:firstLine="420" w:firstLineChars="200"/>
        <w:rPr>
          <w:color w:val="auto"/>
          <w:highlight w:val="none"/>
        </w:rPr>
      </w:pPr>
      <w:r>
        <w:rPr>
          <w:color w:val="auto"/>
          <w:highlight w:val="none"/>
        </w:rPr>
        <w:t xml:space="preserve">3.3.3 </w:t>
      </w:r>
      <w:r>
        <w:rPr>
          <w:rFonts w:hint="eastAsia" w:cs="宋体"/>
          <w:color w:val="auto"/>
          <w:highlight w:val="none"/>
        </w:rPr>
        <w:t>评标委员会对投标人提交的澄清、说明或补正有疑问的，可以要求投标人进一步澄清、说明或补正，直至满足评标委员会的要求。</w:t>
      </w:r>
    </w:p>
    <w:p w14:paraId="2F99F67C">
      <w:pPr>
        <w:spacing w:line="360" w:lineRule="auto"/>
        <w:ind w:firstLine="420" w:firstLineChars="200"/>
        <w:rPr>
          <w:color w:val="auto"/>
          <w:highlight w:val="none"/>
        </w:rPr>
      </w:pPr>
      <w:r>
        <w:rPr>
          <w:color w:val="auto"/>
          <w:highlight w:val="none"/>
        </w:rPr>
        <w:t xml:space="preserve">3.3.4 </w:t>
      </w:r>
      <w:r>
        <w:rPr>
          <w:rFonts w:hint="eastAsia" w:cs="宋体"/>
          <w:color w:val="auto"/>
          <w:highlight w:val="none"/>
        </w:rPr>
        <w:t>对投标文件进行澄清、说明和补正时来往的书面材料传递，必须由交易中心的工作人员进行。</w:t>
      </w:r>
    </w:p>
    <w:p w14:paraId="79D2AAAD">
      <w:pPr>
        <w:pStyle w:val="5"/>
        <w:ind w:firstLine="420"/>
        <w:rPr>
          <w:color w:val="auto"/>
          <w:highlight w:val="none"/>
        </w:rPr>
      </w:pPr>
      <w:bookmarkStart w:id="490" w:name="_Toc389065249"/>
      <w:bookmarkStart w:id="491" w:name="_Toc6880"/>
      <w:bookmarkStart w:id="492" w:name="_Toc78449744"/>
      <w:bookmarkStart w:id="493" w:name="_Toc407135179"/>
      <w:bookmarkStart w:id="494" w:name="_Toc749698601"/>
      <w:r>
        <w:rPr>
          <w:color w:val="auto"/>
          <w:highlight w:val="none"/>
        </w:rPr>
        <w:t xml:space="preserve">3.4 </w:t>
      </w:r>
      <w:r>
        <w:rPr>
          <w:rFonts w:hint="eastAsia" w:cs="黑体"/>
          <w:color w:val="auto"/>
          <w:highlight w:val="none"/>
        </w:rPr>
        <w:t>评标结果</w:t>
      </w:r>
      <w:bookmarkEnd w:id="490"/>
      <w:bookmarkEnd w:id="491"/>
      <w:bookmarkEnd w:id="492"/>
      <w:bookmarkEnd w:id="493"/>
      <w:bookmarkEnd w:id="494"/>
    </w:p>
    <w:p w14:paraId="04EBFB79">
      <w:pPr>
        <w:spacing w:line="360" w:lineRule="auto"/>
        <w:ind w:firstLine="420" w:firstLineChars="200"/>
        <w:rPr>
          <w:color w:val="auto"/>
          <w:highlight w:val="none"/>
        </w:rPr>
      </w:pPr>
      <w:r>
        <w:rPr>
          <w:color w:val="auto"/>
          <w:highlight w:val="none"/>
        </w:rPr>
        <w:t xml:space="preserve">3.4.1 </w:t>
      </w:r>
      <w:r>
        <w:rPr>
          <w:rFonts w:hint="eastAsia" w:cs="宋体"/>
          <w:color w:val="auto"/>
          <w:highlight w:val="none"/>
        </w:rPr>
        <w:t>除第二章</w:t>
      </w:r>
      <w:r>
        <w:rPr>
          <w:rFonts w:hint="eastAsia"/>
          <w:color w:val="auto"/>
          <w:highlight w:val="none"/>
          <w:lang w:eastAsia="zh-CN"/>
        </w:rPr>
        <w:t>“</w:t>
      </w:r>
      <w:r>
        <w:rPr>
          <w:rFonts w:hint="eastAsia" w:cs="宋体"/>
          <w:color w:val="auto"/>
          <w:highlight w:val="none"/>
        </w:rPr>
        <w:t>投标人须知前附表</w:t>
      </w:r>
      <w:r>
        <w:rPr>
          <w:rFonts w:hint="eastAsia"/>
          <w:color w:val="auto"/>
          <w:highlight w:val="none"/>
          <w:lang w:eastAsia="zh-CN"/>
        </w:rPr>
        <w:t>”</w:t>
      </w:r>
      <w:r>
        <w:rPr>
          <w:rFonts w:hint="eastAsia" w:cs="宋体"/>
          <w:color w:val="auto"/>
          <w:highlight w:val="none"/>
        </w:rPr>
        <w:t>授权直接确定中标人外，评标委员会按照本章规定的顺序推荐中标候选人。</w:t>
      </w:r>
    </w:p>
    <w:p w14:paraId="540FDAE1">
      <w:pPr>
        <w:spacing w:line="360" w:lineRule="auto"/>
        <w:ind w:firstLine="420" w:firstLineChars="200"/>
        <w:rPr>
          <w:color w:val="auto"/>
          <w:highlight w:val="none"/>
        </w:rPr>
      </w:pPr>
      <w:r>
        <w:rPr>
          <w:color w:val="auto"/>
          <w:highlight w:val="none"/>
        </w:rPr>
        <w:t xml:space="preserve">3.4.2 </w:t>
      </w:r>
      <w:r>
        <w:rPr>
          <w:rFonts w:hint="eastAsia" w:cs="宋体"/>
          <w:color w:val="auto"/>
          <w:highlight w:val="none"/>
        </w:rPr>
        <w:t>评标委员会完成评标后，应当向招标人提交书面评标报告。</w:t>
      </w:r>
    </w:p>
    <w:p w14:paraId="0263C5DF">
      <w:pPr>
        <w:spacing w:line="360" w:lineRule="auto"/>
        <w:ind w:firstLine="424" w:firstLineChars="202"/>
        <w:rPr>
          <w:color w:val="auto"/>
          <w:highlight w:val="none"/>
        </w:rPr>
      </w:pPr>
      <w:r>
        <w:rPr>
          <w:color w:val="auto"/>
          <w:highlight w:val="none"/>
        </w:rPr>
        <w:t xml:space="preserve">3.4.3 </w:t>
      </w:r>
      <w:r>
        <w:rPr>
          <w:rFonts w:hint="eastAsia" w:cs="宋体"/>
          <w:color w:val="auto"/>
          <w:highlight w:val="none"/>
        </w:rPr>
        <w:t>评标委员会应将评标过程中使用的文件、表格以及其他材料即时归还招标人。招标人应当按照</w:t>
      </w:r>
      <w:r>
        <w:rPr>
          <w:rFonts w:hint="eastAsia" w:cs="宋体"/>
          <w:color w:val="auto"/>
          <w:highlight w:val="none"/>
          <w:lang w:eastAsia="zh-CN"/>
        </w:rPr>
        <w:t>“</w:t>
      </w:r>
      <w:r>
        <w:rPr>
          <w:rFonts w:hint="eastAsia" w:cs="宋体"/>
          <w:color w:val="auto"/>
          <w:highlight w:val="none"/>
        </w:rPr>
        <w:t>投标人须知前附表</w:t>
      </w:r>
      <w:r>
        <w:rPr>
          <w:rFonts w:hint="eastAsia" w:cs="宋体"/>
          <w:color w:val="auto"/>
          <w:highlight w:val="none"/>
          <w:lang w:eastAsia="zh-CN"/>
        </w:rPr>
        <w:t>”</w:t>
      </w:r>
      <w:r>
        <w:rPr>
          <w:rFonts w:hint="eastAsia" w:cs="宋体"/>
          <w:color w:val="auto"/>
          <w:highlight w:val="none"/>
        </w:rPr>
        <w:t>规定的封存方式封存评标资料。</w:t>
      </w:r>
    </w:p>
    <w:p w14:paraId="3CD67767">
      <w:pPr>
        <w:spacing w:line="360" w:lineRule="auto"/>
        <w:rPr>
          <w:color w:val="auto"/>
          <w:highlight w:val="none"/>
        </w:rPr>
        <w:sectPr>
          <w:pgSz w:w="11907" w:h="16840"/>
          <w:pgMar w:top="1440" w:right="1440" w:bottom="1440" w:left="1797" w:header="851" w:footer="851" w:gutter="0"/>
          <w:cols w:space="720" w:num="1"/>
          <w:docGrid w:linePitch="312" w:charSpace="0"/>
        </w:sectPr>
      </w:pPr>
    </w:p>
    <w:p w14:paraId="54B29BC6">
      <w:pPr>
        <w:pStyle w:val="3"/>
        <w:jc w:val="center"/>
        <w:rPr>
          <w:color w:val="auto"/>
          <w:highlight w:val="none"/>
        </w:rPr>
      </w:pPr>
      <w:bookmarkStart w:id="495" w:name="_Toc389065250"/>
      <w:bookmarkStart w:id="496" w:name="_Toc617804189"/>
      <w:bookmarkStart w:id="497" w:name="_Toc10321"/>
      <w:bookmarkStart w:id="498" w:name="_Toc78449745"/>
      <w:bookmarkStart w:id="499" w:name="_Toc407135180"/>
      <w:r>
        <w:rPr>
          <w:rFonts w:hint="eastAsia" w:cs="黑体"/>
          <w:color w:val="auto"/>
          <w:highlight w:val="none"/>
        </w:rPr>
        <w:t>附件</w:t>
      </w:r>
      <w:r>
        <w:rPr>
          <w:color w:val="auto"/>
          <w:highlight w:val="none"/>
        </w:rPr>
        <w:t>A</w:t>
      </w:r>
      <w:bookmarkEnd w:id="495"/>
      <w:r>
        <w:rPr>
          <w:color w:val="auto"/>
          <w:highlight w:val="none"/>
        </w:rPr>
        <w:t xml:space="preserve">  </w:t>
      </w:r>
      <w:r>
        <w:rPr>
          <w:rFonts w:hint="eastAsia" w:cs="黑体"/>
          <w:color w:val="auto"/>
          <w:highlight w:val="none"/>
        </w:rPr>
        <w:t>评标详细程序</w:t>
      </w:r>
      <w:bookmarkEnd w:id="496"/>
      <w:bookmarkEnd w:id="497"/>
      <w:bookmarkEnd w:id="498"/>
      <w:bookmarkEnd w:id="499"/>
      <w:bookmarkStart w:id="500" w:name="_Toc389065251"/>
    </w:p>
    <w:p w14:paraId="113346E3">
      <w:pPr>
        <w:pStyle w:val="4"/>
        <w:rPr>
          <w:color w:val="auto"/>
          <w:highlight w:val="none"/>
        </w:rPr>
      </w:pPr>
      <w:bookmarkStart w:id="501" w:name="_Toc2104676258"/>
      <w:bookmarkStart w:id="502" w:name="_Toc10593"/>
      <w:bookmarkStart w:id="503" w:name="_Toc407135181"/>
      <w:bookmarkStart w:id="504" w:name="_Toc900842433"/>
      <w:bookmarkStart w:id="505" w:name="_Toc9424"/>
      <w:bookmarkStart w:id="506" w:name="_Toc78449746"/>
      <w:r>
        <w:rPr>
          <w:color w:val="auto"/>
          <w:highlight w:val="none"/>
        </w:rPr>
        <w:t xml:space="preserve">A0 </w:t>
      </w:r>
      <w:r>
        <w:rPr>
          <w:rFonts w:hint="eastAsia" w:cs="黑体"/>
          <w:color w:val="auto"/>
          <w:highlight w:val="none"/>
        </w:rPr>
        <w:t>总</w:t>
      </w:r>
      <w:r>
        <w:rPr>
          <w:color w:val="auto"/>
          <w:highlight w:val="none"/>
        </w:rPr>
        <w:t xml:space="preserve">  </w:t>
      </w:r>
      <w:r>
        <w:rPr>
          <w:rFonts w:hint="eastAsia" w:cs="黑体"/>
          <w:color w:val="auto"/>
          <w:highlight w:val="none"/>
        </w:rPr>
        <w:t>则</w:t>
      </w:r>
      <w:bookmarkEnd w:id="500"/>
      <w:bookmarkEnd w:id="501"/>
      <w:bookmarkEnd w:id="502"/>
      <w:bookmarkEnd w:id="503"/>
      <w:bookmarkEnd w:id="504"/>
      <w:bookmarkEnd w:id="505"/>
      <w:bookmarkEnd w:id="506"/>
    </w:p>
    <w:p w14:paraId="1689A244">
      <w:pPr>
        <w:spacing w:line="360" w:lineRule="auto"/>
        <w:ind w:firstLine="420" w:firstLineChars="200"/>
        <w:outlineLvl w:val="0"/>
        <w:rPr>
          <w:b/>
          <w:bCs/>
          <w:color w:val="auto"/>
          <w:highlight w:val="none"/>
        </w:rPr>
      </w:pPr>
      <w:bookmarkStart w:id="507" w:name="_Toc389065252"/>
      <w:r>
        <w:rPr>
          <w:rFonts w:hint="eastAsia" w:cs="宋体"/>
          <w:color w:val="auto"/>
          <w:highlight w:val="none"/>
        </w:rPr>
        <w:t>本附件是本章</w:t>
      </w:r>
      <w:r>
        <w:rPr>
          <w:rFonts w:hint="eastAsia"/>
          <w:color w:val="auto"/>
          <w:highlight w:val="none"/>
          <w:lang w:eastAsia="zh-CN"/>
        </w:rPr>
        <w:t>“</w:t>
      </w:r>
      <w:r>
        <w:rPr>
          <w:rFonts w:hint="eastAsia" w:cs="宋体"/>
          <w:color w:val="auto"/>
          <w:highlight w:val="none"/>
        </w:rPr>
        <w:t>评标办法</w:t>
      </w:r>
      <w:r>
        <w:rPr>
          <w:rFonts w:hint="eastAsia"/>
          <w:color w:val="auto"/>
          <w:highlight w:val="none"/>
          <w:lang w:eastAsia="zh-CN"/>
        </w:rPr>
        <w:t>”</w:t>
      </w:r>
      <w:r>
        <w:rPr>
          <w:rFonts w:hint="eastAsia" w:cs="宋体"/>
          <w:color w:val="auto"/>
          <w:highlight w:val="none"/>
        </w:rPr>
        <w:t>的组成部分，是对本章第</w:t>
      </w:r>
      <w:r>
        <w:rPr>
          <w:color w:val="auto"/>
          <w:highlight w:val="none"/>
        </w:rPr>
        <w:t>3</w:t>
      </w:r>
      <w:r>
        <w:rPr>
          <w:rFonts w:hint="eastAsia" w:cs="宋体"/>
          <w:color w:val="auto"/>
          <w:highlight w:val="none"/>
        </w:rPr>
        <w:t>条所规定的评标程序的进一步细化，评标委员会应当按照本附件所规定的详细程序开展并完成评标工作。</w:t>
      </w:r>
      <w:bookmarkEnd w:id="507"/>
    </w:p>
    <w:p w14:paraId="250122EF">
      <w:pPr>
        <w:pStyle w:val="4"/>
        <w:rPr>
          <w:color w:val="auto"/>
          <w:highlight w:val="none"/>
        </w:rPr>
      </w:pPr>
      <w:bookmarkStart w:id="508" w:name="_Toc307409263"/>
      <w:bookmarkStart w:id="509" w:name="_Toc407135182"/>
      <w:bookmarkStart w:id="510" w:name="_Toc389065253"/>
      <w:bookmarkStart w:id="511" w:name="_Toc78449747"/>
      <w:bookmarkStart w:id="512" w:name="_Toc19629"/>
      <w:bookmarkStart w:id="513" w:name="_Toc17616"/>
      <w:bookmarkStart w:id="514" w:name="_Toc531907959"/>
      <w:r>
        <w:rPr>
          <w:color w:val="auto"/>
          <w:highlight w:val="none"/>
        </w:rPr>
        <w:t xml:space="preserve">A1 </w:t>
      </w:r>
      <w:r>
        <w:rPr>
          <w:rFonts w:hint="eastAsia" w:cs="黑体"/>
          <w:color w:val="auto"/>
          <w:highlight w:val="none"/>
        </w:rPr>
        <w:t>基本程序</w:t>
      </w:r>
      <w:bookmarkEnd w:id="508"/>
      <w:bookmarkEnd w:id="509"/>
      <w:bookmarkEnd w:id="510"/>
      <w:bookmarkEnd w:id="511"/>
      <w:bookmarkEnd w:id="512"/>
      <w:bookmarkEnd w:id="513"/>
      <w:bookmarkEnd w:id="514"/>
    </w:p>
    <w:p w14:paraId="09CBEAB1">
      <w:pPr>
        <w:spacing w:line="360" w:lineRule="auto"/>
        <w:ind w:firstLine="420" w:firstLineChars="200"/>
        <w:rPr>
          <w:color w:val="auto"/>
          <w:highlight w:val="none"/>
        </w:rPr>
      </w:pPr>
      <w:r>
        <w:rPr>
          <w:rFonts w:hint="eastAsia" w:cs="宋体"/>
          <w:color w:val="auto"/>
          <w:highlight w:val="none"/>
        </w:rPr>
        <w:t>评标活动将按以下五个步骤进行：</w:t>
      </w:r>
    </w:p>
    <w:p w14:paraId="7DDF603A">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）评标准备；</w:t>
      </w:r>
    </w:p>
    <w:p w14:paraId="003B2132">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）初步评审；</w:t>
      </w:r>
    </w:p>
    <w:p w14:paraId="7BDFF343">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）详细评审；</w:t>
      </w:r>
    </w:p>
    <w:p w14:paraId="38B590A0">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）澄清、说明或补正；</w:t>
      </w:r>
    </w:p>
    <w:p w14:paraId="31B57A23">
      <w:pPr>
        <w:spacing w:line="360" w:lineRule="auto"/>
        <w:ind w:firstLine="420" w:firstLineChars="200"/>
        <w:rPr>
          <w:b/>
          <w:bCs/>
          <w:color w:val="auto"/>
          <w:highlight w:val="none"/>
        </w:rPr>
      </w:pPr>
      <w:r>
        <w:rPr>
          <w:rFonts w:hint="eastAsia" w:cs="宋体"/>
          <w:color w:val="auto"/>
          <w:highlight w:val="none"/>
        </w:rPr>
        <w:t>（</w:t>
      </w:r>
      <w:r>
        <w:rPr>
          <w:color w:val="auto"/>
          <w:highlight w:val="none"/>
        </w:rPr>
        <w:t>5</w:t>
      </w:r>
      <w:r>
        <w:rPr>
          <w:rFonts w:hint="eastAsia" w:cs="宋体"/>
          <w:color w:val="auto"/>
          <w:highlight w:val="none"/>
        </w:rPr>
        <w:t>）推荐中标候选人或者直接确定中标人及提交评标报告。</w:t>
      </w:r>
    </w:p>
    <w:p w14:paraId="35BF3937">
      <w:pPr>
        <w:pStyle w:val="4"/>
        <w:rPr>
          <w:color w:val="auto"/>
          <w:highlight w:val="none"/>
        </w:rPr>
      </w:pPr>
      <w:bookmarkStart w:id="515" w:name="_Toc716886411"/>
      <w:bookmarkStart w:id="516" w:name="_Toc22659"/>
      <w:bookmarkStart w:id="517" w:name="_Toc78449748"/>
      <w:bookmarkStart w:id="518" w:name="_Toc10386"/>
      <w:bookmarkStart w:id="519" w:name="_Toc1077485706"/>
      <w:bookmarkStart w:id="520" w:name="_Toc407135183"/>
      <w:r>
        <w:rPr>
          <w:color w:val="auto"/>
          <w:highlight w:val="none"/>
        </w:rPr>
        <w:t xml:space="preserve">A2 </w:t>
      </w:r>
      <w:r>
        <w:rPr>
          <w:rFonts w:hint="eastAsia" w:cs="黑体"/>
          <w:color w:val="auto"/>
          <w:highlight w:val="none"/>
        </w:rPr>
        <w:t>评标准备</w:t>
      </w:r>
      <w:bookmarkEnd w:id="515"/>
      <w:bookmarkEnd w:id="516"/>
      <w:bookmarkEnd w:id="517"/>
      <w:bookmarkEnd w:id="518"/>
      <w:bookmarkEnd w:id="519"/>
      <w:bookmarkEnd w:id="520"/>
    </w:p>
    <w:p w14:paraId="53BA456A">
      <w:pPr>
        <w:spacing w:line="360" w:lineRule="auto"/>
        <w:ind w:firstLine="420" w:firstLineChars="200"/>
        <w:outlineLvl w:val="0"/>
        <w:rPr>
          <w:color w:val="auto"/>
          <w:highlight w:val="none"/>
        </w:rPr>
      </w:pPr>
      <w:r>
        <w:rPr>
          <w:color w:val="auto"/>
          <w:highlight w:val="none"/>
        </w:rPr>
        <w:t xml:space="preserve">A2.1 </w:t>
      </w:r>
      <w:r>
        <w:rPr>
          <w:rFonts w:hint="eastAsia" w:cs="宋体"/>
          <w:color w:val="auto"/>
          <w:highlight w:val="none"/>
        </w:rPr>
        <w:t>评标委员会成员签到</w:t>
      </w:r>
    </w:p>
    <w:p w14:paraId="51798EBA">
      <w:pPr>
        <w:spacing w:line="360" w:lineRule="auto"/>
        <w:ind w:firstLine="420" w:firstLineChars="200"/>
        <w:rPr>
          <w:color w:val="auto"/>
          <w:highlight w:val="none"/>
        </w:rPr>
      </w:pPr>
      <w:r>
        <w:rPr>
          <w:rFonts w:hint="eastAsia" w:cs="宋体"/>
          <w:color w:val="auto"/>
          <w:highlight w:val="none"/>
        </w:rPr>
        <w:t>评标委员会成员到达评标现场时应在签到表上签到以证明其出席。</w:t>
      </w:r>
    </w:p>
    <w:p w14:paraId="7162C127">
      <w:pPr>
        <w:spacing w:line="360" w:lineRule="auto"/>
        <w:ind w:firstLine="420" w:firstLineChars="200"/>
        <w:rPr>
          <w:color w:val="auto"/>
          <w:highlight w:val="none"/>
        </w:rPr>
      </w:pPr>
      <w:r>
        <w:rPr>
          <w:color w:val="auto"/>
          <w:highlight w:val="none"/>
        </w:rPr>
        <w:t xml:space="preserve">A2.2 </w:t>
      </w:r>
      <w:r>
        <w:rPr>
          <w:rFonts w:hint="eastAsia" w:cs="宋体"/>
          <w:color w:val="auto"/>
          <w:highlight w:val="none"/>
        </w:rPr>
        <w:t>评标委员会的组建和分工</w:t>
      </w:r>
    </w:p>
    <w:p w14:paraId="191DC1B6">
      <w:pPr>
        <w:spacing w:line="360" w:lineRule="auto"/>
        <w:ind w:firstLine="420" w:firstLineChars="200"/>
        <w:rPr>
          <w:color w:val="auto"/>
          <w:highlight w:val="none"/>
        </w:rPr>
      </w:pPr>
      <w:r>
        <w:rPr>
          <w:rFonts w:hint="eastAsia" w:cs="宋体"/>
          <w:color w:val="auto"/>
          <w:highlight w:val="none"/>
        </w:rPr>
        <w:t>评标委员会应按照投标人须知前附表第</w:t>
      </w:r>
      <w:r>
        <w:rPr>
          <w:color w:val="auto"/>
          <w:highlight w:val="none"/>
        </w:rPr>
        <w:t>6.1</w:t>
      </w:r>
      <w:r>
        <w:rPr>
          <w:rFonts w:hint="eastAsia" w:cs="宋体"/>
          <w:color w:val="auto"/>
          <w:highlight w:val="none"/>
        </w:rPr>
        <w:t>条的规定组建。首先通过电子评标系统以记名方式推选一名评标委员会</w:t>
      </w:r>
      <w:r>
        <w:rPr>
          <w:rFonts w:hint="eastAsia" w:cs="宋体"/>
          <w:color w:val="auto"/>
          <w:highlight w:val="none"/>
          <w:lang w:eastAsia="zh-CN"/>
        </w:rPr>
        <w:t>主任（组长）</w:t>
      </w:r>
      <w:r>
        <w:rPr>
          <w:rFonts w:hint="eastAsia" w:cs="宋体"/>
          <w:color w:val="auto"/>
          <w:highlight w:val="none"/>
        </w:rPr>
        <w:t>。评标委员会</w:t>
      </w:r>
      <w:r>
        <w:rPr>
          <w:rFonts w:hint="eastAsia" w:cs="宋体"/>
          <w:color w:val="auto"/>
          <w:highlight w:val="none"/>
          <w:lang w:eastAsia="zh-CN"/>
        </w:rPr>
        <w:t>主任（组长）</w:t>
      </w:r>
      <w:r>
        <w:rPr>
          <w:rFonts w:hint="eastAsia" w:cs="宋体"/>
          <w:color w:val="auto"/>
          <w:highlight w:val="none"/>
        </w:rPr>
        <w:t>负责评标活动的组织工作。当需要划分技术类、经济类评委时，应按照规定组建为技术组评委和经济组评委。招标人代表参加评标委员会的，应明确参加类别。</w:t>
      </w:r>
    </w:p>
    <w:p w14:paraId="6288F799">
      <w:pPr>
        <w:spacing w:line="360" w:lineRule="auto"/>
        <w:ind w:firstLine="420" w:firstLineChars="200"/>
        <w:rPr>
          <w:color w:val="auto"/>
          <w:highlight w:val="none"/>
        </w:rPr>
      </w:pPr>
      <w:r>
        <w:rPr>
          <w:rFonts w:hint="eastAsia" w:cs="宋体"/>
          <w:color w:val="auto"/>
          <w:highlight w:val="none"/>
        </w:rPr>
        <w:t>在本附件的表述中，当评委划分为技术类、经济类时，除标明由技术类或经济类评委实施评审外，其余由评标委员会全体委员进行。</w:t>
      </w:r>
    </w:p>
    <w:p w14:paraId="5C5AB10B">
      <w:pPr>
        <w:spacing w:line="360" w:lineRule="auto"/>
        <w:ind w:firstLine="420" w:firstLineChars="200"/>
        <w:outlineLvl w:val="0"/>
        <w:rPr>
          <w:color w:val="auto"/>
          <w:highlight w:val="none"/>
        </w:rPr>
      </w:pPr>
      <w:r>
        <w:rPr>
          <w:color w:val="auto"/>
          <w:highlight w:val="none"/>
        </w:rPr>
        <w:t xml:space="preserve">A2.3 </w:t>
      </w:r>
      <w:r>
        <w:rPr>
          <w:rFonts w:hint="eastAsia" w:cs="宋体"/>
          <w:color w:val="auto"/>
          <w:highlight w:val="none"/>
        </w:rPr>
        <w:t>熟悉文件资料</w:t>
      </w:r>
    </w:p>
    <w:p w14:paraId="7E25E1FB">
      <w:pPr>
        <w:spacing w:line="360" w:lineRule="auto"/>
        <w:ind w:firstLine="420" w:firstLineChars="200"/>
        <w:rPr>
          <w:color w:val="auto"/>
          <w:highlight w:val="none"/>
        </w:rPr>
      </w:pPr>
      <w:r>
        <w:rPr>
          <w:color w:val="auto"/>
          <w:highlight w:val="none"/>
        </w:rPr>
        <w:t xml:space="preserve">A2.3.1 </w:t>
      </w:r>
      <w:r>
        <w:rPr>
          <w:rFonts w:hint="eastAsia" w:cs="宋体"/>
          <w:color w:val="auto"/>
          <w:highlight w:val="none"/>
        </w:rPr>
        <w:t>评标委员会</w:t>
      </w:r>
      <w:r>
        <w:rPr>
          <w:rFonts w:hint="eastAsia" w:cs="宋体"/>
          <w:color w:val="auto"/>
          <w:highlight w:val="none"/>
          <w:lang w:eastAsia="zh-CN"/>
        </w:rPr>
        <w:t>主任（组长）</w:t>
      </w:r>
      <w:r>
        <w:rPr>
          <w:rFonts w:hint="eastAsia" w:cs="宋体"/>
          <w:color w:val="auto"/>
          <w:highlight w:val="none"/>
        </w:rPr>
        <w:t>应组织评标委员会成员认真研究招标文件，了解和熟悉招标目的、招标范围、主要合同条件、技术标准和要求、质量标准和工期要求，掌握评标标准和方法，熟悉本章及附件中包括的评标表格的使用。</w:t>
      </w:r>
    </w:p>
    <w:p w14:paraId="1FA8DF5E">
      <w:pPr>
        <w:spacing w:line="360" w:lineRule="auto"/>
        <w:ind w:firstLine="420" w:firstLineChars="200"/>
        <w:rPr>
          <w:b/>
          <w:bCs/>
          <w:color w:val="auto"/>
          <w:highlight w:val="none"/>
        </w:rPr>
      </w:pPr>
      <w:r>
        <w:rPr>
          <w:color w:val="auto"/>
          <w:highlight w:val="none"/>
        </w:rPr>
        <w:t xml:space="preserve">A2.3.2 </w:t>
      </w:r>
      <w:r>
        <w:rPr>
          <w:rFonts w:hint="eastAsia" w:cs="宋体"/>
          <w:color w:val="auto"/>
          <w:highlight w:val="none"/>
        </w:rPr>
        <w:t>招标人或招标代理机构应向评标委员会提供评标所需的信息和数据，包括招标文件、未在开标会上当场拒绝的各投标文件、开标会记录、</w:t>
      </w:r>
      <w:r>
        <w:rPr>
          <w:rFonts w:hint="eastAsia" w:cs="宋体"/>
          <w:color w:val="auto"/>
          <w:highlight w:val="none"/>
          <w:lang w:eastAsia="zh-CN"/>
        </w:rPr>
        <w:t>最高投标限价</w:t>
      </w:r>
      <w:r>
        <w:rPr>
          <w:rFonts w:hint="eastAsia" w:cs="宋体"/>
          <w:color w:val="auto"/>
          <w:highlight w:val="none"/>
        </w:rPr>
        <w:t>、工程所在地工程造价管理部门颁布的工程造价信息、定额（如作为计价依据时）、有关的</w:t>
      </w:r>
      <w:r>
        <w:rPr>
          <w:rFonts w:hint="eastAsia" w:cs="宋体"/>
          <w:color w:val="auto"/>
          <w:highlight w:val="none"/>
          <w:lang w:eastAsia="zh-CN"/>
        </w:rPr>
        <w:t>法律法规</w:t>
      </w:r>
      <w:r>
        <w:rPr>
          <w:rFonts w:hint="eastAsia" w:cs="宋体"/>
          <w:color w:val="auto"/>
          <w:highlight w:val="none"/>
        </w:rPr>
        <w:t>、规章、国家标准以及招标人或评标委员会认为必要的其他信息和数据。</w:t>
      </w:r>
    </w:p>
    <w:p w14:paraId="655626C4">
      <w:pPr>
        <w:pStyle w:val="4"/>
        <w:rPr>
          <w:color w:val="auto"/>
          <w:highlight w:val="none"/>
        </w:rPr>
      </w:pPr>
      <w:bookmarkStart w:id="521" w:name="_Toc1458"/>
      <w:bookmarkStart w:id="522" w:name="_Toc785306888"/>
      <w:bookmarkStart w:id="523" w:name="_Toc407135184"/>
      <w:bookmarkStart w:id="524" w:name="_Toc1112907658"/>
      <w:bookmarkStart w:id="525" w:name="_Toc78449749"/>
      <w:bookmarkStart w:id="526" w:name="_Toc26052"/>
      <w:r>
        <w:rPr>
          <w:color w:val="auto"/>
          <w:highlight w:val="none"/>
        </w:rPr>
        <w:t xml:space="preserve">A3 </w:t>
      </w:r>
      <w:r>
        <w:rPr>
          <w:rFonts w:hint="eastAsia" w:cs="黑体"/>
          <w:color w:val="auto"/>
          <w:highlight w:val="none"/>
        </w:rPr>
        <w:t>初步评审</w:t>
      </w:r>
      <w:bookmarkEnd w:id="521"/>
      <w:bookmarkEnd w:id="522"/>
      <w:bookmarkEnd w:id="523"/>
      <w:bookmarkEnd w:id="524"/>
      <w:bookmarkEnd w:id="525"/>
      <w:bookmarkEnd w:id="526"/>
    </w:p>
    <w:p w14:paraId="3F1F198A">
      <w:pPr>
        <w:spacing w:line="360" w:lineRule="auto"/>
        <w:ind w:firstLine="420" w:firstLineChars="200"/>
        <w:rPr>
          <w:color w:val="auto"/>
          <w:spacing w:val="-2"/>
          <w:highlight w:val="none"/>
        </w:rPr>
      </w:pPr>
      <w:r>
        <w:rPr>
          <w:color w:val="auto"/>
          <w:highlight w:val="none"/>
        </w:rPr>
        <w:t>A3.1</w:t>
      </w:r>
      <w:r>
        <w:rPr>
          <w:rFonts w:hint="eastAsia" w:cs="宋体"/>
          <w:color w:val="auto"/>
          <w:highlight w:val="none"/>
        </w:rPr>
        <w:t>形式评审</w:t>
      </w:r>
    </w:p>
    <w:p w14:paraId="14AB739A">
      <w:pPr>
        <w:spacing w:line="360" w:lineRule="auto"/>
        <w:ind w:firstLine="412" w:firstLineChars="200"/>
        <w:rPr>
          <w:color w:val="auto"/>
          <w:highlight w:val="none"/>
        </w:rPr>
      </w:pPr>
      <w:r>
        <w:rPr>
          <w:rFonts w:hint="eastAsia" w:cs="宋体"/>
          <w:color w:val="auto"/>
          <w:spacing w:val="-2"/>
          <w:highlight w:val="none"/>
        </w:rPr>
        <w:t>评标委员会根据</w:t>
      </w:r>
      <w:r>
        <w:rPr>
          <w:rFonts w:hint="eastAsia"/>
          <w:color w:val="auto"/>
          <w:spacing w:val="-2"/>
          <w:highlight w:val="none"/>
          <w:lang w:eastAsia="zh-CN"/>
        </w:rPr>
        <w:t>“</w:t>
      </w:r>
      <w:r>
        <w:rPr>
          <w:rFonts w:hint="eastAsia" w:cs="宋体"/>
          <w:color w:val="auto"/>
          <w:spacing w:val="-2"/>
          <w:highlight w:val="none"/>
        </w:rPr>
        <w:t>评标办法前附表</w:t>
      </w:r>
      <w:r>
        <w:rPr>
          <w:rFonts w:hint="eastAsia"/>
          <w:color w:val="auto"/>
          <w:spacing w:val="-2"/>
          <w:highlight w:val="none"/>
          <w:lang w:eastAsia="zh-CN"/>
        </w:rPr>
        <w:t>”</w:t>
      </w:r>
      <w:r>
        <w:rPr>
          <w:rFonts w:hint="eastAsia" w:cs="宋体"/>
          <w:color w:val="auto"/>
          <w:spacing w:val="-2"/>
          <w:highlight w:val="none"/>
        </w:rPr>
        <w:t>中规定的评审因素和评审标准，对投标人的投标文件进行形式评审。</w:t>
      </w:r>
    </w:p>
    <w:p w14:paraId="69BBB5A2">
      <w:pPr>
        <w:spacing w:line="360" w:lineRule="auto"/>
        <w:ind w:firstLine="420" w:firstLineChars="200"/>
        <w:rPr>
          <w:color w:val="auto"/>
          <w:highlight w:val="none"/>
        </w:rPr>
      </w:pPr>
      <w:r>
        <w:rPr>
          <w:color w:val="auto"/>
          <w:highlight w:val="none"/>
        </w:rPr>
        <w:t xml:space="preserve">A3.2 </w:t>
      </w:r>
      <w:r>
        <w:rPr>
          <w:rFonts w:hint="eastAsia" w:cs="宋体"/>
          <w:color w:val="auto"/>
          <w:highlight w:val="none"/>
        </w:rPr>
        <w:t>响应性评审</w:t>
      </w:r>
    </w:p>
    <w:p w14:paraId="5A9AFA8D">
      <w:pPr>
        <w:spacing w:line="360" w:lineRule="auto"/>
        <w:ind w:firstLine="420" w:firstLineChars="200"/>
        <w:rPr>
          <w:color w:val="auto"/>
          <w:highlight w:val="none"/>
        </w:rPr>
      </w:pPr>
      <w:r>
        <w:rPr>
          <w:color w:val="auto"/>
          <w:highlight w:val="none"/>
        </w:rPr>
        <w:t xml:space="preserve">A3.2.1 </w:t>
      </w:r>
      <w:r>
        <w:rPr>
          <w:rFonts w:hint="eastAsia" w:cs="宋体"/>
          <w:color w:val="auto"/>
          <w:highlight w:val="none"/>
        </w:rPr>
        <w:t>评标委员会根据</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中规定的评审因素和评审标准，对投标人的投标文件进行响应性评审。</w:t>
      </w:r>
    </w:p>
    <w:p w14:paraId="27803083">
      <w:pPr>
        <w:spacing w:line="360" w:lineRule="auto"/>
        <w:ind w:firstLine="420" w:firstLineChars="200"/>
        <w:rPr>
          <w:rFonts w:cs="宋体"/>
          <w:color w:val="auto"/>
          <w:highlight w:val="none"/>
        </w:rPr>
      </w:pPr>
      <w:r>
        <w:rPr>
          <w:color w:val="auto"/>
          <w:highlight w:val="none"/>
        </w:rPr>
        <w:t xml:space="preserve">A3.2.2 </w:t>
      </w:r>
      <w:r>
        <w:rPr>
          <w:rFonts w:hint="eastAsia" w:cs="宋体"/>
          <w:color w:val="auto"/>
          <w:highlight w:val="none"/>
        </w:rPr>
        <w:t>投标人投标总价不得超出（不含等于）招标人公布的</w:t>
      </w:r>
      <w:r>
        <w:rPr>
          <w:rFonts w:hint="eastAsia" w:cs="宋体"/>
          <w:color w:val="auto"/>
          <w:highlight w:val="none"/>
          <w:lang w:eastAsia="zh-CN"/>
        </w:rPr>
        <w:t>最高投标限价</w:t>
      </w:r>
      <w:r>
        <w:rPr>
          <w:rFonts w:hint="eastAsia" w:cs="宋体"/>
          <w:color w:val="auto"/>
          <w:highlight w:val="none"/>
        </w:rPr>
        <w:t>，凡投标人的投标总价超出</w:t>
      </w:r>
      <w:r>
        <w:rPr>
          <w:rFonts w:hint="eastAsia" w:cs="宋体"/>
          <w:color w:val="auto"/>
          <w:highlight w:val="none"/>
          <w:lang w:eastAsia="zh-CN"/>
        </w:rPr>
        <w:t>最高投标限价</w:t>
      </w:r>
      <w:r>
        <w:rPr>
          <w:rFonts w:hint="eastAsia" w:cs="宋体"/>
          <w:color w:val="auto"/>
          <w:highlight w:val="none"/>
        </w:rPr>
        <w:t>的，该投标人的投标文件不能通过响应性评审。</w:t>
      </w:r>
    </w:p>
    <w:p w14:paraId="4D0DD8EC">
      <w:pPr>
        <w:spacing w:line="360" w:lineRule="auto"/>
        <w:ind w:firstLine="420" w:firstLineChars="200"/>
        <w:outlineLvl w:val="0"/>
        <w:rPr>
          <w:color w:val="auto"/>
          <w:spacing w:val="-2"/>
          <w:highlight w:val="none"/>
        </w:rPr>
      </w:pPr>
      <w:r>
        <w:rPr>
          <w:color w:val="auto"/>
          <w:highlight w:val="none"/>
        </w:rPr>
        <w:t xml:space="preserve">A3.3 </w:t>
      </w:r>
      <w:r>
        <w:rPr>
          <w:rFonts w:hint="eastAsia" w:cs="宋体"/>
          <w:color w:val="auto"/>
          <w:highlight w:val="none"/>
        </w:rPr>
        <w:t>资格评审</w:t>
      </w:r>
    </w:p>
    <w:p w14:paraId="1698B363">
      <w:pPr>
        <w:spacing w:line="360" w:lineRule="auto"/>
        <w:ind w:firstLine="412" w:firstLineChars="200"/>
        <w:rPr>
          <w:rFonts w:hint="eastAsia"/>
          <w:color w:val="auto"/>
          <w:highlight w:val="none"/>
        </w:rPr>
      </w:pPr>
      <w:r>
        <w:rPr>
          <w:rFonts w:hint="eastAsia" w:cs="宋体"/>
          <w:color w:val="auto"/>
          <w:spacing w:val="-2"/>
          <w:highlight w:val="none"/>
        </w:rPr>
        <w:t>评标委员会根据</w:t>
      </w:r>
      <w:r>
        <w:rPr>
          <w:rFonts w:hint="eastAsia"/>
          <w:color w:val="auto"/>
          <w:spacing w:val="-2"/>
          <w:highlight w:val="none"/>
          <w:lang w:eastAsia="zh-CN"/>
        </w:rPr>
        <w:t>“</w:t>
      </w:r>
      <w:r>
        <w:rPr>
          <w:rFonts w:hint="eastAsia" w:cs="宋体"/>
          <w:color w:val="auto"/>
          <w:spacing w:val="-2"/>
          <w:highlight w:val="none"/>
        </w:rPr>
        <w:t>评标办法前附表</w:t>
      </w:r>
      <w:r>
        <w:rPr>
          <w:rFonts w:hint="eastAsia"/>
          <w:color w:val="auto"/>
          <w:spacing w:val="-2"/>
          <w:highlight w:val="none"/>
          <w:lang w:eastAsia="zh-CN"/>
        </w:rPr>
        <w:t>”</w:t>
      </w:r>
      <w:r>
        <w:rPr>
          <w:rFonts w:hint="eastAsia" w:cs="宋体"/>
          <w:color w:val="auto"/>
          <w:spacing w:val="-2"/>
          <w:highlight w:val="none"/>
        </w:rPr>
        <w:t>中规定的评审因素和评审标准，对投标人的投标文件进行资格评审。</w:t>
      </w:r>
    </w:p>
    <w:p w14:paraId="340531C9">
      <w:pPr>
        <w:spacing w:line="360" w:lineRule="auto"/>
        <w:ind w:firstLine="420" w:firstLineChars="200"/>
        <w:rPr>
          <w:color w:val="auto"/>
          <w:highlight w:val="none"/>
        </w:rPr>
      </w:pPr>
      <w:r>
        <w:rPr>
          <w:color w:val="auto"/>
          <w:highlight w:val="none"/>
        </w:rPr>
        <w:t xml:space="preserve">A3.4 </w:t>
      </w:r>
      <w:r>
        <w:rPr>
          <w:rFonts w:hint="eastAsia" w:cs="宋体"/>
          <w:color w:val="auto"/>
          <w:highlight w:val="none"/>
        </w:rPr>
        <w:t>判断投标是否为否决投标</w:t>
      </w:r>
    </w:p>
    <w:p w14:paraId="30760232">
      <w:pPr>
        <w:spacing w:line="360" w:lineRule="auto"/>
        <w:ind w:firstLine="420" w:firstLineChars="200"/>
        <w:rPr>
          <w:color w:val="auto"/>
          <w:highlight w:val="none"/>
        </w:rPr>
      </w:pPr>
      <w:r>
        <w:rPr>
          <w:color w:val="auto"/>
          <w:highlight w:val="none"/>
        </w:rPr>
        <w:t xml:space="preserve">A3.4.1 </w:t>
      </w:r>
      <w:r>
        <w:rPr>
          <w:rFonts w:hint="eastAsia" w:cs="宋体"/>
          <w:color w:val="auto"/>
          <w:highlight w:val="none"/>
        </w:rPr>
        <w:t>判断投标人的投标是否为否决投标的全部条件（包括本章第</w:t>
      </w:r>
      <w:r>
        <w:rPr>
          <w:color w:val="auto"/>
          <w:highlight w:val="none"/>
        </w:rPr>
        <w:t>3.1.2</w:t>
      </w:r>
      <w:r>
        <w:rPr>
          <w:rFonts w:hint="eastAsia" w:cs="宋体"/>
          <w:color w:val="auto"/>
          <w:highlight w:val="none"/>
        </w:rPr>
        <w:t>项中规定的条件），在本章附件</w:t>
      </w:r>
      <w:r>
        <w:rPr>
          <w:color w:val="auto"/>
          <w:highlight w:val="none"/>
        </w:rPr>
        <w:t>B</w:t>
      </w:r>
      <w:r>
        <w:rPr>
          <w:rFonts w:hint="eastAsia" w:cs="宋体"/>
          <w:color w:val="auto"/>
          <w:highlight w:val="none"/>
        </w:rPr>
        <w:t>中集中列示。</w:t>
      </w:r>
    </w:p>
    <w:p w14:paraId="707F6514">
      <w:pPr>
        <w:spacing w:line="360" w:lineRule="auto"/>
        <w:ind w:firstLine="420" w:firstLineChars="200"/>
        <w:rPr>
          <w:color w:val="auto"/>
          <w:highlight w:val="none"/>
        </w:rPr>
      </w:pPr>
      <w:r>
        <w:rPr>
          <w:color w:val="auto"/>
          <w:highlight w:val="none"/>
        </w:rPr>
        <w:t xml:space="preserve">A3.4.2 </w:t>
      </w:r>
      <w:r>
        <w:rPr>
          <w:rFonts w:hint="eastAsia" w:cs="宋体"/>
          <w:color w:val="auto"/>
          <w:highlight w:val="none"/>
        </w:rPr>
        <w:t>本章附件</w:t>
      </w:r>
      <w:r>
        <w:rPr>
          <w:color w:val="auto"/>
          <w:highlight w:val="none"/>
        </w:rPr>
        <w:t>B</w:t>
      </w:r>
      <w:r>
        <w:rPr>
          <w:rFonts w:hint="eastAsia" w:cs="宋体"/>
          <w:color w:val="auto"/>
          <w:highlight w:val="none"/>
        </w:rPr>
        <w:t>集中列示的否决投标条件不应与第二章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和本章正文部分包括的否决投标条件抵触，如果出现相互矛盾的情况，以第二章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和本章正文部分的规定为准。</w:t>
      </w:r>
    </w:p>
    <w:p w14:paraId="771669D4">
      <w:pPr>
        <w:spacing w:line="360" w:lineRule="auto"/>
        <w:ind w:firstLine="420" w:firstLineChars="200"/>
        <w:rPr>
          <w:color w:val="auto"/>
          <w:highlight w:val="none"/>
        </w:rPr>
      </w:pPr>
      <w:r>
        <w:rPr>
          <w:color w:val="auto"/>
          <w:highlight w:val="none"/>
        </w:rPr>
        <w:t xml:space="preserve">A3.4.3 </w:t>
      </w:r>
      <w:r>
        <w:rPr>
          <w:rFonts w:hint="eastAsia" w:cs="宋体"/>
          <w:color w:val="auto"/>
          <w:highlight w:val="none"/>
        </w:rPr>
        <w:t>评标委员会在评标过程中，依据本章附件</w:t>
      </w:r>
      <w:r>
        <w:rPr>
          <w:color w:val="auto"/>
          <w:highlight w:val="none"/>
        </w:rPr>
        <w:t>B</w:t>
      </w:r>
      <w:r>
        <w:rPr>
          <w:rFonts w:hint="eastAsia" w:cs="宋体"/>
          <w:color w:val="auto"/>
          <w:highlight w:val="none"/>
        </w:rPr>
        <w:t>中规定的否决投标条件判断投标人的投标是否为否决投标。</w:t>
      </w:r>
    </w:p>
    <w:p w14:paraId="15907B55">
      <w:pPr>
        <w:spacing w:line="360" w:lineRule="auto"/>
        <w:ind w:firstLine="420" w:firstLineChars="200"/>
        <w:outlineLvl w:val="0"/>
        <w:rPr>
          <w:color w:val="auto"/>
          <w:highlight w:val="none"/>
        </w:rPr>
      </w:pPr>
      <w:r>
        <w:rPr>
          <w:color w:val="auto"/>
          <w:highlight w:val="none"/>
        </w:rPr>
        <w:t xml:space="preserve">A3.5 </w:t>
      </w:r>
      <w:r>
        <w:rPr>
          <w:rFonts w:hint="eastAsia" w:cs="宋体"/>
          <w:color w:val="auto"/>
          <w:highlight w:val="none"/>
        </w:rPr>
        <w:t>澄清、说明或补正</w:t>
      </w:r>
    </w:p>
    <w:p w14:paraId="436707F6">
      <w:pPr>
        <w:spacing w:line="360" w:lineRule="auto"/>
        <w:ind w:firstLine="420" w:firstLineChars="200"/>
        <w:rPr>
          <w:rFonts w:hint="eastAsia" w:cs="宋体"/>
          <w:color w:val="auto"/>
          <w:highlight w:val="none"/>
        </w:rPr>
      </w:pPr>
      <w:r>
        <w:rPr>
          <w:rFonts w:hint="eastAsia" w:cs="宋体"/>
          <w:color w:val="auto"/>
          <w:highlight w:val="none"/>
        </w:rPr>
        <w:t>在初步评审过程中，评标委员会应当就投标文件中不明确的内容要求投标人进行澄清、说明或者补正。投标人应当根据问题澄清通知要求，以书面形式予以澄清、说明或者补正。澄清、说明或补正根据本章第</w:t>
      </w:r>
      <w:r>
        <w:rPr>
          <w:color w:val="auto"/>
          <w:highlight w:val="none"/>
        </w:rPr>
        <w:t>3.3</w:t>
      </w:r>
      <w:r>
        <w:rPr>
          <w:rFonts w:hint="eastAsia" w:cs="宋体"/>
          <w:color w:val="auto"/>
          <w:highlight w:val="none"/>
        </w:rPr>
        <w:t>款的规定进行。</w:t>
      </w:r>
    </w:p>
    <w:p w14:paraId="6DFED030">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bookmarkStart w:id="527" w:name="_Toc407135185"/>
      <w:bookmarkStart w:id="528" w:name="_Toc886681223"/>
      <w:bookmarkStart w:id="529" w:name="_Toc78449750"/>
      <w:bookmarkStart w:id="530" w:name="_Toc540526119"/>
    </w:p>
    <w:p w14:paraId="4287C360">
      <w:pPr>
        <w:pStyle w:val="4"/>
        <w:rPr>
          <w:color w:val="auto"/>
          <w:highlight w:val="none"/>
        </w:rPr>
      </w:pPr>
      <w:bookmarkStart w:id="531" w:name="_Toc5460"/>
      <w:bookmarkStart w:id="532" w:name="_Toc15013"/>
      <w:r>
        <w:rPr>
          <w:color w:val="auto"/>
          <w:highlight w:val="none"/>
        </w:rPr>
        <w:t xml:space="preserve">A4 </w:t>
      </w:r>
      <w:r>
        <w:rPr>
          <w:rFonts w:hint="eastAsia" w:cs="黑体"/>
          <w:color w:val="auto"/>
          <w:highlight w:val="none"/>
        </w:rPr>
        <w:t>详细评审</w:t>
      </w:r>
      <w:bookmarkEnd w:id="527"/>
      <w:bookmarkEnd w:id="528"/>
      <w:bookmarkEnd w:id="529"/>
      <w:bookmarkEnd w:id="530"/>
      <w:bookmarkEnd w:id="531"/>
      <w:bookmarkEnd w:id="532"/>
    </w:p>
    <w:p w14:paraId="23CCCCB6">
      <w:pPr>
        <w:spacing w:line="360" w:lineRule="auto"/>
        <w:ind w:firstLine="420" w:firstLineChars="200"/>
        <w:rPr>
          <w:color w:val="auto"/>
          <w:highlight w:val="none"/>
        </w:rPr>
      </w:pPr>
      <w:r>
        <w:rPr>
          <w:rFonts w:hint="eastAsia" w:cs="宋体"/>
          <w:color w:val="auto"/>
          <w:highlight w:val="none"/>
        </w:rPr>
        <w:t>只有通过了初步评审、被判定为合格的投标方可进入详细评审。</w:t>
      </w:r>
    </w:p>
    <w:p w14:paraId="4754A80D">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1</w:t>
      </w:r>
      <w:r>
        <w:rPr>
          <w:color w:val="auto"/>
          <w:highlight w:val="none"/>
        </w:rPr>
        <w:t xml:space="preserve"> </w:t>
      </w:r>
      <w:r>
        <w:rPr>
          <w:rFonts w:hint="eastAsia" w:cs="宋体"/>
          <w:color w:val="auto"/>
          <w:highlight w:val="none"/>
        </w:rPr>
        <w:t>详细评审的程序</w:t>
      </w:r>
    </w:p>
    <w:p w14:paraId="03385170">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1</w:t>
      </w:r>
      <w:r>
        <w:rPr>
          <w:color w:val="auto"/>
          <w:highlight w:val="none"/>
        </w:rPr>
        <w:t xml:space="preserve">.1 </w:t>
      </w:r>
      <w:r>
        <w:rPr>
          <w:rFonts w:hint="eastAsia" w:cs="宋体"/>
          <w:color w:val="auto"/>
          <w:highlight w:val="none"/>
        </w:rPr>
        <w:t>评标委员会按照本章第</w:t>
      </w:r>
      <w:r>
        <w:rPr>
          <w:color w:val="auto"/>
          <w:highlight w:val="none"/>
        </w:rPr>
        <w:t>3.2</w:t>
      </w:r>
      <w:r>
        <w:rPr>
          <w:rFonts w:hint="eastAsia" w:cs="宋体"/>
          <w:color w:val="auto"/>
          <w:highlight w:val="none"/>
        </w:rPr>
        <w:t>款中规定的程序进行详细评审：</w:t>
      </w:r>
    </w:p>
    <w:p w14:paraId="2ADDAA9B">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）技术标评审和评分；</w:t>
      </w:r>
    </w:p>
    <w:p w14:paraId="0E958EB6">
      <w:pPr>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）商务标评审和评分；</w:t>
      </w:r>
    </w:p>
    <w:p w14:paraId="159195CF">
      <w:pPr>
        <w:spacing w:line="360" w:lineRule="auto"/>
        <w:ind w:firstLine="420" w:firstLineChars="200"/>
        <w:rPr>
          <w:color w:val="auto"/>
          <w:highlight w:val="none"/>
        </w:rPr>
      </w:pPr>
      <w:r>
        <w:rPr>
          <w:rFonts w:hint="eastAsia" w:cs="宋体"/>
          <w:color w:val="auto"/>
          <w:highlight w:val="none"/>
        </w:rPr>
        <w:t>（</w:t>
      </w:r>
      <w:r>
        <w:rPr>
          <w:rFonts w:hint="eastAsia"/>
          <w:color w:val="auto"/>
          <w:highlight w:val="none"/>
        </w:rPr>
        <w:t>3</w:t>
      </w:r>
      <w:r>
        <w:rPr>
          <w:rFonts w:hint="eastAsia" w:cs="宋体"/>
          <w:color w:val="auto"/>
          <w:highlight w:val="none"/>
        </w:rPr>
        <w:t>）汇总评分结果。</w:t>
      </w:r>
    </w:p>
    <w:p w14:paraId="633A481E">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2</w:t>
      </w:r>
      <w:r>
        <w:rPr>
          <w:color w:val="auto"/>
          <w:highlight w:val="none"/>
        </w:rPr>
        <w:t xml:space="preserve"> </w:t>
      </w:r>
      <w:r>
        <w:rPr>
          <w:rFonts w:hint="eastAsia" w:cs="宋体"/>
          <w:color w:val="auto"/>
          <w:highlight w:val="none"/>
        </w:rPr>
        <w:t>技术标评审和评分</w:t>
      </w:r>
    </w:p>
    <w:p w14:paraId="72C44761">
      <w:pPr>
        <w:spacing w:line="360" w:lineRule="auto"/>
        <w:ind w:firstLine="420" w:firstLineChars="200"/>
        <w:rPr>
          <w:color w:val="auto"/>
          <w:highlight w:val="none"/>
        </w:rPr>
      </w:pPr>
      <w:r>
        <w:rPr>
          <w:rFonts w:hint="eastAsia" w:cs="宋体"/>
          <w:color w:val="auto"/>
          <w:highlight w:val="none"/>
        </w:rPr>
        <w:t>按照</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中规定的分值设定、各项评分因素、评分标准，由</w:t>
      </w:r>
      <w:r>
        <w:rPr>
          <w:rFonts w:hint="eastAsia" w:cs="宋体"/>
          <w:color w:val="auto"/>
          <w:spacing w:val="-2"/>
          <w:highlight w:val="none"/>
        </w:rPr>
        <w:t>评标委员会的技术组评委</w:t>
      </w:r>
      <w:r>
        <w:rPr>
          <w:rFonts w:hint="eastAsia" w:cs="宋体"/>
          <w:color w:val="auto"/>
          <w:highlight w:val="none"/>
        </w:rPr>
        <w:t>进行评审和评分。</w:t>
      </w:r>
    </w:p>
    <w:p w14:paraId="65C5D4A9">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3</w:t>
      </w:r>
      <w:r>
        <w:rPr>
          <w:color w:val="auto"/>
          <w:highlight w:val="none"/>
        </w:rPr>
        <w:t xml:space="preserve"> </w:t>
      </w:r>
      <w:r>
        <w:rPr>
          <w:rFonts w:hint="eastAsia" w:cs="宋体"/>
          <w:color w:val="auto"/>
          <w:highlight w:val="none"/>
        </w:rPr>
        <w:t>报价分评审和评分</w:t>
      </w:r>
    </w:p>
    <w:p w14:paraId="6A551AE1">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3</w:t>
      </w:r>
      <w:r>
        <w:rPr>
          <w:color w:val="auto"/>
          <w:highlight w:val="none"/>
        </w:rPr>
        <w:t>.1</w:t>
      </w:r>
      <w:r>
        <w:rPr>
          <w:rFonts w:hint="eastAsia" w:cs="宋体"/>
          <w:color w:val="auto"/>
          <w:spacing w:val="-2"/>
          <w:highlight w:val="none"/>
        </w:rPr>
        <w:t>经济组评委</w:t>
      </w:r>
      <w:r>
        <w:rPr>
          <w:rFonts w:hint="eastAsia" w:cs="宋体"/>
          <w:color w:val="auto"/>
          <w:highlight w:val="none"/>
        </w:rPr>
        <w:t>按照</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中规定的方法计算</w:t>
      </w:r>
      <w:r>
        <w:rPr>
          <w:rFonts w:hint="eastAsia"/>
          <w:color w:val="auto"/>
          <w:highlight w:val="none"/>
          <w:lang w:eastAsia="zh-CN"/>
        </w:rPr>
        <w:t>“</w:t>
      </w:r>
      <w:r>
        <w:rPr>
          <w:rFonts w:hint="eastAsia" w:cs="宋体"/>
          <w:color w:val="auto"/>
          <w:highlight w:val="none"/>
        </w:rPr>
        <w:t>评标基准价</w:t>
      </w:r>
      <w:r>
        <w:rPr>
          <w:rFonts w:hint="eastAsia"/>
          <w:color w:val="auto"/>
          <w:highlight w:val="none"/>
          <w:lang w:eastAsia="zh-CN"/>
        </w:rPr>
        <w:t>”</w:t>
      </w:r>
      <w:r>
        <w:rPr>
          <w:rFonts w:hint="eastAsia" w:cs="宋体"/>
          <w:color w:val="auto"/>
          <w:highlight w:val="none"/>
        </w:rPr>
        <w:t>。</w:t>
      </w:r>
    </w:p>
    <w:p w14:paraId="42EBD40B">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3</w:t>
      </w:r>
      <w:r>
        <w:rPr>
          <w:color w:val="auto"/>
          <w:highlight w:val="none"/>
        </w:rPr>
        <w:t>.2</w:t>
      </w:r>
      <w:r>
        <w:rPr>
          <w:rFonts w:hint="eastAsia" w:cs="宋体"/>
          <w:color w:val="auto"/>
          <w:spacing w:val="-2"/>
          <w:highlight w:val="none"/>
        </w:rPr>
        <w:t>经济组评委</w:t>
      </w:r>
      <w:r>
        <w:rPr>
          <w:rFonts w:hint="eastAsia" w:cs="宋体"/>
          <w:color w:val="auto"/>
          <w:highlight w:val="none"/>
        </w:rPr>
        <w:t>按照</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中规定的方法，计算各个已通过了初步评审和技术标评审的报价分得分。</w:t>
      </w:r>
    </w:p>
    <w:p w14:paraId="61476D16">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4</w:t>
      </w:r>
      <w:r>
        <w:rPr>
          <w:color w:val="auto"/>
          <w:highlight w:val="none"/>
        </w:rPr>
        <w:t xml:space="preserve"> </w:t>
      </w:r>
      <w:r>
        <w:rPr>
          <w:rFonts w:hint="eastAsia" w:cs="宋体"/>
          <w:color w:val="auto"/>
          <w:highlight w:val="none"/>
        </w:rPr>
        <w:t>判断投标报价是否低于成本</w:t>
      </w:r>
    </w:p>
    <w:p w14:paraId="4830120F">
      <w:pPr>
        <w:pStyle w:val="40"/>
        <w:ind w:leftChars="0" w:firstLine="420" w:firstLineChars="200"/>
        <w:rPr>
          <w:rFonts w:hint="default"/>
          <w:color w:val="auto"/>
          <w:highlight w:val="none"/>
        </w:rPr>
      </w:pPr>
      <w:r>
        <w:rPr>
          <w:rFonts w:hint="default"/>
          <w:color w:val="auto"/>
          <w:highlight w:val="none"/>
        </w:rPr>
        <w:t>由评标委员会的经济组评委</w:t>
      </w:r>
      <w:r>
        <w:rPr>
          <w:rFonts w:hint="eastAsia"/>
          <w:color w:val="auto"/>
          <w:highlight w:val="none"/>
          <w:lang w:eastAsia="zh-CN"/>
        </w:rPr>
        <w:t>根据评标办法前附表</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异常低价的甄别处置</w:t>
      </w:r>
      <w:r>
        <w:rPr>
          <w:rFonts w:hint="eastAsia" w:cs="Times New Roman"/>
          <w:color w:val="auto"/>
          <w:szCs w:val="21"/>
          <w:highlight w:val="none"/>
          <w:lang w:eastAsia="zh-CN"/>
        </w:rPr>
        <w:t>”</w:t>
      </w:r>
      <w:r>
        <w:rPr>
          <w:rFonts w:hint="eastAsia" w:eastAsia="宋体" w:cs="Times New Roman"/>
          <w:color w:val="auto"/>
          <w:szCs w:val="21"/>
          <w:highlight w:val="none"/>
          <w:lang w:eastAsia="zh-CN"/>
        </w:rPr>
        <w:t>规定，</w:t>
      </w:r>
      <w:r>
        <w:rPr>
          <w:rFonts w:hint="default"/>
          <w:color w:val="auto"/>
          <w:highlight w:val="none"/>
        </w:rPr>
        <w:t>认定投标人是否以低于成本竞标。</w:t>
      </w:r>
    </w:p>
    <w:p w14:paraId="6F9EA052">
      <w:pPr>
        <w:spacing w:line="360" w:lineRule="auto"/>
        <w:ind w:firstLine="420" w:firstLineChars="200"/>
        <w:rPr>
          <w:color w:val="auto"/>
          <w:highlight w:val="none"/>
        </w:rPr>
      </w:pPr>
      <w:r>
        <w:rPr>
          <w:color w:val="auto"/>
          <w:highlight w:val="none"/>
        </w:rPr>
        <w:t>A4.</w:t>
      </w:r>
      <w:r>
        <w:rPr>
          <w:rFonts w:hint="eastAsia"/>
          <w:color w:val="auto"/>
          <w:highlight w:val="none"/>
          <w:lang w:val="en-US" w:eastAsia="zh-CN"/>
        </w:rPr>
        <w:t>5</w:t>
      </w:r>
      <w:r>
        <w:rPr>
          <w:color w:val="auto"/>
          <w:highlight w:val="none"/>
        </w:rPr>
        <w:t xml:space="preserve"> </w:t>
      </w:r>
      <w:r>
        <w:rPr>
          <w:rFonts w:hint="eastAsia" w:cs="宋体"/>
          <w:color w:val="auto"/>
          <w:highlight w:val="none"/>
        </w:rPr>
        <w:t>澄清、说明或补正</w:t>
      </w:r>
    </w:p>
    <w:p w14:paraId="413060B7">
      <w:pPr>
        <w:spacing w:line="360" w:lineRule="auto"/>
        <w:ind w:firstLine="420" w:firstLineChars="200"/>
        <w:rPr>
          <w:rFonts w:hint="eastAsia" w:cs="宋体"/>
          <w:color w:val="auto"/>
          <w:highlight w:val="none"/>
        </w:rPr>
      </w:pPr>
      <w:r>
        <w:rPr>
          <w:rFonts w:hint="eastAsia" w:cs="宋体"/>
          <w:color w:val="auto"/>
          <w:highlight w:val="none"/>
        </w:rPr>
        <w:t>在评审过程中，评标委员会应当就投标文件中不明确的内容</w:t>
      </w:r>
      <w:r>
        <w:rPr>
          <w:rFonts w:hint="eastAsia" w:cs="宋体"/>
          <w:color w:val="auto"/>
          <w:highlight w:val="none"/>
          <w:lang w:eastAsia="zh-CN"/>
        </w:rPr>
        <w:t>书面</w:t>
      </w:r>
      <w:r>
        <w:rPr>
          <w:rFonts w:hint="eastAsia" w:cs="宋体"/>
          <w:color w:val="auto"/>
          <w:highlight w:val="none"/>
        </w:rPr>
        <w:t>要求投标人进行澄清、说明或者补正。投标人应当根据问题澄清通知要求，</w:t>
      </w:r>
      <w:r>
        <w:rPr>
          <w:rFonts w:hint="eastAsia" w:cs="宋体"/>
          <w:color w:val="auto"/>
          <w:highlight w:val="none"/>
          <w:lang w:eastAsia="zh-CN"/>
        </w:rPr>
        <w:t>通过网上系统</w:t>
      </w:r>
      <w:r>
        <w:rPr>
          <w:rFonts w:hint="eastAsia" w:cs="宋体"/>
          <w:color w:val="auto"/>
          <w:highlight w:val="none"/>
        </w:rPr>
        <w:t>以书面形式予以澄清、说明或者补正。要求澄清或说明的文件及回复文件在评标、定标过程中应严格保密。澄清、说明或补正根据本章第</w:t>
      </w:r>
      <w:r>
        <w:rPr>
          <w:color w:val="auto"/>
          <w:highlight w:val="none"/>
        </w:rPr>
        <w:t>3.3</w:t>
      </w:r>
      <w:r>
        <w:rPr>
          <w:rFonts w:hint="eastAsia" w:cs="宋体"/>
          <w:color w:val="auto"/>
          <w:highlight w:val="none"/>
        </w:rPr>
        <w:t>款的规定进行。</w:t>
      </w:r>
    </w:p>
    <w:p w14:paraId="1D81ECC8">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cs="宋体"/>
          <w:color w:val="auto"/>
          <w:highlight w:val="none"/>
          <w:lang w:val="en-US" w:eastAsia="zh-CN"/>
        </w:rPr>
      </w:pPr>
      <w:r>
        <w:rPr>
          <w:rFonts w:hint="eastAsia" w:cs="宋体"/>
          <w:color w:val="auto"/>
          <w:highlight w:val="none"/>
          <w:lang w:val="en-US" w:eastAsia="zh-CN"/>
        </w:rPr>
        <w:t>对投标报价的</w:t>
      </w:r>
      <w:r>
        <w:rPr>
          <w:rFonts w:hint="eastAsia" w:cs="宋体"/>
          <w:color w:val="auto"/>
          <w:highlight w:val="none"/>
          <w:lang w:eastAsia="zh-CN"/>
        </w:rPr>
        <w:t>澄清或说明的</w:t>
      </w:r>
      <w:r>
        <w:rPr>
          <w:rFonts w:hint="eastAsia" w:cs="宋体"/>
          <w:color w:val="auto"/>
          <w:highlight w:val="none"/>
          <w:lang w:val="en" w:eastAsia="zh-CN"/>
        </w:rPr>
        <w:t>具体规定如下</w:t>
      </w:r>
      <w:r>
        <w:rPr>
          <w:rFonts w:hint="eastAsia" w:cs="宋体"/>
          <w:color w:val="auto"/>
          <w:highlight w:val="none"/>
          <w:lang w:eastAsia="zh-CN"/>
        </w:rPr>
        <w:t>：</w:t>
      </w:r>
      <w:r>
        <w:rPr>
          <w:rFonts w:hint="eastAsia" w:cs="宋体"/>
          <w:color w:val="auto"/>
          <w:highlight w:val="none"/>
          <w:lang w:val="en-US" w:eastAsia="zh-CN"/>
        </w:rPr>
        <w:t xml:space="preserve">  </w:t>
      </w:r>
    </w:p>
    <w:p w14:paraId="022751FE">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highlight w:val="none"/>
        </w:rPr>
      </w:pPr>
      <w:r>
        <w:rPr>
          <w:rFonts w:hint="eastAsia" w:cs="宋体"/>
          <w:color w:val="auto"/>
          <w:highlight w:val="none"/>
          <w:lang w:val="en-US" w:eastAsia="zh-CN"/>
        </w:rPr>
        <w:t xml:space="preserve"> </w:t>
      </w:r>
      <w:r>
        <w:rPr>
          <w:rFonts w:hint="eastAsia" w:ascii="Times New Roman" w:hAnsi="Times New Roman" w:cs="Times New Roman"/>
          <w:color w:val="auto"/>
          <w:highlight w:val="none"/>
          <w:lang w:val="en-US" w:eastAsia="zh-CN"/>
        </w:rPr>
        <w:t>A4</w:t>
      </w:r>
      <w:r>
        <w:rPr>
          <w:rFonts w:hint="default" w:ascii="Times New Roman" w:hAnsi="Times New Roman" w:cs="Times New Roman"/>
          <w:color w:val="auto"/>
          <w:highlight w:val="none"/>
        </w:rPr>
        <w:t>.</w:t>
      </w:r>
      <w:r>
        <w:rPr>
          <w:rFonts w:hint="eastAsia" w:cs="Times New Roman"/>
          <w:color w:val="auto"/>
          <w:highlight w:val="none"/>
          <w:lang w:val="en-US" w:eastAsia="zh-CN"/>
        </w:rPr>
        <w:t>5</w:t>
      </w:r>
      <w:r>
        <w:rPr>
          <w:rFonts w:hint="eastAsia" w:ascii="Times New Roman" w:hAnsi="Times New Roman" w:cs="Times New Roman"/>
          <w:color w:val="auto"/>
          <w:highlight w:val="none"/>
          <w:lang w:val="en-US" w:eastAsia="zh-CN"/>
        </w:rPr>
        <w:t>.1</w:t>
      </w:r>
      <w:r>
        <w:rPr>
          <w:rFonts w:hint="eastAsia" w:ascii="宋体" w:hAnsi="宋体" w:cs="宋体"/>
          <w:b w:val="0"/>
          <w:bCs w:val="0"/>
          <w:color w:val="auto"/>
          <w:sz w:val="21"/>
          <w:szCs w:val="21"/>
          <w:highlight w:val="none"/>
          <w:lang w:val="en-US" w:eastAsia="zh-CN"/>
        </w:rPr>
        <w:t>评标委员会可就投标文件中</w:t>
      </w:r>
      <w:r>
        <w:rPr>
          <w:rFonts w:hint="default" w:cs="宋体"/>
          <w:color w:val="auto"/>
          <w:highlight w:val="none"/>
          <w:lang w:val="en"/>
        </w:rPr>
        <w:t>工程量清单项目编码、名称及特征、计量单位与招标工程量清单不一致</w:t>
      </w:r>
      <w:r>
        <w:rPr>
          <w:rFonts w:hint="eastAsia" w:ascii="宋体" w:hAnsi="宋体" w:cs="宋体"/>
          <w:b w:val="0"/>
          <w:bCs w:val="0"/>
          <w:color w:val="auto"/>
          <w:sz w:val="21"/>
          <w:szCs w:val="21"/>
          <w:highlight w:val="none"/>
          <w:lang w:val="en-US" w:eastAsia="zh-CN"/>
        </w:rPr>
        <w:t>等要求投标人澄清或说明；</w:t>
      </w:r>
    </w:p>
    <w:p w14:paraId="02BDE772">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Times New Roman" w:hAnsi="Times New Roman" w:cs="Times New Roman"/>
          <w:color w:val="auto"/>
          <w:highlight w:val="none"/>
          <w:lang w:val="en-US" w:eastAsia="zh-CN"/>
        </w:rPr>
        <w:t>A4</w:t>
      </w:r>
      <w:r>
        <w:rPr>
          <w:rFonts w:hint="eastAsia" w:cs="Times New Roman"/>
          <w:color w:val="auto"/>
          <w:highlight w:val="none"/>
          <w:lang w:val="en-US" w:eastAsia="zh-CN"/>
        </w:rPr>
        <w:t>.5</w:t>
      </w:r>
      <w:r>
        <w:rPr>
          <w:rFonts w:hint="eastAsia" w:ascii="Times New Roman" w:hAnsi="Times New Roman" w:cs="Times New Roman"/>
          <w:color w:val="auto"/>
          <w:highlight w:val="none"/>
          <w:lang w:val="en-US" w:eastAsia="zh-CN"/>
        </w:rPr>
        <w:t>.2</w:t>
      </w:r>
      <w:r>
        <w:rPr>
          <w:rFonts w:hint="eastAsia" w:ascii="Times New Roman" w:hAnsi="Times New Roman" w:cs="Times New Roman"/>
          <w:color w:val="auto"/>
          <w:highlight w:val="none"/>
          <w:lang w:eastAsia="zh-CN"/>
        </w:rPr>
        <w:t>评标委员会</w:t>
      </w:r>
      <w:r>
        <w:rPr>
          <w:rFonts w:hint="eastAsia" w:ascii="Times New Roman" w:hAnsi="Times New Roman" w:cs="Times New Roman"/>
          <w:color w:val="auto"/>
          <w:highlight w:val="none"/>
        </w:rPr>
        <w:t>可就投标文件中的报价合理性</w:t>
      </w:r>
      <w:r>
        <w:rPr>
          <w:rFonts w:hint="eastAsia" w:ascii="Times New Roman" w:hAnsi="Times New Roman" w:cs="Times New Roman"/>
          <w:color w:val="auto"/>
          <w:highlight w:val="none"/>
          <w:lang w:eastAsia="zh-CN"/>
        </w:rPr>
        <w:t>，</w:t>
      </w:r>
      <w:r>
        <w:rPr>
          <w:rFonts w:hint="eastAsia" w:ascii="宋体" w:hAnsi="宋体" w:cs="宋体"/>
          <w:b w:val="0"/>
          <w:bCs w:val="0"/>
          <w:color w:val="auto"/>
          <w:sz w:val="21"/>
          <w:szCs w:val="21"/>
          <w:highlight w:val="none"/>
          <w:lang w:val="en-US" w:eastAsia="zh-CN"/>
        </w:rPr>
        <w:t>存在下列疑问的</w:t>
      </w:r>
      <w:r>
        <w:rPr>
          <w:rFonts w:hint="eastAsia" w:ascii="宋体" w:hAnsi="宋体" w:eastAsia="宋体" w:cs="宋体"/>
          <w:b w:val="0"/>
          <w:bCs w:val="0"/>
          <w:color w:val="auto"/>
          <w:sz w:val="21"/>
          <w:szCs w:val="21"/>
          <w:highlight w:val="none"/>
          <w:lang w:val="en-US" w:eastAsia="zh-CN"/>
        </w:rPr>
        <w:t>，可要求投标人作出相应的澄清或说明：</w:t>
      </w:r>
    </w:p>
    <w:p w14:paraId="07E87C0F">
      <w:pPr>
        <w:keepNext w:val="0"/>
        <w:keepLines w:val="0"/>
        <w:pageBreakBefore w:val="0"/>
        <w:widowControl/>
        <w:tabs>
          <w:tab w:val="left" w:pos="8647"/>
        </w:tabs>
        <w:kinsoku/>
        <w:wordWrap/>
        <w:overflowPunct/>
        <w:topLinePunct w:val="0"/>
        <w:autoSpaceDE/>
        <w:autoSpaceDN/>
        <w:bidi w:val="0"/>
        <w:adjustRightInd/>
        <w:snapToGrid/>
        <w:spacing w:line="360" w:lineRule="auto"/>
        <w:ind w:right="82"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 xml:space="preserve"> 对最高投标限价和所有经过初步评审合格后的投标报价计算出每项分部分项工程量清单</w:t>
      </w:r>
      <w:r>
        <w:rPr>
          <w:rFonts w:hint="eastAsia" w:ascii="宋体" w:hAnsi="宋体" w:cs="宋体"/>
          <w:color w:val="auto"/>
          <w:spacing w:val="0"/>
          <w:sz w:val="21"/>
          <w:szCs w:val="21"/>
          <w:highlight w:val="none"/>
          <w:lang w:val="en-US" w:eastAsia="zh-CN"/>
        </w:rPr>
        <w:t>综合单</w:t>
      </w:r>
      <w:r>
        <w:rPr>
          <w:rFonts w:hint="eastAsia" w:ascii="宋体" w:hAnsi="宋体" w:eastAsia="宋体" w:cs="宋体"/>
          <w:color w:val="auto"/>
          <w:spacing w:val="0"/>
          <w:sz w:val="21"/>
          <w:szCs w:val="21"/>
          <w:highlight w:val="none"/>
        </w:rPr>
        <w:t>价算术平均值，以每项的</w:t>
      </w:r>
      <w:r>
        <w:rPr>
          <w:rFonts w:hint="eastAsia" w:ascii="宋体" w:hAnsi="宋体" w:cs="宋体"/>
          <w:color w:val="auto"/>
          <w:spacing w:val="0"/>
          <w:sz w:val="21"/>
          <w:szCs w:val="21"/>
          <w:highlight w:val="none"/>
          <w:lang w:val="en-US" w:eastAsia="zh-CN"/>
        </w:rPr>
        <w:t>综合单</w:t>
      </w:r>
      <w:r>
        <w:rPr>
          <w:rFonts w:hint="eastAsia" w:ascii="宋体" w:hAnsi="宋体" w:eastAsia="宋体" w:cs="宋体"/>
          <w:color w:val="auto"/>
          <w:spacing w:val="0"/>
          <w:sz w:val="21"/>
          <w:szCs w:val="21"/>
          <w:highlight w:val="none"/>
        </w:rPr>
        <w:t>价算术平均值作为基准值，分部分项工程清单项目的综合单价与基准值相比非合理性偏低或偏高（非合理性偏低或偏高值为</w:t>
      </w:r>
      <w:r>
        <w:rPr>
          <w:rFonts w:hint="eastAsia" w:ascii="宋体" w:hAnsi="宋体" w:cs="宋体"/>
          <w:color w:val="auto"/>
          <w:spacing w:val="0"/>
          <w:sz w:val="21"/>
          <w:szCs w:val="21"/>
          <w:highlight w:val="none"/>
          <w:lang w:val="en-US" w:eastAsia="zh-CN"/>
        </w:rPr>
        <w:t>3</w:t>
      </w:r>
      <w:r>
        <w:rPr>
          <w:rFonts w:hint="eastAsia" w:ascii="宋体" w:hAnsi="宋体" w:eastAsia="宋体" w:cs="宋体"/>
          <w:color w:val="auto"/>
          <w:spacing w:val="0"/>
          <w:sz w:val="21"/>
          <w:szCs w:val="21"/>
          <w:highlight w:val="none"/>
        </w:rPr>
        <w:t>0%），可要求投标人提供证明其所报综合单价不低于成本价或报价合理的支持资料。并要求投标人在不改变投标总价的前提下，</w:t>
      </w:r>
      <w:r>
        <w:rPr>
          <w:rFonts w:hint="eastAsia" w:ascii="宋体" w:hAnsi="宋体" w:cs="宋体"/>
          <w:color w:val="auto"/>
          <w:spacing w:val="0"/>
          <w:sz w:val="21"/>
          <w:szCs w:val="21"/>
          <w:highlight w:val="none"/>
          <w:lang w:val="en-US" w:eastAsia="zh-CN"/>
        </w:rPr>
        <w:t>将基准值作为合理修正综合单价</w:t>
      </w:r>
      <w:r>
        <w:rPr>
          <w:rFonts w:hint="eastAsia" w:ascii="宋体" w:hAnsi="宋体" w:eastAsia="宋体" w:cs="宋体"/>
          <w:strike w:val="0"/>
          <w:color w:val="auto"/>
          <w:spacing w:val="0"/>
          <w:sz w:val="21"/>
          <w:szCs w:val="21"/>
          <w:highlight w:val="none"/>
        </w:rPr>
        <w:t>用于</w:t>
      </w:r>
      <w:r>
        <w:rPr>
          <w:rFonts w:hint="eastAsia" w:ascii="宋体" w:hAnsi="宋体" w:eastAsia="宋体" w:cs="宋体"/>
          <w:color w:val="auto"/>
          <w:spacing w:val="0"/>
          <w:sz w:val="21"/>
          <w:szCs w:val="21"/>
          <w:highlight w:val="none"/>
        </w:rPr>
        <w:t>已标价工程量清单所列清单项目</w:t>
      </w:r>
      <w:r>
        <w:rPr>
          <w:rFonts w:hint="eastAsia" w:ascii="宋体" w:hAnsi="宋体" w:cs="宋体"/>
          <w:color w:val="auto"/>
          <w:spacing w:val="0"/>
          <w:sz w:val="21"/>
          <w:szCs w:val="21"/>
          <w:highlight w:val="none"/>
          <w:lang w:val="en-US" w:eastAsia="zh-CN"/>
        </w:rPr>
        <w:t>工程</w:t>
      </w:r>
      <w:r>
        <w:rPr>
          <w:rFonts w:hint="eastAsia" w:ascii="宋体" w:hAnsi="宋体" w:eastAsia="宋体" w:cs="宋体"/>
          <w:color w:val="auto"/>
          <w:spacing w:val="0"/>
          <w:sz w:val="21"/>
          <w:szCs w:val="21"/>
          <w:highlight w:val="none"/>
        </w:rPr>
        <w:t>量增减的计价和工程变更计价</w:t>
      </w:r>
      <w:r>
        <w:rPr>
          <w:rFonts w:hint="default"/>
          <w:color w:val="auto"/>
          <w:highlight w:val="none"/>
        </w:rPr>
        <w:t>。</w:t>
      </w:r>
    </w:p>
    <w:p w14:paraId="6BF94B34">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Times New Roman" w:hAnsi="Times New Roman" w:cs="Times New Roman"/>
          <w:color w:val="auto"/>
          <w:highlight w:val="none"/>
          <w:lang w:val="en-US" w:eastAsia="zh-CN"/>
        </w:rPr>
        <w:t>A4.</w:t>
      </w:r>
      <w:r>
        <w:rPr>
          <w:rFonts w:hint="eastAsia" w:cs="Times New Roman"/>
          <w:color w:val="auto"/>
          <w:highlight w:val="none"/>
          <w:lang w:val="en-US" w:eastAsia="zh-CN"/>
        </w:rPr>
        <w:t>5</w:t>
      </w:r>
      <w:r>
        <w:rPr>
          <w:rFonts w:hint="eastAsia" w:ascii="宋体" w:hAnsi="宋体" w:eastAsia="宋体" w:cs="宋体"/>
          <w:b w:val="0"/>
          <w:bCs w:val="0"/>
          <w:color w:val="auto"/>
          <w:sz w:val="21"/>
          <w:szCs w:val="21"/>
          <w:highlight w:val="none"/>
          <w:lang w:val="en-US" w:eastAsia="zh-CN"/>
        </w:rPr>
        <w:t>.3</w:t>
      </w:r>
      <w:r>
        <w:rPr>
          <w:rFonts w:hint="default" w:ascii="Times New Roman" w:hAnsi="Times New Roman" w:cs="Times New Roman"/>
          <w:color w:val="auto"/>
          <w:highlight w:val="none"/>
        </w:rPr>
        <w:t xml:space="preserve"> 评标委员会发现</w:t>
      </w:r>
      <w:r>
        <w:rPr>
          <w:rFonts w:hint="eastAsia" w:ascii="宋体" w:hAnsi="宋体" w:eastAsia="宋体" w:cs="宋体"/>
          <w:b w:val="0"/>
          <w:bCs w:val="0"/>
          <w:color w:val="auto"/>
          <w:sz w:val="21"/>
          <w:szCs w:val="21"/>
          <w:highlight w:val="none"/>
          <w:lang w:val="en-US" w:eastAsia="zh-CN"/>
        </w:rPr>
        <w:t>投标人存在下列未按要求完整（漏报或未报）填写投标报价的，可要求投标人澄清或说明：</w:t>
      </w:r>
    </w:p>
    <w:p w14:paraId="60431FB4">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cs="宋体"/>
          <w:color w:val="auto"/>
          <w:highlight w:val="none"/>
        </w:rPr>
        <w:t>（</w:t>
      </w:r>
      <w:r>
        <w:rPr>
          <w:color w:val="auto"/>
          <w:highlight w:val="none"/>
        </w:rPr>
        <w:t>1</w:t>
      </w:r>
      <w:r>
        <w:rPr>
          <w:rFonts w:hint="eastAsia" w:cs="宋体"/>
          <w:color w:val="auto"/>
          <w:highlight w:val="none"/>
        </w:rPr>
        <w:t>）</w:t>
      </w:r>
      <w:r>
        <w:rPr>
          <w:rFonts w:hint="eastAsia" w:ascii="宋体" w:hAnsi="宋体" w:eastAsia="宋体" w:cs="宋体"/>
          <w:b w:val="0"/>
          <w:bCs w:val="0"/>
          <w:color w:val="auto"/>
          <w:sz w:val="21"/>
          <w:szCs w:val="21"/>
          <w:highlight w:val="none"/>
          <w:lang w:val="en-US" w:eastAsia="zh-CN"/>
        </w:rPr>
        <w:t>未按要求填报总价合同中分部分项工程清单项目综合单价及合价的</w:t>
      </w:r>
      <w:r>
        <w:rPr>
          <w:rFonts w:hint="eastAsia" w:ascii="宋体" w:hAnsi="宋体" w:cs="宋体"/>
          <w:b w:val="0"/>
          <w:bCs w:val="0"/>
          <w:color w:val="auto"/>
          <w:sz w:val="21"/>
          <w:szCs w:val="21"/>
          <w:highlight w:val="none"/>
          <w:lang w:val="en-US" w:eastAsia="zh-CN"/>
        </w:rPr>
        <w:t>，其费用应视为已包含在其他的清单项目综合单价、合价及投标总价中，工程结算时不作重新计价及调整；</w:t>
      </w:r>
    </w:p>
    <w:p w14:paraId="3259F8EC">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cs="宋体"/>
          <w:color w:val="auto"/>
          <w:highlight w:val="none"/>
        </w:rPr>
        <w:t>（</w:t>
      </w:r>
      <w:r>
        <w:rPr>
          <w:rFonts w:hint="eastAsia" w:cs="宋体"/>
          <w:color w:val="auto"/>
          <w:highlight w:val="none"/>
          <w:lang w:val="en-US" w:eastAsia="zh-CN"/>
        </w:rPr>
        <w:t>2</w:t>
      </w:r>
      <w:r>
        <w:rPr>
          <w:rFonts w:hint="eastAsia" w:cs="宋体"/>
          <w:color w:val="auto"/>
          <w:highlight w:val="none"/>
        </w:rPr>
        <w:t>）</w:t>
      </w:r>
      <w:r>
        <w:rPr>
          <w:rFonts w:hint="eastAsia" w:ascii="宋体" w:hAnsi="宋体" w:cs="宋体"/>
          <w:b w:val="0"/>
          <w:bCs w:val="0"/>
          <w:color w:val="auto"/>
          <w:sz w:val="21"/>
          <w:szCs w:val="21"/>
          <w:highlight w:val="none"/>
          <w:lang w:val="en-US" w:eastAsia="zh-CN"/>
        </w:rPr>
        <w:t>未按要求填报措施清单项目的价格、按项计价的分部分项工程清单项目的价格，其费用应视为已包含在其他的清单项目综合单价、合价及投标总价中，工程结算时不作重新计价及调整；</w:t>
      </w:r>
    </w:p>
    <w:p w14:paraId="7F68325A">
      <w:pPr>
        <w:keepNext w:val="0"/>
        <w:keepLines w:val="0"/>
        <w:pageBreakBefore w:val="0"/>
        <w:widowControl/>
        <w:tabs>
          <w:tab w:val="left" w:pos="8647"/>
        </w:tabs>
        <w:kinsoku/>
        <w:wordWrap/>
        <w:overflowPunct/>
        <w:topLinePunct w:val="0"/>
        <w:autoSpaceDE/>
        <w:autoSpaceDN/>
        <w:bidi w:val="0"/>
        <w:adjustRightInd/>
        <w:snapToGrid/>
        <w:spacing w:line="360" w:lineRule="auto"/>
        <w:ind w:right="0" w:firstLine="420" w:firstLineChars="200"/>
        <w:jc w:val="left"/>
        <w:textAlignment w:val="auto"/>
        <w:rPr>
          <w:rFonts w:hint="eastAsia" w:ascii="宋体" w:hAnsi="宋体" w:eastAsia="宋体" w:cs="宋体"/>
          <w:color w:val="auto"/>
          <w:spacing w:val="0"/>
          <w:sz w:val="21"/>
          <w:szCs w:val="21"/>
          <w:highlight w:val="none"/>
          <w:lang w:eastAsia="zh-CN"/>
        </w:rPr>
      </w:pPr>
      <w:r>
        <w:rPr>
          <w:rFonts w:hint="eastAsia" w:cs="宋体"/>
          <w:color w:val="auto"/>
          <w:highlight w:val="none"/>
        </w:rPr>
        <w:t>（</w:t>
      </w:r>
      <w:r>
        <w:rPr>
          <w:rFonts w:hint="eastAsia" w:cs="宋体"/>
          <w:color w:val="auto"/>
          <w:highlight w:val="none"/>
          <w:lang w:val="en-US" w:eastAsia="zh-CN"/>
        </w:rPr>
        <w:t>3</w:t>
      </w:r>
      <w:r>
        <w:rPr>
          <w:rFonts w:hint="eastAsia" w:cs="宋体"/>
          <w:color w:val="auto"/>
          <w:highlight w:val="none"/>
        </w:rPr>
        <w:t>）</w:t>
      </w:r>
      <w:r>
        <w:rPr>
          <w:rFonts w:hint="eastAsia" w:ascii="宋体" w:hAnsi="宋体" w:cs="宋体"/>
          <w:b w:val="0"/>
          <w:bCs w:val="0"/>
          <w:color w:val="auto"/>
          <w:sz w:val="21"/>
          <w:szCs w:val="21"/>
          <w:highlight w:val="none"/>
          <w:lang w:val="en-US" w:eastAsia="zh-CN"/>
        </w:rPr>
        <w:t>未按要求填报单价合同中分部分项工程清单项目的综合单价及合价的，该清单项目价格视为包含在其他分部分项工程清单项目中，并要求投标人在不改变投标总价的前提下，</w:t>
      </w:r>
      <w:r>
        <w:rPr>
          <w:rFonts w:hint="eastAsia" w:ascii="宋体" w:hAnsi="宋体" w:cs="宋体"/>
          <w:color w:val="auto"/>
          <w:spacing w:val="0"/>
          <w:sz w:val="21"/>
          <w:szCs w:val="21"/>
          <w:highlight w:val="none"/>
          <w:lang w:val="en-US" w:eastAsia="zh-CN"/>
        </w:rPr>
        <w:t>将基准值作为合理修正综合单价（按A4.5.2款计算）</w:t>
      </w:r>
      <w:r>
        <w:rPr>
          <w:rFonts w:hint="eastAsia" w:ascii="宋体" w:hAnsi="宋体" w:eastAsia="宋体" w:cs="宋体"/>
          <w:strike w:val="0"/>
          <w:color w:val="auto"/>
          <w:spacing w:val="0"/>
          <w:sz w:val="21"/>
          <w:szCs w:val="21"/>
          <w:highlight w:val="none"/>
        </w:rPr>
        <w:t>用于</w:t>
      </w:r>
      <w:r>
        <w:rPr>
          <w:rFonts w:hint="eastAsia" w:ascii="宋体" w:hAnsi="宋体" w:eastAsia="宋体" w:cs="宋体"/>
          <w:color w:val="auto"/>
          <w:spacing w:val="0"/>
          <w:sz w:val="21"/>
          <w:szCs w:val="21"/>
          <w:highlight w:val="none"/>
        </w:rPr>
        <w:t>已标价工程量清单所列清单项目</w:t>
      </w:r>
      <w:r>
        <w:rPr>
          <w:rFonts w:hint="eastAsia" w:ascii="宋体" w:hAnsi="宋体" w:cs="宋体"/>
          <w:color w:val="auto"/>
          <w:spacing w:val="0"/>
          <w:sz w:val="21"/>
          <w:szCs w:val="21"/>
          <w:highlight w:val="none"/>
          <w:lang w:val="en-US" w:eastAsia="zh-CN"/>
        </w:rPr>
        <w:t>工程</w:t>
      </w:r>
      <w:r>
        <w:rPr>
          <w:rFonts w:hint="eastAsia" w:ascii="宋体" w:hAnsi="宋体" w:eastAsia="宋体" w:cs="宋体"/>
          <w:color w:val="auto"/>
          <w:spacing w:val="0"/>
          <w:sz w:val="21"/>
          <w:szCs w:val="21"/>
          <w:highlight w:val="none"/>
        </w:rPr>
        <w:t>量增减的计价和工程变更计价</w:t>
      </w:r>
      <w:r>
        <w:rPr>
          <w:rFonts w:hint="eastAsia" w:ascii="宋体" w:hAnsi="宋体" w:cs="宋体"/>
          <w:b w:val="0"/>
          <w:bCs w:val="0"/>
          <w:color w:val="auto"/>
          <w:sz w:val="21"/>
          <w:szCs w:val="21"/>
          <w:highlight w:val="none"/>
          <w:lang w:val="en-US" w:eastAsia="zh-CN"/>
        </w:rPr>
        <w:t>。</w:t>
      </w:r>
    </w:p>
    <w:p w14:paraId="0B0775F9">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A4.</w:t>
      </w:r>
      <w:r>
        <w:rPr>
          <w:rFonts w:hint="eastAsia" w:cs="Times New Roman"/>
          <w:color w:val="auto"/>
          <w:highlight w:val="none"/>
          <w:lang w:val="en-US" w:eastAsia="zh-CN"/>
        </w:rPr>
        <w:t>5</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 xml:space="preserve"> 评标委员会发现投标人的投标文件存在</w:t>
      </w:r>
      <w:r>
        <w:rPr>
          <w:rFonts w:hint="eastAsia" w:ascii="Times New Roman" w:hAnsi="Times New Roman" w:cs="Times New Roman"/>
          <w:color w:val="auto"/>
          <w:highlight w:val="none"/>
          <w:lang w:eastAsia="zh-CN"/>
        </w:rPr>
        <w:t>以下</w:t>
      </w:r>
      <w:r>
        <w:rPr>
          <w:rFonts w:hint="default" w:ascii="Times New Roman" w:hAnsi="Times New Roman" w:cs="Times New Roman"/>
          <w:color w:val="auto"/>
          <w:highlight w:val="none"/>
        </w:rPr>
        <w:t>算术误差及细微偏差</w:t>
      </w:r>
      <w:r>
        <w:rPr>
          <w:rFonts w:hint="eastAsia" w:ascii="Times New Roman" w:hAnsi="Times New Roman" w:cs="Times New Roman"/>
          <w:color w:val="auto"/>
          <w:highlight w:val="none"/>
          <w:lang w:eastAsia="zh-CN"/>
        </w:rPr>
        <w:t>问题</w:t>
      </w:r>
      <w:r>
        <w:rPr>
          <w:rFonts w:hint="default" w:ascii="Times New Roman" w:hAnsi="Times New Roman" w:cs="Times New Roman"/>
          <w:color w:val="auto"/>
          <w:highlight w:val="none"/>
        </w:rPr>
        <w:t>的</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应要求</w:t>
      </w:r>
      <w:r>
        <w:rPr>
          <w:rFonts w:ascii="Times New Roman" w:hAnsi="Times New Roman" w:cs="Times New Roman"/>
          <w:color w:val="auto"/>
          <w:highlight w:val="none"/>
        </w:rPr>
        <w:t>投标人澄清、说明或者</w:t>
      </w:r>
      <w:r>
        <w:rPr>
          <w:rFonts w:hint="default" w:ascii="Times New Roman" w:hAnsi="Times New Roman" w:cs="Times New Roman"/>
          <w:color w:val="auto"/>
          <w:highlight w:val="none"/>
        </w:rPr>
        <w:t>按以下规定修</w:t>
      </w:r>
      <w:r>
        <w:rPr>
          <w:rFonts w:ascii="Times New Roman" w:hAnsi="Times New Roman" w:cs="Times New Roman"/>
          <w:color w:val="auto"/>
          <w:highlight w:val="none"/>
        </w:rPr>
        <w:t>正</w:t>
      </w:r>
      <w:r>
        <w:rPr>
          <w:rFonts w:hint="default" w:ascii="Times New Roman" w:hAnsi="Times New Roman" w:cs="Times New Roman"/>
          <w:color w:val="auto"/>
          <w:highlight w:val="none"/>
        </w:rPr>
        <w:t>，但投标总价不得作任何调整，修正报价汇总后的总价应与投标函内填报的投标总价一致，修正的价格经投标人书面确认后具有约束力。投标人不接受修正价格的，其投标作否决投标处理。</w:t>
      </w:r>
    </w:p>
    <w:p w14:paraId="7B708711">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（1）投标函或投标总价扉页内填报的投标总价大写金额与小写金额不一致的，应以大写金额为准，修正相应小写金额；</w:t>
      </w:r>
    </w:p>
    <w:p w14:paraId="39683326">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（2）投标函内填报的投标总价与已标价工程量清单项目填报的价格累计总额不一致的，应以投标函内投标总价为准，修正工程量清单项目报价累计总额；</w:t>
      </w:r>
    </w:p>
    <w:p w14:paraId="37343BFE">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（3）投标总价中所列的暂列金额、专业工程暂估价、材料暂估价</w:t>
      </w:r>
      <w:r>
        <w:rPr>
          <w:rFonts w:hint="eastAsia" w:cs="Times New Roman"/>
          <w:color w:val="auto"/>
          <w:highlight w:val="none"/>
          <w:lang w:eastAsia="zh-CN"/>
        </w:rPr>
        <w:t>、优良工程增加费</w:t>
      </w:r>
      <w:r>
        <w:rPr>
          <w:rFonts w:hint="default" w:ascii="Times New Roman" w:hAnsi="Times New Roman" w:cs="Times New Roman"/>
          <w:color w:val="auto"/>
          <w:highlight w:val="none"/>
        </w:rPr>
        <w:t>与招标工程量清单内提供的金额不一致的，应按招标工程量清单内提供的金额修正其报价；</w:t>
      </w:r>
    </w:p>
    <w:p w14:paraId="24E345BB">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投标人所报的已标价工程量清单项目的合价与其清单项目数量乘以综合单价计算结果不一致的，应以清单项目综合单价为准，修正合价。但清单项目的综合单价小数点有明显错误或明显不合理的，应以清单项目合价为准，修正其综合单价；</w:t>
      </w:r>
    </w:p>
    <w:p w14:paraId="182CA03A">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投标人所报的单价计价的已标价工程量清单项目综合单价与其综合单价分析表中的综合单价不一致，或总价计价清单项目价格与其构成明细分析表中的清单项目价格不一致的，应以已标价工程量清单的清单项目综合单价和（或）清单项目价格为准，修正其分析表的报价；</w:t>
      </w:r>
    </w:p>
    <w:p w14:paraId="3F0143D2">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按上述规定完成修正的算术投标总价小于投标函内的投标总价的，则签订合同时以修正的算术投标总价为准；按上述规定完成修正的算术投标总价大于投标函内的投标总价的，则签订合同时以开标时的投标函大写金额报价为准，同时按比例修正（降低）相应预算清单子目的综合单价或合价。经修正后的综合单价作为工程进度款、工程变更以及单价合同竣工结算的计价依据。</w:t>
      </w:r>
    </w:p>
    <w:p w14:paraId="0437650F">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ascii="Times New Roman" w:hAnsi="Times New Roman" w:cs="Times New Roman"/>
          <w:color w:val="auto"/>
          <w:highlight w:val="none"/>
          <w:lang w:val="en-US" w:eastAsia="zh-CN"/>
        </w:rPr>
        <w:t>A4.</w:t>
      </w:r>
      <w:r>
        <w:rPr>
          <w:rFonts w:hint="eastAsia" w:cs="Times New Roman"/>
          <w:color w:val="auto"/>
          <w:highlight w:val="none"/>
          <w:lang w:val="en-US" w:eastAsia="zh-CN"/>
        </w:rPr>
        <w:t>5</w:t>
      </w:r>
      <w:r>
        <w:rPr>
          <w:rFonts w:hint="eastAsia" w:ascii="Times New Roman" w:hAnsi="Times New Roman"/>
          <w:color w:val="auto"/>
          <w:highlight w:val="none"/>
          <w:lang w:val="en-US" w:eastAsia="zh-CN"/>
        </w:rPr>
        <w:t>.</w:t>
      </w:r>
      <w:r>
        <w:rPr>
          <w:rFonts w:hint="eastAsia"/>
          <w:color w:val="auto"/>
          <w:highlight w:val="none"/>
          <w:lang w:val="en-US" w:eastAsia="zh-CN"/>
        </w:rPr>
        <w:t>5</w:t>
      </w:r>
      <w:r>
        <w:rPr>
          <w:rFonts w:hint="eastAsia" w:ascii="宋体" w:hAnsi="宋体" w:cs="宋体"/>
          <w:b w:val="0"/>
          <w:bCs w:val="0"/>
          <w:color w:val="auto"/>
          <w:sz w:val="21"/>
          <w:szCs w:val="21"/>
          <w:highlight w:val="none"/>
          <w:lang w:val="en-US" w:eastAsia="zh-CN"/>
        </w:rPr>
        <w:t>投标人回复的投标报价澄清或说明文件</w:t>
      </w:r>
      <w:r>
        <w:rPr>
          <w:rFonts w:hint="eastAsia" w:ascii="宋体" w:hAnsi="宋体" w:cs="宋体"/>
          <w:b w:val="0"/>
          <w:bCs w:val="0"/>
          <w:strike w:val="0"/>
          <w:color w:val="auto"/>
          <w:sz w:val="21"/>
          <w:szCs w:val="21"/>
          <w:highlight w:val="none"/>
          <w:lang w:val="en-US" w:eastAsia="zh-CN"/>
        </w:rPr>
        <w:t>应包括证明其报价合理的支持文件，但</w:t>
      </w:r>
      <w:r>
        <w:rPr>
          <w:rFonts w:hint="eastAsia" w:ascii="宋体" w:hAnsi="宋体" w:cs="宋体"/>
          <w:b w:val="0"/>
          <w:bCs w:val="0"/>
          <w:color w:val="auto"/>
          <w:sz w:val="21"/>
          <w:szCs w:val="21"/>
          <w:highlight w:val="none"/>
          <w:lang w:val="en-US" w:eastAsia="zh-CN"/>
        </w:rPr>
        <w:t>不应涉及要求澄清或说明文件中未要求回复的内容。</w:t>
      </w:r>
    </w:p>
    <w:p w14:paraId="60C282E6">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ascii="Times New Roman" w:hAnsi="Times New Roman" w:cs="Times New Roman"/>
          <w:color w:val="auto"/>
          <w:highlight w:val="none"/>
          <w:lang w:val="en-US" w:eastAsia="zh-CN"/>
        </w:rPr>
        <w:t>A4.</w:t>
      </w:r>
      <w:r>
        <w:rPr>
          <w:rFonts w:hint="eastAsia" w:cs="Times New Roman"/>
          <w:color w:val="auto"/>
          <w:highlight w:val="none"/>
          <w:lang w:val="en-US" w:eastAsia="zh-CN"/>
        </w:rPr>
        <w:t>5</w:t>
      </w:r>
      <w:r>
        <w:rPr>
          <w:rFonts w:hint="eastAsia" w:ascii="Times New Roman" w:hAnsi="Times New Roman"/>
          <w:color w:val="auto"/>
          <w:highlight w:val="none"/>
          <w:lang w:val="en-US" w:eastAsia="zh-CN"/>
        </w:rPr>
        <w:t>.</w:t>
      </w:r>
      <w:r>
        <w:rPr>
          <w:rFonts w:hint="eastAsia"/>
          <w:color w:val="auto"/>
          <w:highlight w:val="none"/>
          <w:lang w:val="en-US" w:eastAsia="zh-CN"/>
        </w:rPr>
        <w:t>6</w:t>
      </w:r>
      <w:r>
        <w:rPr>
          <w:rFonts w:hint="eastAsia" w:ascii="宋体" w:hAnsi="宋体" w:cs="宋体"/>
          <w:b w:val="0"/>
          <w:bCs w:val="0"/>
          <w:color w:val="auto"/>
          <w:sz w:val="21"/>
          <w:szCs w:val="21"/>
          <w:highlight w:val="none"/>
          <w:lang w:val="en-US" w:eastAsia="zh-CN"/>
        </w:rPr>
        <w:t>评标委员会</w:t>
      </w:r>
      <w:r>
        <w:rPr>
          <w:rFonts w:hint="eastAsia" w:ascii="宋体" w:hAnsi="宋体" w:cs="宋体"/>
          <w:b w:val="0"/>
          <w:bCs w:val="0"/>
          <w:strike w:val="0"/>
          <w:color w:val="auto"/>
          <w:sz w:val="21"/>
          <w:szCs w:val="21"/>
          <w:highlight w:val="none"/>
          <w:lang w:val="en-US" w:eastAsia="zh-CN"/>
        </w:rPr>
        <w:t>应</w:t>
      </w:r>
      <w:r>
        <w:rPr>
          <w:rFonts w:hint="eastAsia" w:ascii="宋体" w:hAnsi="宋体" w:cs="宋体"/>
          <w:b w:val="0"/>
          <w:bCs w:val="0"/>
          <w:color w:val="auto"/>
          <w:sz w:val="21"/>
          <w:szCs w:val="21"/>
          <w:highlight w:val="none"/>
          <w:lang w:val="en-US" w:eastAsia="zh-CN"/>
        </w:rPr>
        <w:t>结合要求澄清或说明的文件和投标人提交的澄清或说明回复文件进行评标。如响应要求澄清或说明的文件，提交回复文件的投标人中标，则中标人接收的要求澄清或说明的文件和回复文件构成合同文件的组成部分，其已标价工程量清单的综合单价及其修正综合单价作为合同单价，应用于合同价款调整的计价。</w:t>
      </w:r>
    </w:p>
    <w:p w14:paraId="4BD6A63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cs="宋体"/>
          <w:color w:val="auto"/>
          <w:highlight w:val="none"/>
        </w:rPr>
      </w:pPr>
      <w:r>
        <w:rPr>
          <w:rFonts w:hint="eastAsia" w:ascii="Times New Roman" w:hAnsi="Times New Roman" w:cs="Times New Roman"/>
          <w:color w:val="auto"/>
          <w:highlight w:val="none"/>
          <w:lang w:val="en-US" w:eastAsia="zh-CN"/>
        </w:rPr>
        <w:t>A4.</w:t>
      </w:r>
      <w:r>
        <w:rPr>
          <w:rFonts w:hint="eastAsia" w:cs="Times New Roman"/>
          <w:color w:val="auto"/>
          <w:highlight w:val="none"/>
          <w:lang w:val="en-US" w:eastAsia="zh-CN"/>
        </w:rPr>
        <w:t>5</w:t>
      </w:r>
      <w:r>
        <w:rPr>
          <w:rFonts w:hint="eastAsia" w:ascii="Times New Roman" w:hAnsi="Times New Roman"/>
          <w:color w:val="auto"/>
          <w:highlight w:val="none"/>
          <w:lang w:val="en-US" w:eastAsia="zh-CN"/>
        </w:rPr>
        <w:t>.</w:t>
      </w:r>
      <w:r>
        <w:rPr>
          <w:rFonts w:hint="eastAsia"/>
          <w:color w:val="auto"/>
          <w:highlight w:val="none"/>
          <w:lang w:val="en-US" w:eastAsia="zh-CN"/>
        </w:rPr>
        <w:t>7</w:t>
      </w:r>
      <w:r>
        <w:rPr>
          <w:rFonts w:hint="eastAsia" w:ascii="宋体" w:hAnsi="宋体" w:cs="宋体"/>
          <w:b w:val="0"/>
          <w:bCs w:val="0"/>
          <w:color w:val="auto"/>
          <w:sz w:val="21"/>
          <w:szCs w:val="21"/>
          <w:highlight w:val="none"/>
          <w:lang w:val="en-US" w:eastAsia="zh-CN"/>
        </w:rPr>
        <w:t>在完成投标报价澄清或说明后，评标委员会应对澄清或说明情况进行书面记载，编制投标报价澄清或说明报告。投标报价澄清或说明报告应载明澄清或说明工作程序、存在的主要问题、要求澄清或说明的问题、相应回复意见的简述等内容。投标报价澄清或说明报告不得就投标人是否实质性响应招标文件进行评价，应将要求澄清或说明的问题、投标人的相应回复意见等内容进行完整编排，并作为澄清或说明报告附件。</w:t>
      </w:r>
    </w:p>
    <w:p w14:paraId="07F4805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A4.6 </w:t>
      </w:r>
      <w:r>
        <w:rPr>
          <w:rFonts w:hint="eastAsia" w:cs="宋体"/>
          <w:color w:val="auto"/>
          <w:highlight w:val="none"/>
        </w:rPr>
        <w:t>企业信誉实力评审和评分</w:t>
      </w:r>
    </w:p>
    <w:p w14:paraId="0CF026AE">
      <w:pPr>
        <w:keepNext w:val="0"/>
        <w:keepLines w:val="0"/>
        <w:pageBreakBefore w:val="0"/>
        <w:kinsoku/>
        <w:wordWrap/>
        <w:overflowPunct/>
        <w:topLinePunct w:val="0"/>
        <w:autoSpaceDE/>
        <w:autoSpaceDN/>
        <w:bidi w:val="0"/>
        <w:adjustRightInd/>
        <w:snapToGrid/>
        <w:spacing w:line="360" w:lineRule="auto"/>
        <w:ind w:firstLine="412" w:firstLineChars="200"/>
        <w:textAlignment w:val="auto"/>
        <w:rPr>
          <w:color w:val="auto"/>
          <w:highlight w:val="none"/>
        </w:rPr>
      </w:pPr>
      <w:r>
        <w:rPr>
          <w:rFonts w:hint="eastAsia" w:cs="宋体"/>
          <w:color w:val="auto"/>
          <w:spacing w:val="-2"/>
          <w:highlight w:val="none"/>
        </w:rPr>
        <w:t>评标委员会</w:t>
      </w:r>
      <w:r>
        <w:rPr>
          <w:rFonts w:hint="eastAsia" w:cs="宋体"/>
          <w:color w:val="auto"/>
          <w:highlight w:val="none"/>
        </w:rPr>
        <w:t>根据</w:t>
      </w:r>
      <w:r>
        <w:rPr>
          <w:rFonts w:hint="eastAsia"/>
          <w:color w:val="auto"/>
          <w:highlight w:val="none"/>
          <w:lang w:eastAsia="zh-CN"/>
        </w:rPr>
        <w:t>“</w:t>
      </w:r>
      <w:r>
        <w:rPr>
          <w:rFonts w:hint="eastAsia" w:cs="宋体"/>
          <w:color w:val="auto"/>
          <w:highlight w:val="none"/>
        </w:rPr>
        <w:t>评标办法前附表</w:t>
      </w:r>
      <w:r>
        <w:rPr>
          <w:rFonts w:hint="eastAsia"/>
          <w:color w:val="auto"/>
          <w:highlight w:val="none"/>
          <w:lang w:eastAsia="zh-CN"/>
        </w:rPr>
        <w:t>”</w:t>
      </w:r>
      <w:r>
        <w:rPr>
          <w:rFonts w:hint="eastAsia" w:cs="宋体"/>
          <w:color w:val="auto"/>
          <w:highlight w:val="none"/>
        </w:rPr>
        <w:t>中规定的分值设定、各项评分因素和相应的评分标准进行评审和评分。</w:t>
      </w:r>
    </w:p>
    <w:p w14:paraId="63CC568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color w:val="auto"/>
          <w:highlight w:val="none"/>
        </w:rPr>
        <w:t xml:space="preserve">A4.7 </w:t>
      </w:r>
      <w:r>
        <w:rPr>
          <w:rFonts w:hint="eastAsia" w:cs="宋体"/>
          <w:color w:val="auto"/>
          <w:highlight w:val="none"/>
        </w:rPr>
        <w:t>汇总评分结果</w:t>
      </w:r>
    </w:p>
    <w:p w14:paraId="74AD891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cs="宋体"/>
          <w:color w:val="auto"/>
          <w:highlight w:val="none"/>
        </w:rPr>
      </w:pPr>
      <w:r>
        <w:rPr>
          <w:rFonts w:hint="eastAsia" w:cs="宋体"/>
          <w:color w:val="auto"/>
          <w:highlight w:val="none"/>
        </w:rPr>
        <w:t>详细评审工作全部结束后，汇总评标委员会各成员的详细评审评分结果，并按照详细评审最终得分由高至低的次序对投标人进行排序。</w:t>
      </w:r>
    </w:p>
    <w:p w14:paraId="5819274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cs="宋体"/>
          <w:color w:val="auto"/>
          <w:highlight w:val="none"/>
        </w:rPr>
      </w:pPr>
      <w:r>
        <w:rPr>
          <w:rFonts w:hint="eastAsia" w:cs="宋体"/>
          <w:color w:val="auto"/>
          <w:highlight w:val="none"/>
        </w:rPr>
        <w:t>评标委员会评审评分结果统计应遵循下列原则：</w:t>
      </w:r>
    </w:p>
    <w:p w14:paraId="3CE37855">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cs="宋体"/>
          <w:color w:val="auto"/>
          <w:highlight w:val="none"/>
        </w:rPr>
      </w:pPr>
      <w:r>
        <w:rPr>
          <w:rFonts w:hint="eastAsia" w:cs="宋体"/>
          <w:color w:val="auto"/>
          <w:highlight w:val="none"/>
        </w:rPr>
        <w:t>（1）</w:t>
      </w:r>
      <w:r>
        <w:rPr>
          <w:rFonts w:cs="宋体"/>
          <w:color w:val="auto"/>
          <w:highlight w:val="none"/>
        </w:rPr>
        <w:t>每个评分项目（单项）的评分基准值为评标委员会成员评分的算术平均值。</w:t>
      </w:r>
    </w:p>
    <w:p w14:paraId="33F1513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olor w:val="auto"/>
          <w:highlight w:val="none"/>
        </w:rPr>
        <w:t>（2）每个评分项目</w:t>
      </w:r>
      <w:r>
        <w:rPr>
          <w:color w:val="auto"/>
          <w:highlight w:val="none"/>
        </w:rPr>
        <w:t>（单项）超出</w:t>
      </w:r>
      <w:r>
        <w:rPr>
          <w:rFonts w:hint="eastAsia"/>
          <w:color w:val="auto"/>
          <w:highlight w:val="none"/>
        </w:rPr>
        <w:t>该评分项目</w:t>
      </w:r>
      <w:r>
        <w:rPr>
          <w:color w:val="auto"/>
          <w:highlight w:val="none"/>
        </w:rPr>
        <w:t>评分基准值</w:t>
      </w:r>
      <w:r>
        <w:rPr>
          <w:rFonts w:hint="eastAsia"/>
          <w:color w:val="auto"/>
          <w:highlight w:val="none"/>
        </w:rPr>
        <w:t>±</w:t>
      </w:r>
      <w:r>
        <w:rPr>
          <w:color w:val="auto"/>
          <w:highlight w:val="none"/>
        </w:rPr>
        <w:t>30%（含30%）范围的评分为无效评分。</w:t>
      </w:r>
    </w:p>
    <w:p w14:paraId="1A0D5DB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olor w:val="auto"/>
          <w:highlight w:val="none"/>
        </w:rPr>
        <w:t>（3）投</w:t>
      </w:r>
      <w:r>
        <w:rPr>
          <w:color w:val="auto"/>
          <w:highlight w:val="none"/>
        </w:rPr>
        <w:t>标人每个评分项目（单项）的最终得分为评标委员会成员有效评分的算术平均值</w:t>
      </w:r>
      <w:r>
        <w:rPr>
          <w:rFonts w:hint="eastAsia"/>
          <w:color w:val="auto"/>
          <w:highlight w:val="none"/>
        </w:rPr>
        <w:t>；全部评委</w:t>
      </w:r>
      <w:r>
        <w:rPr>
          <w:color w:val="auto"/>
          <w:highlight w:val="none"/>
        </w:rPr>
        <w:t>评分</w:t>
      </w:r>
      <w:r>
        <w:rPr>
          <w:rFonts w:hint="eastAsia"/>
          <w:color w:val="auto"/>
          <w:highlight w:val="none"/>
        </w:rPr>
        <w:t>均</w:t>
      </w:r>
      <w:r>
        <w:rPr>
          <w:color w:val="auto"/>
          <w:highlight w:val="none"/>
        </w:rPr>
        <w:t>超出评分基准值</w:t>
      </w:r>
      <w:r>
        <w:rPr>
          <w:rFonts w:hint="eastAsia"/>
          <w:color w:val="auto"/>
          <w:highlight w:val="none"/>
        </w:rPr>
        <w:t>±</w:t>
      </w:r>
      <w:r>
        <w:rPr>
          <w:color w:val="auto"/>
          <w:highlight w:val="none"/>
        </w:rPr>
        <w:t>30%（含30%）范围</w:t>
      </w:r>
      <w:r>
        <w:rPr>
          <w:rFonts w:hint="eastAsia"/>
          <w:color w:val="auto"/>
          <w:highlight w:val="none"/>
        </w:rPr>
        <w:t>时，投</w:t>
      </w:r>
      <w:r>
        <w:rPr>
          <w:color w:val="auto"/>
          <w:highlight w:val="none"/>
        </w:rPr>
        <w:t>标人</w:t>
      </w:r>
      <w:r>
        <w:rPr>
          <w:rFonts w:hint="eastAsia"/>
          <w:color w:val="auto"/>
          <w:highlight w:val="none"/>
        </w:rPr>
        <w:t>该</w:t>
      </w:r>
      <w:r>
        <w:rPr>
          <w:color w:val="auto"/>
          <w:highlight w:val="none"/>
        </w:rPr>
        <w:t>评分项目（单项）的最终得分为评分基准值。</w:t>
      </w:r>
    </w:p>
    <w:p w14:paraId="12AC5A4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b/>
          <w:bCs/>
          <w:color w:val="auto"/>
          <w:highlight w:val="none"/>
        </w:rPr>
      </w:pPr>
      <w:r>
        <w:rPr>
          <w:rFonts w:hint="eastAsia"/>
          <w:color w:val="auto"/>
          <w:highlight w:val="none"/>
        </w:rPr>
        <w:t>（4）综合评估法资格评审也按上述原则统计分数。</w:t>
      </w:r>
    </w:p>
    <w:p w14:paraId="0B63E2F0">
      <w:pPr>
        <w:pStyle w:val="4"/>
        <w:rPr>
          <w:color w:val="auto"/>
          <w:highlight w:val="none"/>
        </w:rPr>
      </w:pPr>
      <w:bookmarkStart w:id="533" w:name="_Toc1907102730"/>
      <w:bookmarkStart w:id="534" w:name="_Toc289047715"/>
      <w:bookmarkStart w:id="535" w:name="_Toc17690"/>
      <w:bookmarkStart w:id="536" w:name="_Toc1287"/>
      <w:bookmarkStart w:id="537" w:name="_Toc407135186"/>
      <w:bookmarkStart w:id="538" w:name="_Toc78449751"/>
      <w:r>
        <w:rPr>
          <w:color w:val="auto"/>
          <w:highlight w:val="none"/>
        </w:rPr>
        <w:t xml:space="preserve">A5 </w:t>
      </w:r>
      <w:r>
        <w:rPr>
          <w:rFonts w:hint="eastAsia" w:cs="黑体"/>
          <w:color w:val="auto"/>
          <w:highlight w:val="none"/>
        </w:rPr>
        <w:t>推荐中标候选人或者直接确定中标人</w:t>
      </w:r>
      <w:bookmarkEnd w:id="533"/>
      <w:bookmarkEnd w:id="534"/>
      <w:bookmarkEnd w:id="535"/>
      <w:bookmarkEnd w:id="536"/>
      <w:bookmarkEnd w:id="537"/>
      <w:bookmarkEnd w:id="538"/>
    </w:p>
    <w:p w14:paraId="52BACA5D">
      <w:pPr>
        <w:spacing w:line="360" w:lineRule="auto"/>
        <w:ind w:left="-2" w:leftChars="-1" w:firstLine="420" w:firstLineChars="200"/>
        <w:outlineLvl w:val="0"/>
        <w:rPr>
          <w:color w:val="auto"/>
          <w:highlight w:val="none"/>
        </w:rPr>
      </w:pPr>
      <w:r>
        <w:rPr>
          <w:color w:val="auto"/>
          <w:highlight w:val="none"/>
        </w:rPr>
        <w:t xml:space="preserve">A5.1 </w:t>
      </w:r>
      <w:r>
        <w:rPr>
          <w:rFonts w:hint="eastAsia" w:cs="宋体"/>
          <w:color w:val="auto"/>
          <w:highlight w:val="none"/>
        </w:rPr>
        <w:t>推荐中标候选人</w:t>
      </w:r>
    </w:p>
    <w:p w14:paraId="3D724D88">
      <w:pPr>
        <w:spacing w:line="360" w:lineRule="auto"/>
        <w:ind w:left="-2" w:leftChars="-1" w:firstLine="420" w:firstLineChars="200"/>
        <w:rPr>
          <w:color w:val="auto"/>
          <w:highlight w:val="none"/>
        </w:rPr>
      </w:pPr>
      <w:r>
        <w:rPr>
          <w:color w:val="auto"/>
          <w:highlight w:val="none"/>
        </w:rPr>
        <w:t xml:space="preserve">A5.1.1 </w:t>
      </w:r>
      <w:r>
        <w:rPr>
          <w:rFonts w:hint="eastAsia" w:cs="宋体"/>
          <w:color w:val="auto"/>
          <w:highlight w:val="none"/>
        </w:rPr>
        <w:t>除第二章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前附表第</w:t>
      </w:r>
      <w:r>
        <w:rPr>
          <w:color w:val="auto"/>
          <w:highlight w:val="none"/>
        </w:rPr>
        <w:t>7.1</w:t>
      </w:r>
      <w:r>
        <w:rPr>
          <w:rFonts w:hint="eastAsia" w:cs="宋体"/>
          <w:color w:val="auto"/>
          <w:highlight w:val="none"/>
        </w:rPr>
        <w:t>款授权直接确定中标人外，评标委员会在推荐中标候选人时，应遵照以下原则：</w:t>
      </w:r>
    </w:p>
    <w:p w14:paraId="1C2B090A">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）评标委员会按照最终得分由高至低的次序排列，并根据第二章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前附表第</w:t>
      </w:r>
      <w:r>
        <w:rPr>
          <w:color w:val="auto"/>
          <w:highlight w:val="none"/>
        </w:rPr>
        <w:t>7.1</w:t>
      </w:r>
      <w:r>
        <w:rPr>
          <w:rFonts w:hint="eastAsia" w:cs="宋体"/>
          <w:color w:val="auto"/>
          <w:highlight w:val="none"/>
        </w:rPr>
        <w:t>款规定及本章的规定推荐中标候选人。</w:t>
      </w:r>
    </w:p>
    <w:p w14:paraId="4135DD39">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）如果评标委员会根据本章的规定作否决投标处理后，有效投标不足三个，且少于第二章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前附表第</w:t>
      </w:r>
      <w:r>
        <w:rPr>
          <w:color w:val="auto"/>
          <w:highlight w:val="none"/>
        </w:rPr>
        <w:t>7.1</w:t>
      </w:r>
      <w:r>
        <w:rPr>
          <w:rFonts w:hint="eastAsia" w:cs="宋体"/>
          <w:color w:val="auto"/>
          <w:highlight w:val="none"/>
        </w:rPr>
        <w:t>款规定的中标候选人数量的，如经评标委员会评定仍具备竞争性的，可以将所有有效投标按最终得分由高至低的次序作为中标候选人向招标人推荐。如果因评标委员会否决投标后有效投标不足三个且评标委员会评定投标明显缺乏竞争的，评标委员会可以否决所有投标。</w:t>
      </w:r>
    </w:p>
    <w:p w14:paraId="5E477104">
      <w:pPr>
        <w:spacing w:line="360" w:lineRule="auto"/>
        <w:ind w:left="-2" w:leftChars="-1" w:firstLine="420" w:firstLineChars="200"/>
        <w:rPr>
          <w:color w:val="auto"/>
          <w:highlight w:val="none"/>
        </w:rPr>
      </w:pPr>
      <w:r>
        <w:rPr>
          <w:color w:val="auto"/>
          <w:highlight w:val="none"/>
        </w:rPr>
        <w:t xml:space="preserve">A5.1.2 </w:t>
      </w:r>
      <w:r>
        <w:rPr>
          <w:rFonts w:hint="eastAsia" w:cs="宋体"/>
          <w:color w:val="auto"/>
          <w:highlight w:val="none"/>
        </w:rPr>
        <w:t>投标截止时间前递交投标文件的投标人数量少于三个或者所有投标被否决的，招标人应当依法重新招标。</w:t>
      </w:r>
    </w:p>
    <w:p w14:paraId="23649CE6">
      <w:pPr>
        <w:spacing w:line="360" w:lineRule="auto"/>
        <w:ind w:left="-2" w:leftChars="-1" w:firstLine="420" w:firstLineChars="200"/>
        <w:rPr>
          <w:color w:val="auto"/>
          <w:highlight w:val="none"/>
        </w:rPr>
      </w:pPr>
      <w:r>
        <w:rPr>
          <w:color w:val="auto"/>
          <w:highlight w:val="none"/>
        </w:rPr>
        <w:t xml:space="preserve">A5.2 </w:t>
      </w:r>
      <w:r>
        <w:rPr>
          <w:rFonts w:hint="eastAsia" w:cs="宋体"/>
          <w:color w:val="auto"/>
          <w:highlight w:val="none"/>
        </w:rPr>
        <w:t>直接确定中标人</w:t>
      </w:r>
    </w:p>
    <w:p w14:paraId="5CBC6ECC">
      <w:pPr>
        <w:spacing w:line="360" w:lineRule="auto"/>
        <w:ind w:left="-2" w:leftChars="-1" w:firstLine="420" w:firstLineChars="200"/>
        <w:rPr>
          <w:color w:val="auto"/>
          <w:highlight w:val="none"/>
        </w:rPr>
      </w:pPr>
      <w:r>
        <w:rPr>
          <w:rFonts w:hint="eastAsia" w:cs="宋体"/>
          <w:color w:val="auto"/>
          <w:highlight w:val="none"/>
        </w:rPr>
        <w:t>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前附表授权评标委员会直接确定中标人的，评标委员会按照最终得分由高至低的次序排列，按照本章的规定直接确定中标人。</w:t>
      </w:r>
    </w:p>
    <w:p w14:paraId="722069D3">
      <w:pPr>
        <w:spacing w:line="360" w:lineRule="auto"/>
        <w:ind w:left="-2" w:leftChars="-1" w:firstLine="420" w:firstLineChars="200"/>
        <w:rPr>
          <w:color w:val="auto"/>
          <w:highlight w:val="none"/>
        </w:rPr>
      </w:pPr>
      <w:r>
        <w:rPr>
          <w:color w:val="auto"/>
          <w:highlight w:val="none"/>
        </w:rPr>
        <w:t xml:space="preserve">A5.3 </w:t>
      </w:r>
      <w:r>
        <w:rPr>
          <w:rFonts w:hint="eastAsia" w:cs="宋体"/>
          <w:color w:val="auto"/>
          <w:highlight w:val="none"/>
        </w:rPr>
        <w:t>编制评标报告</w:t>
      </w:r>
    </w:p>
    <w:p w14:paraId="071F1280">
      <w:pPr>
        <w:spacing w:line="360" w:lineRule="auto"/>
        <w:ind w:left="-2" w:leftChars="-1" w:firstLine="420" w:firstLineChars="200"/>
        <w:rPr>
          <w:color w:val="auto"/>
          <w:highlight w:val="none"/>
        </w:rPr>
      </w:pPr>
      <w:r>
        <w:rPr>
          <w:rFonts w:hint="eastAsia" w:cs="宋体"/>
          <w:color w:val="auto"/>
          <w:highlight w:val="none"/>
        </w:rPr>
        <w:t>评标委员会向招标人提交评标报告。评标报告应当由全体评标委员会成员加盖个人电子印章，并于评标结束时抄送有关行政监督部门。评标报告应当包括但不限于以下内容：</w:t>
      </w:r>
    </w:p>
    <w:p w14:paraId="73A04D37">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）基本情况和数据表；</w:t>
      </w:r>
    </w:p>
    <w:p w14:paraId="4B7FAAB1">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）评标委员会成员名单；</w:t>
      </w:r>
    </w:p>
    <w:p w14:paraId="74B8F4B0">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）开标记录；</w:t>
      </w:r>
    </w:p>
    <w:p w14:paraId="56614390">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）符合要求的投标一览表；</w:t>
      </w:r>
    </w:p>
    <w:p w14:paraId="4C22D3F1">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）否决投标情况说明；</w:t>
      </w:r>
    </w:p>
    <w:p w14:paraId="6F69BDB0">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）评标标准、评标方法或者评标因素一览表；</w:t>
      </w:r>
    </w:p>
    <w:p w14:paraId="2326DE67">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7</w:t>
      </w:r>
      <w:r>
        <w:rPr>
          <w:rFonts w:hint="eastAsia" w:cs="宋体"/>
          <w:color w:val="auto"/>
          <w:highlight w:val="none"/>
        </w:rPr>
        <w:t>）经评审的价格一览表（包括评标委员会在评标过程中所形成的所有记载评标结果、结论的表格、说明、记录等文件）；</w:t>
      </w:r>
    </w:p>
    <w:p w14:paraId="07309C21">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8</w:t>
      </w:r>
      <w:r>
        <w:rPr>
          <w:rFonts w:hint="eastAsia" w:cs="宋体"/>
          <w:color w:val="auto"/>
          <w:highlight w:val="none"/>
        </w:rPr>
        <w:t>）经评审的投标人排序；</w:t>
      </w:r>
    </w:p>
    <w:p w14:paraId="06EA8771">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9</w:t>
      </w:r>
      <w:r>
        <w:rPr>
          <w:rFonts w:hint="eastAsia" w:cs="宋体"/>
          <w:color w:val="auto"/>
          <w:highlight w:val="none"/>
        </w:rPr>
        <w:t>）推荐的中标候选人名单（如果第二章</w:t>
      </w:r>
      <w:r>
        <w:rPr>
          <w:rFonts w:hint="eastAsia"/>
          <w:color w:val="auto"/>
          <w:highlight w:val="none"/>
          <w:lang w:eastAsia="zh-CN"/>
        </w:rPr>
        <w:t>“</w:t>
      </w:r>
      <w:r>
        <w:rPr>
          <w:rFonts w:hint="eastAsia" w:cs="宋体"/>
          <w:color w:val="auto"/>
          <w:highlight w:val="none"/>
        </w:rPr>
        <w:t>投标人须知</w:t>
      </w:r>
      <w:r>
        <w:rPr>
          <w:rFonts w:hint="eastAsia"/>
          <w:color w:val="auto"/>
          <w:highlight w:val="none"/>
          <w:lang w:eastAsia="zh-CN"/>
        </w:rPr>
        <w:t>”</w:t>
      </w:r>
      <w:r>
        <w:rPr>
          <w:rFonts w:hint="eastAsia" w:cs="宋体"/>
          <w:color w:val="auto"/>
          <w:highlight w:val="none"/>
        </w:rPr>
        <w:t>前附表授权评标委员会直接确定中标人，则为</w:t>
      </w:r>
      <w:r>
        <w:rPr>
          <w:rFonts w:hint="eastAsia"/>
          <w:color w:val="auto"/>
          <w:highlight w:val="none"/>
          <w:lang w:eastAsia="zh-CN"/>
        </w:rPr>
        <w:t>“</w:t>
      </w:r>
      <w:r>
        <w:rPr>
          <w:rFonts w:hint="eastAsia" w:cs="宋体"/>
          <w:color w:val="auto"/>
          <w:highlight w:val="none"/>
        </w:rPr>
        <w:t>确定的中标人</w:t>
      </w:r>
      <w:r>
        <w:rPr>
          <w:rFonts w:hint="eastAsia"/>
          <w:color w:val="auto"/>
          <w:highlight w:val="none"/>
          <w:lang w:eastAsia="zh-CN"/>
        </w:rPr>
        <w:t>”</w:t>
      </w:r>
      <w:r>
        <w:rPr>
          <w:rFonts w:hint="eastAsia" w:cs="宋体"/>
          <w:color w:val="auto"/>
          <w:highlight w:val="none"/>
        </w:rPr>
        <w:t>）与签订合同前要处理的事宜；</w:t>
      </w:r>
    </w:p>
    <w:p w14:paraId="13D425F7">
      <w:pPr>
        <w:spacing w:line="360" w:lineRule="auto"/>
        <w:ind w:left="-2" w:leftChars="-1" w:firstLine="420" w:firstLineChars="200"/>
        <w:rPr>
          <w:b/>
          <w:bCs/>
          <w:color w:val="auto"/>
          <w:highlight w:val="none"/>
        </w:rPr>
      </w:pPr>
      <w:r>
        <w:rPr>
          <w:rFonts w:hint="eastAsia" w:cs="宋体"/>
          <w:color w:val="auto"/>
          <w:highlight w:val="none"/>
        </w:rPr>
        <w:t>（</w:t>
      </w:r>
      <w:r>
        <w:rPr>
          <w:color w:val="auto"/>
          <w:highlight w:val="none"/>
        </w:rPr>
        <w:t>10</w:t>
      </w:r>
      <w:r>
        <w:rPr>
          <w:rFonts w:hint="eastAsia" w:cs="宋体"/>
          <w:color w:val="auto"/>
          <w:highlight w:val="none"/>
        </w:rPr>
        <w:t>）澄清、说明、补正事项纪要。</w:t>
      </w:r>
    </w:p>
    <w:p w14:paraId="5CC6D6CF">
      <w:pPr>
        <w:pStyle w:val="4"/>
        <w:rPr>
          <w:color w:val="auto"/>
          <w:highlight w:val="none"/>
        </w:rPr>
      </w:pPr>
      <w:bookmarkStart w:id="539" w:name="_Toc24245"/>
      <w:bookmarkStart w:id="540" w:name="_Toc407135187"/>
      <w:bookmarkStart w:id="541" w:name="_Toc19964"/>
      <w:bookmarkStart w:id="542" w:name="_Toc78449752"/>
      <w:bookmarkStart w:id="543" w:name="_Toc588688870"/>
      <w:bookmarkStart w:id="544" w:name="_Toc1531373377"/>
      <w:r>
        <w:rPr>
          <w:color w:val="auto"/>
          <w:highlight w:val="none"/>
        </w:rPr>
        <w:t xml:space="preserve">A6 </w:t>
      </w:r>
      <w:r>
        <w:rPr>
          <w:rFonts w:hint="eastAsia" w:cs="黑体"/>
          <w:color w:val="auto"/>
          <w:highlight w:val="none"/>
        </w:rPr>
        <w:t>特殊情况的处置程序</w:t>
      </w:r>
      <w:bookmarkEnd w:id="539"/>
      <w:bookmarkEnd w:id="540"/>
      <w:bookmarkEnd w:id="541"/>
      <w:bookmarkEnd w:id="542"/>
      <w:bookmarkEnd w:id="543"/>
      <w:bookmarkEnd w:id="544"/>
    </w:p>
    <w:p w14:paraId="0A041BF9">
      <w:pPr>
        <w:spacing w:line="360" w:lineRule="auto"/>
        <w:ind w:firstLine="420" w:firstLineChars="200"/>
        <w:rPr>
          <w:color w:val="auto"/>
          <w:highlight w:val="none"/>
        </w:rPr>
      </w:pPr>
      <w:r>
        <w:rPr>
          <w:color w:val="auto"/>
          <w:highlight w:val="none"/>
        </w:rPr>
        <w:t xml:space="preserve">A6.1 </w:t>
      </w:r>
      <w:r>
        <w:rPr>
          <w:rFonts w:hint="eastAsia" w:cs="宋体"/>
          <w:color w:val="auto"/>
          <w:highlight w:val="none"/>
        </w:rPr>
        <w:t>关于评标活动暂停</w:t>
      </w:r>
    </w:p>
    <w:p w14:paraId="68C95069">
      <w:pPr>
        <w:spacing w:line="360" w:lineRule="auto"/>
        <w:ind w:left="-2" w:leftChars="-1" w:firstLine="420" w:firstLineChars="200"/>
        <w:rPr>
          <w:color w:val="auto"/>
          <w:highlight w:val="none"/>
        </w:rPr>
      </w:pPr>
      <w:r>
        <w:rPr>
          <w:color w:val="auto"/>
          <w:highlight w:val="none"/>
        </w:rPr>
        <w:t xml:space="preserve">A6.1.1 </w:t>
      </w:r>
      <w:r>
        <w:rPr>
          <w:rFonts w:hint="eastAsia" w:cs="宋体"/>
          <w:color w:val="auto"/>
          <w:highlight w:val="none"/>
        </w:rPr>
        <w:t>评标委员会应当执行连续评标的原则，按评标办法中规定的程序、内容、方法、标准完成全部评标工作。只有发生不可抗力导致评标工作无法继续时，评标活动方可暂停。</w:t>
      </w:r>
    </w:p>
    <w:p w14:paraId="682F0723">
      <w:pPr>
        <w:spacing w:line="360" w:lineRule="auto"/>
        <w:ind w:left="-2" w:leftChars="-1" w:firstLine="420" w:firstLineChars="200"/>
        <w:rPr>
          <w:color w:val="auto"/>
          <w:highlight w:val="none"/>
        </w:rPr>
      </w:pPr>
      <w:r>
        <w:rPr>
          <w:color w:val="auto"/>
          <w:highlight w:val="none"/>
        </w:rPr>
        <w:t xml:space="preserve">A6.1.2 </w:t>
      </w:r>
      <w:r>
        <w:rPr>
          <w:rFonts w:hint="eastAsia" w:cs="宋体"/>
          <w:color w:val="auto"/>
          <w:highlight w:val="none"/>
        </w:rPr>
        <w:t>发生评标暂停情况时，评标委员会应当封存全部投标文件和评标记录，待不可抗力的影响结束且具备继续评标的条件时，由原评标委员会继续评标。</w:t>
      </w:r>
    </w:p>
    <w:p w14:paraId="5DD587D9">
      <w:pPr>
        <w:spacing w:line="360" w:lineRule="auto"/>
        <w:ind w:firstLine="420" w:firstLineChars="200"/>
        <w:outlineLvl w:val="0"/>
        <w:rPr>
          <w:color w:val="auto"/>
          <w:highlight w:val="none"/>
        </w:rPr>
      </w:pPr>
      <w:r>
        <w:rPr>
          <w:color w:val="auto"/>
          <w:highlight w:val="none"/>
        </w:rPr>
        <w:t xml:space="preserve">A6.2 </w:t>
      </w:r>
      <w:r>
        <w:rPr>
          <w:rFonts w:hint="eastAsia" w:cs="宋体"/>
          <w:color w:val="auto"/>
          <w:highlight w:val="none"/>
        </w:rPr>
        <w:t>关于评标中途更换评委</w:t>
      </w:r>
    </w:p>
    <w:p w14:paraId="32AA2DBB">
      <w:pPr>
        <w:spacing w:line="360" w:lineRule="auto"/>
        <w:ind w:firstLine="420" w:firstLineChars="200"/>
        <w:rPr>
          <w:color w:val="auto"/>
          <w:highlight w:val="none"/>
        </w:rPr>
      </w:pPr>
      <w:r>
        <w:rPr>
          <w:color w:val="auto"/>
          <w:highlight w:val="none"/>
        </w:rPr>
        <w:t xml:space="preserve">A6.2.1 </w:t>
      </w:r>
      <w:r>
        <w:rPr>
          <w:rFonts w:hint="eastAsia" w:cs="宋体"/>
          <w:color w:val="auto"/>
          <w:highlight w:val="none"/>
        </w:rPr>
        <w:t>除非发生下列情况之一，评标委员会成员不得在评标中途更换：</w:t>
      </w:r>
    </w:p>
    <w:p w14:paraId="334AA5C7">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）因不可抗拒的客观原因，不能到场或需在评标中途退出评标活动。</w:t>
      </w:r>
    </w:p>
    <w:p w14:paraId="37A1C201">
      <w:pPr>
        <w:spacing w:line="360" w:lineRule="auto"/>
        <w:ind w:left="-2" w:leftChars="-1"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）根据法律法规规定，某个或某几个评标委员会成员需要回避。</w:t>
      </w:r>
    </w:p>
    <w:p w14:paraId="3372D751">
      <w:pPr>
        <w:spacing w:line="360" w:lineRule="auto"/>
        <w:ind w:left="-2" w:leftChars="-1" w:firstLine="420" w:firstLineChars="200"/>
        <w:rPr>
          <w:color w:val="auto"/>
          <w:highlight w:val="none"/>
        </w:rPr>
      </w:pPr>
      <w:r>
        <w:rPr>
          <w:color w:val="auto"/>
          <w:highlight w:val="none"/>
        </w:rPr>
        <w:t xml:space="preserve">A6.2.2 </w:t>
      </w:r>
      <w:r>
        <w:rPr>
          <w:rFonts w:hint="eastAsia" w:cs="宋体"/>
          <w:color w:val="auto"/>
          <w:highlight w:val="none"/>
        </w:rPr>
        <w:t>退出评标的评标委员会成员，其已完成的评标行为无效。由招标人根据本招标文件规定的评标委员会成员生产方式另行确定替代者进行评标。</w:t>
      </w:r>
    </w:p>
    <w:p w14:paraId="1F3308C9">
      <w:pPr>
        <w:spacing w:line="360" w:lineRule="auto"/>
        <w:ind w:firstLine="420" w:firstLineChars="200"/>
        <w:rPr>
          <w:color w:val="auto"/>
          <w:highlight w:val="none"/>
        </w:rPr>
      </w:pPr>
      <w:r>
        <w:rPr>
          <w:color w:val="auto"/>
          <w:highlight w:val="none"/>
        </w:rPr>
        <w:t xml:space="preserve">A6.3 </w:t>
      </w:r>
      <w:r>
        <w:rPr>
          <w:rFonts w:hint="eastAsia" w:cs="宋体"/>
          <w:color w:val="auto"/>
          <w:highlight w:val="none"/>
        </w:rPr>
        <w:t>记名投票</w:t>
      </w:r>
    </w:p>
    <w:p w14:paraId="45B8C787">
      <w:pPr>
        <w:spacing w:line="360" w:lineRule="auto"/>
        <w:ind w:left="-2" w:leftChars="-1" w:firstLine="420" w:firstLineChars="200"/>
        <w:rPr>
          <w:b/>
          <w:bCs/>
          <w:color w:val="auto"/>
          <w:highlight w:val="none"/>
        </w:rPr>
      </w:pPr>
      <w:r>
        <w:rPr>
          <w:rFonts w:hint="eastAsia" w:cs="宋体"/>
          <w:color w:val="auto"/>
          <w:highlight w:val="none"/>
        </w:rPr>
        <w:t>需评标委员会就某项定性的评审结论做出表决的，由评标委员会全体成员按照少数服从多数的原则，以记名投票方式表决。</w:t>
      </w:r>
    </w:p>
    <w:p w14:paraId="5A9D6D50">
      <w:pPr>
        <w:pStyle w:val="4"/>
        <w:rPr>
          <w:color w:val="auto"/>
          <w:highlight w:val="none"/>
        </w:rPr>
      </w:pPr>
      <w:bookmarkStart w:id="545" w:name="_Toc407135188"/>
      <w:bookmarkStart w:id="546" w:name="_Toc457814420"/>
      <w:bookmarkStart w:id="547" w:name="_Toc2133"/>
      <w:bookmarkStart w:id="548" w:name="_Toc12606"/>
      <w:bookmarkStart w:id="549" w:name="_Toc2125943846"/>
      <w:bookmarkStart w:id="550" w:name="_Toc78449753"/>
      <w:r>
        <w:rPr>
          <w:color w:val="auto"/>
          <w:highlight w:val="none"/>
        </w:rPr>
        <w:t xml:space="preserve">A7 </w:t>
      </w:r>
      <w:r>
        <w:rPr>
          <w:rFonts w:hint="eastAsia" w:cs="黑体"/>
          <w:color w:val="auto"/>
          <w:highlight w:val="none"/>
        </w:rPr>
        <w:t>补充条款</w:t>
      </w:r>
      <w:bookmarkEnd w:id="545"/>
      <w:bookmarkEnd w:id="546"/>
      <w:bookmarkEnd w:id="547"/>
      <w:bookmarkEnd w:id="548"/>
      <w:bookmarkEnd w:id="549"/>
      <w:bookmarkEnd w:id="550"/>
    </w:p>
    <w:p w14:paraId="5610765C">
      <w:pPr>
        <w:spacing w:line="360" w:lineRule="auto"/>
        <w:ind w:left="-2" w:leftChars="-1" w:firstLine="420" w:firstLineChars="200"/>
        <w:rPr>
          <w:rFonts w:cs="宋体"/>
          <w:color w:val="auto"/>
          <w:highlight w:val="none"/>
        </w:rPr>
      </w:pPr>
      <w:r>
        <w:rPr>
          <w:rFonts w:hint="eastAsia" w:cs="宋体"/>
          <w:color w:val="auto"/>
          <w:highlight w:val="none"/>
        </w:rPr>
        <w:t>根据《评标委员会和评标方法暂行规定》《评标专家和评标专家库管理办法》等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081388A5">
      <w:pPr>
        <w:spacing w:line="360" w:lineRule="auto"/>
        <w:rPr>
          <w:color w:val="auto"/>
          <w:highlight w:val="none"/>
        </w:rPr>
      </w:pPr>
    </w:p>
    <w:p w14:paraId="0F70D911">
      <w:pPr>
        <w:spacing w:line="360" w:lineRule="auto"/>
        <w:ind w:left="-2" w:leftChars="-1" w:firstLine="420" w:firstLineChars="200"/>
        <w:rPr>
          <w:color w:val="auto"/>
          <w:highlight w:val="none"/>
        </w:rPr>
      </w:pPr>
    </w:p>
    <w:p w14:paraId="044674D6">
      <w:pPr>
        <w:spacing w:line="360" w:lineRule="auto"/>
        <w:ind w:left="-2" w:leftChars="-1" w:firstLine="420" w:firstLineChars="200"/>
        <w:rPr>
          <w:color w:val="auto"/>
          <w:highlight w:val="none"/>
        </w:rPr>
      </w:pPr>
    </w:p>
    <w:p w14:paraId="2BE0EAB2">
      <w:pPr>
        <w:spacing w:line="360" w:lineRule="auto"/>
        <w:rPr>
          <w:color w:val="auto"/>
          <w:highlight w:val="none"/>
        </w:rPr>
        <w:sectPr>
          <w:pgSz w:w="11907" w:h="16840"/>
          <w:pgMar w:top="1440" w:right="1440" w:bottom="1440" w:left="1797" w:header="851" w:footer="851" w:gutter="0"/>
          <w:cols w:space="720" w:num="1"/>
          <w:docGrid w:linePitch="312" w:charSpace="0"/>
        </w:sectPr>
      </w:pPr>
    </w:p>
    <w:p w14:paraId="2B4DE827">
      <w:pPr>
        <w:pStyle w:val="3"/>
        <w:jc w:val="center"/>
        <w:rPr>
          <w:b w:val="0"/>
          <w:bCs w:val="0"/>
          <w:color w:val="auto"/>
          <w:sz w:val="28"/>
          <w:szCs w:val="28"/>
          <w:highlight w:val="none"/>
        </w:rPr>
      </w:pPr>
      <w:bookmarkStart w:id="551" w:name="_Toc27080"/>
      <w:bookmarkStart w:id="552" w:name="_Toc680389609"/>
      <w:bookmarkStart w:id="553" w:name="_Toc407135189"/>
      <w:bookmarkStart w:id="554" w:name="_Toc78449754"/>
      <w:r>
        <w:rPr>
          <w:rFonts w:hint="eastAsia" w:cs="黑体"/>
          <w:color w:val="auto"/>
          <w:highlight w:val="none"/>
        </w:rPr>
        <w:t>附件</w:t>
      </w:r>
      <w:r>
        <w:rPr>
          <w:color w:val="auto"/>
          <w:highlight w:val="none"/>
        </w:rPr>
        <w:t xml:space="preserve">B  </w:t>
      </w:r>
      <w:r>
        <w:rPr>
          <w:rFonts w:hint="eastAsia" w:cs="黑体"/>
          <w:color w:val="auto"/>
          <w:highlight w:val="none"/>
        </w:rPr>
        <w:t>否决投标条件</w:t>
      </w:r>
      <w:bookmarkEnd w:id="551"/>
      <w:bookmarkEnd w:id="552"/>
      <w:bookmarkEnd w:id="553"/>
      <w:bookmarkEnd w:id="554"/>
    </w:p>
    <w:p w14:paraId="60BB9DE4">
      <w:pPr>
        <w:adjustRightInd w:val="0"/>
        <w:snapToGrid w:val="0"/>
        <w:spacing w:line="440" w:lineRule="exact"/>
        <w:rPr>
          <w:b/>
          <w:bCs/>
          <w:color w:val="auto"/>
          <w:highlight w:val="none"/>
        </w:rPr>
      </w:pPr>
    </w:p>
    <w:p w14:paraId="1C21013C">
      <w:pPr>
        <w:adjustRightInd w:val="0"/>
        <w:snapToGrid w:val="0"/>
        <w:spacing w:line="440" w:lineRule="exact"/>
        <w:rPr>
          <w:b/>
          <w:bCs/>
          <w:color w:val="auto"/>
          <w:highlight w:val="none"/>
        </w:rPr>
      </w:pPr>
    </w:p>
    <w:p w14:paraId="2CE07E2C">
      <w:pPr>
        <w:adjustRightInd w:val="0"/>
        <w:snapToGrid w:val="0"/>
        <w:spacing w:line="440" w:lineRule="exact"/>
        <w:rPr>
          <w:color w:val="auto"/>
          <w:highlight w:val="none"/>
        </w:rPr>
      </w:pPr>
      <w:r>
        <w:rPr>
          <w:rFonts w:hint="eastAsia" w:cs="宋体"/>
          <w:b/>
          <w:bCs/>
          <w:color w:val="auto"/>
          <w:highlight w:val="none"/>
        </w:rPr>
        <w:t>备注：</w:t>
      </w:r>
      <w:r>
        <w:rPr>
          <w:rFonts w:hint="eastAsia" w:cs="宋体"/>
          <w:color w:val="auto"/>
          <w:highlight w:val="none"/>
        </w:rPr>
        <w:t>同</w:t>
      </w:r>
      <w:r>
        <w:rPr>
          <w:rFonts w:hint="eastAsia" w:cs="宋体"/>
          <w:color w:val="auto"/>
          <w:highlight w:val="none"/>
          <w:lang w:eastAsia="zh-CN"/>
        </w:rPr>
        <w:t>“</w:t>
      </w:r>
      <w:r>
        <w:rPr>
          <w:rFonts w:hint="eastAsia" w:cs="宋体"/>
          <w:color w:val="auto"/>
          <w:highlight w:val="none"/>
        </w:rPr>
        <w:t>第三章（经评审的合理低价法）</w:t>
      </w:r>
      <w:r>
        <w:rPr>
          <w:rFonts w:hint="eastAsia" w:cs="宋体"/>
          <w:color w:val="auto"/>
          <w:highlight w:val="none"/>
          <w:lang w:eastAsia="zh-CN"/>
        </w:rPr>
        <w:t>”</w:t>
      </w:r>
      <w:r>
        <w:rPr>
          <w:rFonts w:hint="eastAsia" w:cs="宋体"/>
          <w:color w:val="auto"/>
          <w:highlight w:val="none"/>
        </w:rPr>
        <w:t>附件</w:t>
      </w:r>
      <w:r>
        <w:rPr>
          <w:color w:val="auto"/>
          <w:highlight w:val="none"/>
        </w:rPr>
        <w:t>B</w:t>
      </w:r>
      <w:r>
        <w:rPr>
          <w:rFonts w:hint="eastAsia" w:cs="宋体"/>
          <w:color w:val="auto"/>
          <w:highlight w:val="none"/>
        </w:rPr>
        <w:t>。</w:t>
      </w:r>
    </w:p>
    <w:p w14:paraId="29AC60CB">
      <w:pPr>
        <w:spacing w:line="360" w:lineRule="auto"/>
        <w:ind w:firstLine="450"/>
        <w:rPr>
          <w:color w:val="auto"/>
          <w:highlight w:val="none"/>
        </w:rPr>
      </w:pPr>
    </w:p>
    <w:p w14:paraId="7A6B20D7">
      <w:pPr>
        <w:spacing w:line="360" w:lineRule="auto"/>
        <w:ind w:firstLine="450"/>
        <w:rPr>
          <w:color w:val="auto"/>
          <w:highlight w:val="none"/>
        </w:rPr>
      </w:pPr>
    </w:p>
    <w:p w14:paraId="3DAF3EF8">
      <w:pPr>
        <w:spacing w:line="360" w:lineRule="auto"/>
        <w:ind w:firstLine="450"/>
        <w:rPr>
          <w:color w:val="auto"/>
          <w:highlight w:val="none"/>
        </w:rPr>
      </w:pPr>
    </w:p>
    <w:p w14:paraId="4E87C179">
      <w:pPr>
        <w:spacing w:line="420" w:lineRule="exact"/>
        <w:jc w:val="center"/>
        <w:rPr>
          <w:color w:val="auto"/>
          <w:highlight w:val="none"/>
        </w:rPr>
      </w:pPr>
    </w:p>
    <w:p w14:paraId="2A05F988">
      <w:pPr>
        <w:spacing w:line="420" w:lineRule="exact"/>
        <w:jc w:val="center"/>
        <w:rPr>
          <w:color w:val="auto"/>
          <w:highlight w:val="none"/>
        </w:rPr>
      </w:pPr>
    </w:p>
    <w:p w14:paraId="645991F7">
      <w:pPr>
        <w:spacing w:line="420" w:lineRule="exact"/>
        <w:jc w:val="center"/>
        <w:rPr>
          <w:color w:val="auto"/>
          <w:highlight w:val="none"/>
        </w:rPr>
      </w:pPr>
    </w:p>
    <w:p w14:paraId="69B057AC">
      <w:pPr>
        <w:spacing w:line="420" w:lineRule="exact"/>
        <w:jc w:val="center"/>
        <w:rPr>
          <w:color w:val="auto"/>
          <w:highlight w:val="none"/>
        </w:rPr>
      </w:pPr>
    </w:p>
    <w:p w14:paraId="650FF87D">
      <w:pPr>
        <w:spacing w:line="420" w:lineRule="exact"/>
        <w:rPr>
          <w:color w:val="auto"/>
          <w:highlight w:val="none"/>
        </w:rPr>
      </w:pPr>
    </w:p>
    <w:p w14:paraId="06EBA922">
      <w:pPr>
        <w:pStyle w:val="136"/>
        <w:spacing w:line="360" w:lineRule="auto"/>
        <w:ind w:firstLine="308" w:firstLineChars="147"/>
        <w:jc w:val="left"/>
        <w:rPr>
          <w:color w:val="auto"/>
          <w:highlight w:val="none"/>
        </w:rPr>
      </w:pPr>
    </w:p>
    <w:p w14:paraId="2FA0D1D2">
      <w:pPr>
        <w:pStyle w:val="136"/>
        <w:spacing w:line="360" w:lineRule="auto"/>
        <w:ind w:firstLine="308" w:firstLineChars="147"/>
        <w:jc w:val="left"/>
        <w:rPr>
          <w:color w:val="auto"/>
          <w:highlight w:val="none"/>
        </w:rPr>
      </w:pPr>
    </w:p>
    <w:p w14:paraId="4CA126F1">
      <w:pPr>
        <w:pStyle w:val="136"/>
        <w:spacing w:line="360" w:lineRule="auto"/>
        <w:ind w:firstLine="308" w:firstLineChars="147"/>
        <w:jc w:val="left"/>
        <w:rPr>
          <w:color w:val="auto"/>
          <w:highlight w:val="none"/>
        </w:rPr>
        <w:sectPr>
          <w:pgSz w:w="11907" w:h="16840"/>
          <w:pgMar w:top="1440" w:right="1440" w:bottom="1440" w:left="1797" w:header="851" w:footer="851" w:gutter="0"/>
          <w:cols w:space="720" w:num="1"/>
          <w:docGrid w:linePitch="312" w:charSpace="0"/>
        </w:sectPr>
      </w:pPr>
    </w:p>
    <w:p w14:paraId="47588E8F">
      <w:pPr>
        <w:pStyle w:val="5"/>
        <w:rPr>
          <w:rFonts w:eastAsia="黑体"/>
          <w:color w:val="auto"/>
          <w:sz w:val="28"/>
          <w:szCs w:val="28"/>
          <w:highlight w:val="none"/>
        </w:rPr>
      </w:pPr>
      <w:bookmarkStart w:id="555" w:name="_Toc553694808"/>
      <w:bookmarkStart w:id="556" w:name="_Toc20266"/>
      <w:bookmarkStart w:id="557" w:name="_Toc805"/>
      <w:bookmarkStart w:id="558" w:name="_Toc32580197"/>
      <w:bookmarkStart w:id="559" w:name="_Toc78449755"/>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color w:val="auto"/>
          <w:sz w:val="28"/>
          <w:szCs w:val="28"/>
          <w:highlight w:val="none"/>
        </w:rPr>
        <w:t>1</w:t>
      </w:r>
      <w:r>
        <w:rPr>
          <w:rFonts w:hint="eastAsia"/>
          <w:color w:val="auto"/>
          <w:sz w:val="28"/>
          <w:szCs w:val="28"/>
          <w:highlight w:val="none"/>
        </w:rPr>
        <w:t>－</w:t>
      </w:r>
      <w:r>
        <w:rPr>
          <w:rFonts w:hint="eastAsia"/>
          <w:color w:val="auto"/>
          <w:sz w:val="28"/>
          <w:szCs w:val="28"/>
          <w:highlight w:val="none"/>
          <w:lang w:val="en-US" w:eastAsia="zh-CN"/>
        </w:rPr>
        <w:t>1</w:t>
      </w:r>
      <w:r>
        <w:rPr>
          <w:rFonts w:hint="eastAsia"/>
          <w:color w:val="auto"/>
          <w:sz w:val="28"/>
          <w:szCs w:val="28"/>
          <w:highlight w:val="none"/>
        </w:rPr>
        <w:t>：投标单位人员诚信状态核查情况记录表</w:t>
      </w:r>
      <w:r>
        <w:rPr>
          <w:rFonts w:hint="default"/>
          <w:color w:val="auto"/>
          <w:sz w:val="28"/>
          <w:szCs w:val="28"/>
          <w:highlight w:val="none"/>
          <w:lang w:val="en"/>
        </w:rPr>
        <w:t>1</w:t>
      </w:r>
      <w:r>
        <w:rPr>
          <w:rFonts w:hint="eastAsia"/>
          <w:color w:val="auto"/>
          <w:sz w:val="28"/>
          <w:szCs w:val="28"/>
          <w:highlight w:val="none"/>
          <w:lang w:val="en-US" w:eastAsia="zh-CN"/>
        </w:rPr>
        <w:t>-1</w:t>
      </w:r>
      <w:bookmarkEnd w:id="555"/>
      <w:bookmarkEnd w:id="556"/>
      <w:bookmarkEnd w:id="557"/>
      <w:bookmarkEnd w:id="558"/>
      <w:bookmarkEnd w:id="559"/>
    </w:p>
    <w:p w14:paraId="37A3057D">
      <w:pPr>
        <w:adjustRightInd w:val="0"/>
        <w:snapToGrid w:val="0"/>
        <w:jc w:val="center"/>
        <w:rPr>
          <w:rFonts w:hint="eastAsia"/>
          <w:color w:val="auto"/>
          <w:sz w:val="28"/>
          <w:szCs w:val="28"/>
          <w:highlight w:val="none"/>
          <w:lang w:val="en-US" w:eastAsia="zh-CN"/>
        </w:rPr>
      </w:pPr>
      <w:r>
        <w:rPr>
          <w:rFonts w:hint="eastAsia" w:eastAsia="黑体" w:cs="黑体"/>
          <w:color w:val="auto"/>
          <w:sz w:val="28"/>
          <w:szCs w:val="28"/>
          <w:highlight w:val="none"/>
        </w:rPr>
        <w:t>投标单位人员诚信状态核查情况记录表</w:t>
      </w:r>
      <w:r>
        <w:rPr>
          <w:rFonts w:hint="default"/>
          <w:color w:val="auto"/>
          <w:sz w:val="28"/>
          <w:szCs w:val="28"/>
          <w:highlight w:val="none"/>
          <w:lang w:val="en"/>
        </w:rPr>
        <w:t>1</w:t>
      </w:r>
      <w:r>
        <w:rPr>
          <w:rFonts w:hint="eastAsia"/>
          <w:color w:val="auto"/>
          <w:sz w:val="28"/>
          <w:szCs w:val="28"/>
          <w:highlight w:val="none"/>
          <w:lang w:val="en-US" w:eastAsia="zh-CN"/>
        </w:rPr>
        <w:t>-1</w:t>
      </w:r>
    </w:p>
    <w:p w14:paraId="288FA408">
      <w:pPr>
        <w:adjustRightInd w:val="0"/>
        <w:snapToGrid w:val="0"/>
        <w:jc w:val="center"/>
        <w:rPr>
          <w:rFonts w:hint="eastAsia"/>
          <w:color w:val="auto"/>
          <w:sz w:val="28"/>
          <w:szCs w:val="28"/>
          <w:highlight w:val="none"/>
          <w:lang w:val="en-US" w:eastAsia="zh-CN"/>
        </w:rPr>
      </w:pPr>
    </w:p>
    <w:p w14:paraId="44137A3E">
      <w:pPr>
        <w:spacing w:after="72" w:afterLines="30"/>
        <w:rPr>
          <w:color w:val="auto"/>
          <w:highlight w:val="none"/>
        </w:rPr>
      </w:pPr>
      <w:r>
        <w:rPr>
          <w:rFonts w:hint="eastAsia" w:cs="宋体"/>
          <w:color w:val="auto"/>
          <w:highlight w:val="none"/>
          <w:lang w:val="en-US" w:eastAsia="zh-CN"/>
        </w:rPr>
        <w:t>招标</w:t>
      </w:r>
      <w:r>
        <w:rPr>
          <w:rFonts w:hint="eastAsia" w:cs="宋体"/>
          <w:color w:val="auto"/>
          <w:highlight w:val="none"/>
        </w:rPr>
        <w:t>项目名称：</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6BD55CEA">
      <w:pPr>
        <w:spacing w:after="72" w:afterLines="30"/>
        <w:rPr>
          <w:color w:val="auto"/>
          <w:highlight w:val="none"/>
          <w:u w:val="singl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r>
        <w:rPr>
          <w:rFonts w:hint="eastAsia" w:cs="宋体"/>
          <w:color w:val="auto"/>
          <w:highlight w:val="none"/>
        </w:rPr>
        <w:t>招标代理员身份证号：</w:t>
      </w:r>
      <w:r>
        <w:rPr>
          <w:rFonts w:hint="eastAsia" w:cs="宋体"/>
          <w:color w:val="auto"/>
          <w:highlight w:val="none"/>
          <w:u w:val="single"/>
        </w:rPr>
        <w:t xml:space="preserve">           </w:t>
      </w:r>
    </w:p>
    <w:tbl>
      <w:tblPr>
        <w:tblStyle w:val="41"/>
        <w:tblpPr w:leftFromText="180" w:rightFromText="180" w:vertAnchor="text" w:horzAnchor="margin" w:tblpY="52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3284"/>
        <w:gridCol w:w="1260"/>
        <w:gridCol w:w="2633"/>
        <w:gridCol w:w="1134"/>
        <w:gridCol w:w="709"/>
        <w:gridCol w:w="1701"/>
        <w:gridCol w:w="2126"/>
      </w:tblGrid>
      <w:tr w14:paraId="145E1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586" w:type="dxa"/>
            <w:vMerge w:val="restart"/>
            <w:noWrap w:val="0"/>
            <w:vAlign w:val="center"/>
          </w:tcPr>
          <w:p w14:paraId="0204DFAE">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284" w:type="dxa"/>
            <w:vMerge w:val="restart"/>
            <w:noWrap w:val="0"/>
            <w:vAlign w:val="center"/>
          </w:tcPr>
          <w:p w14:paraId="4893CE30">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投标单位</w:t>
            </w:r>
          </w:p>
        </w:tc>
        <w:tc>
          <w:tcPr>
            <w:tcW w:w="5027" w:type="dxa"/>
            <w:gridSpan w:val="3"/>
            <w:noWrap w:val="0"/>
            <w:vAlign w:val="top"/>
          </w:tcPr>
          <w:p w14:paraId="4B49A1A1">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专职投标员</w:t>
            </w:r>
          </w:p>
        </w:tc>
        <w:tc>
          <w:tcPr>
            <w:tcW w:w="709" w:type="dxa"/>
            <w:vMerge w:val="restart"/>
            <w:noWrap w:val="0"/>
            <w:vAlign w:val="center"/>
          </w:tcPr>
          <w:p w14:paraId="76C4465F">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核查</w:t>
            </w:r>
          </w:p>
          <w:p w14:paraId="0647B6A5">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结论</w:t>
            </w:r>
          </w:p>
        </w:tc>
        <w:tc>
          <w:tcPr>
            <w:tcW w:w="1701" w:type="dxa"/>
            <w:vMerge w:val="restart"/>
            <w:noWrap w:val="0"/>
            <w:vAlign w:val="center"/>
          </w:tcPr>
          <w:p w14:paraId="153A026A">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法定代表人或专职投标员签电子章（必须为专职投标员持证本人）</w:t>
            </w:r>
          </w:p>
        </w:tc>
        <w:tc>
          <w:tcPr>
            <w:tcW w:w="2126" w:type="dxa"/>
            <w:vMerge w:val="restart"/>
            <w:noWrap w:val="0"/>
            <w:vAlign w:val="top"/>
          </w:tcPr>
          <w:p w14:paraId="7F66088C">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验证专职投标员与投标文件中专职投标员是否一致</w:t>
            </w:r>
          </w:p>
          <w:p w14:paraId="223F6301">
            <w:pPr>
              <w:keepNext w:val="0"/>
              <w:keepLines w:val="0"/>
              <w:suppressLineNumbers w:val="0"/>
              <w:spacing w:before="0" w:beforeAutospacing="0" w:after="0" w:afterAutospacing="0" w:line="280" w:lineRule="exact"/>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（本列由评委填写）</w:t>
            </w:r>
          </w:p>
        </w:tc>
      </w:tr>
      <w:tr w14:paraId="650F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exact"/>
        </w:trPr>
        <w:tc>
          <w:tcPr>
            <w:tcW w:w="586" w:type="dxa"/>
            <w:vMerge w:val="continue"/>
            <w:noWrap w:val="0"/>
            <w:vAlign w:val="center"/>
          </w:tcPr>
          <w:p w14:paraId="472A47A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3284" w:type="dxa"/>
            <w:vMerge w:val="continue"/>
            <w:noWrap w:val="0"/>
            <w:vAlign w:val="center"/>
          </w:tcPr>
          <w:p w14:paraId="35F0881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48374D0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姓名</w:t>
            </w:r>
          </w:p>
        </w:tc>
        <w:tc>
          <w:tcPr>
            <w:tcW w:w="2633" w:type="dxa"/>
            <w:noWrap w:val="0"/>
            <w:vAlign w:val="center"/>
          </w:tcPr>
          <w:p w14:paraId="6692463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身份证号</w:t>
            </w:r>
          </w:p>
        </w:tc>
        <w:tc>
          <w:tcPr>
            <w:tcW w:w="1134" w:type="dxa"/>
            <w:noWrap w:val="0"/>
            <w:vAlign w:val="center"/>
          </w:tcPr>
          <w:p w14:paraId="6F6EFBE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诚信信息是否有效（处于启用状态方为有效）</w:t>
            </w:r>
          </w:p>
        </w:tc>
        <w:tc>
          <w:tcPr>
            <w:tcW w:w="709" w:type="dxa"/>
            <w:vMerge w:val="continue"/>
            <w:noWrap w:val="0"/>
            <w:vAlign w:val="center"/>
          </w:tcPr>
          <w:p w14:paraId="78D3244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1701" w:type="dxa"/>
            <w:vMerge w:val="continue"/>
            <w:noWrap w:val="0"/>
            <w:vAlign w:val="center"/>
          </w:tcPr>
          <w:p w14:paraId="3C0899D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2126" w:type="dxa"/>
            <w:vMerge w:val="continue"/>
            <w:noWrap w:val="0"/>
            <w:vAlign w:val="top"/>
          </w:tcPr>
          <w:p w14:paraId="3FAD0FB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r>
      <w:tr w14:paraId="3F28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586" w:type="dxa"/>
            <w:noWrap w:val="0"/>
            <w:vAlign w:val="center"/>
          </w:tcPr>
          <w:p w14:paraId="30657545">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3284" w:type="dxa"/>
            <w:noWrap w:val="0"/>
            <w:vAlign w:val="center"/>
          </w:tcPr>
          <w:p w14:paraId="229934B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132CFEE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633" w:type="dxa"/>
            <w:noWrap w:val="0"/>
            <w:vAlign w:val="center"/>
          </w:tcPr>
          <w:p w14:paraId="6BF085C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134" w:type="dxa"/>
            <w:noWrap w:val="0"/>
            <w:vAlign w:val="center"/>
          </w:tcPr>
          <w:p w14:paraId="5AAAD1B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09" w:type="dxa"/>
            <w:noWrap w:val="0"/>
            <w:vAlign w:val="center"/>
          </w:tcPr>
          <w:p w14:paraId="3297168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701" w:type="dxa"/>
            <w:noWrap w:val="0"/>
            <w:vAlign w:val="center"/>
          </w:tcPr>
          <w:p w14:paraId="3133671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noWrap w:val="0"/>
            <w:vAlign w:val="top"/>
          </w:tcPr>
          <w:p w14:paraId="02964B7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434C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586" w:type="dxa"/>
            <w:noWrap w:val="0"/>
            <w:vAlign w:val="center"/>
          </w:tcPr>
          <w:p w14:paraId="4E99C47F">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3284" w:type="dxa"/>
            <w:noWrap w:val="0"/>
            <w:vAlign w:val="center"/>
          </w:tcPr>
          <w:p w14:paraId="7A064E5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39A6B20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633" w:type="dxa"/>
            <w:noWrap w:val="0"/>
            <w:vAlign w:val="center"/>
          </w:tcPr>
          <w:p w14:paraId="5B8F2B1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134" w:type="dxa"/>
            <w:noWrap w:val="0"/>
            <w:vAlign w:val="center"/>
          </w:tcPr>
          <w:p w14:paraId="7C3CF26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09" w:type="dxa"/>
            <w:noWrap w:val="0"/>
            <w:vAlign w:val="center"/>
          </w:tcPr>
          <w:p w14:paraId="55F2F4A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701" w:type="dxa"/>
            <w:noWrap w:val="0"/>
            <w:vAlign w:val="center"/>
          </w:tcPr>
          <w:p w14:paraId="503B523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noWrap w:val="0"/>
            <w:vAlign w:val="top"/>
          </w:tcPr>
          <w:p w14:paraId="67E30C2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05CA5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86" w:type="dxa"/>
            <w:noWrap w:val="0"/>
            <w:vAlign w:val="center"/>
          </w:tcPr>
          <w:p w14:paraId="3298EB92">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w:t>
            </w:r>
          </w:p>
        </w:tc>
        <w:tc>
          <w:tcPr>
            <w:tcW w:w="3284" w:type="dxa"/>
            <w:noWrap w:val="0"/>
            <w:vAlign w:val="center"/>
          </w:tcPr>
          <w:p w14:paraId="3FF1274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0" w:type="dxa"/>
            <w:noWrap w:val="0"/>
            <w:vAlign w:val="center"/>
          </w:tcPr>
          <w:p w14:paraId="4C11BEE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633" w:type="dxa"/>
            <w:noWrap w:val="0"/>
            <w:vAlign w:val="center"/>
          </w:tcPr>
          <w:p w14:paraId="21FAF24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134" w:type="dxa"/>
            <w:noWrap w:val="0"/>
            <w:vAlign w:val="center"/>
          </w:tcPr>
          <w:p w14:paraId="61D3FDB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09" w:type="dxa"/>
            <w:noWrap w:val="0"/>
            <w:vAlign w:val="center"/>
          </w:tcPr>
          <w:p w14:paraId="16B61E5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701" w:type="dxa"/>
            <w:noWrap w:val="0"/>
            <w:vAlign w:val="center"/>
          </w:tcPr>
          <w:p w14:paraId="376CDF6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noWrap w:val="0"/>
            <w:vAlign w:val="top"/>
          </w:tcPr>
          <w:p w14:paraId="1AF75CB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bl>
    <w:p w14:paraId="431F37F8">
      <w:pPr>
        <w:rPr>
          <w:rFonts w:ascii="宋体"/>
          <w:color w:val="auto"/>
          <w:highlight w:val="none"/>
        </w:rPr>
      </w:pPr>
    </w:p>
    <w:p w14:paraId="4B784429">
      <w:pPr>
        <w:rPr>
          <w:rFonts w:hint="eastAsia" w:ascii="宋体" w:hAnsi="宋体" w:cs="宋体"/>
          <w:color w:val="auto"/>
          <w:highlight w:val="none"/>
        </w:rPr>
      </w:pPr>
    </w:p>
    <w:p w14:paraId="4921169F">
      <w:pPr>
        <w:rPr>
          <w:rFonts w:hint="eastAsia" w:ascii="宋体" w:hAnsi="宋体" w:cs="宋体"/>
          <w:color w:val="auto"/>
          <w:highlight w:val="none"/>
        </w:rPr>
      </w:pPr>
    </w:p>
    <w:p w14:paraId="5D34C275">
      <w:pPr>
        <w:rPr>
          <w:rFonts w:hint="eastAsia" w:cs="宋体"/>
          <w:color w:val="auto"/>
          <w:highlight w:val="none"/>
        </w:rPr>
      </w:pPr>
      <w:r>
        <w:rPr>
          <w:rFonts w:hint="eastAsia" w:ascii="宋体" w:hAnsi="宋体" w:cs="宋体"/>
          <w:color w:val="auto"/>
          <w:highlight w:val="none"/>
        </w:rPr>
        <w:t>招标人授权代表（签字）：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olor w:val="auto"/>
          <w:szCs w:val="44"/>
          <w:highlight w:val="none"/>
        </w:rPr>
        <w:t>监督人员（签字）：</w:t>
      </w:r>
    </w:p>
    <w:p w14:paraId="136A1AD1">
      <w:pPr>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注：开标前身份证验证时，如投标单位的专职投标员的诚信信息未处于有效状态，则为诚信信息未通过验证，该投标文件投标无效。评标时，如评委发现投标单位投标文件中专职投标员与开标时所验身份证的专职投标员不相符时，应视作该投标单位的诚信信息未通过验证。</w:t>
      </w:r>
    </w:p>
    <w:p w14:paraId="4FB7952B">
      <w:pPr>
        <w:pStyle w:val="5"/>
        <w:spacing w:line="240" w:lineRule="auto"/>
        <w:rPr>
          <w:rFonts w:hint="default" w:cs="宋体"/>
          <w:b w:val="0"/>
          <w:bCs w:val="0"/>
          <w:color w:val="auto"/>
          <w:highlight w:val="none"/>
          <w:lang w:val="en-US"/>
        </w:rPr>
      </w:pPr>
      <w:r>
        <w:rPr>
          <w:color w:val="auto"/>
          <w:sz w:val="24"/>
          <w:szCs w:val="24"/>
          <w:highlight w:val="none"/>
        </w:rPr>
        <w:br w:type="page"/>
      </w:r>
      <w:bookmarkStart w:id="560" w:name="_Toc369221374"/>
      <w:bookmarkStart w:id="561" w:name="_Toc354648305"/>
      <w:bookmarkStart w:id="562" w:name="_Toc78449756"/>
      <w:bookmarkStart w:id="563" w:name="_Toc28751"/>
      <w:bookmarkStart w:id="564" w:name="_Toc20829"/>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1</w:t>
      </w:r>
      <w:r>
        <w:rPr>
          <w:rFonts w:hint="eastAsia"/>
          <w:color w:val="auto"/>
          <w:sz w:val="28"/>
          <w:szCs w:val="28"/>
          <w:highlight w:val="none"/>
        </w:rPr>
        <w:t>－2：投标单位人员诚信状态核查情况记录表</w:t>
      </w:r>
      <w:r>
        <w:rPr>
          <w:rFonts w:hint="default"/>
          <w:color w:val="auto"/>
          <w:sz w:val="28"/>
          <w:szCs w:val="28"/>
          <w:highlight w:val="none"/>
          <w:lang w:val="en"/>
        </w:rPr>
        <w:t>1</w:t>
      </w:r>
      <w:r>
        <w:rPr>
          <w:rFonts w:hint="eastAsia"/>
          <w:color w:val="auto"/>
          <w:sz w:val="28"/>
          <w:szCs w:val="28"/>
          <w:highlight w:val="none"/>
          <w:lang w:val="en-US" w:eastAsia="zh-CN"/>
        </w:rPr>
        <w:t>-2</w:t>
      </w:r>
      <w:bookmarkEnd w:id="560"/>
      <w:bookmarkEnd w:id="561"/>
      <w:bookmarkEnd w:id="562"/>
      <w:bookmarkEnd w:id="563"/>
      <w:bookmarkEnd w:id="564"/>
    </w:p>
    <w:p w14:paraId="6A199843">
      <w:pPr>
        <w:spacing w:line="440" w:lineRule="exact"/>
        <w:jc w:val="center"/>
        <w:rPr>
          <w:rFonts w:hint="default" w:cs="宋体"/>
          <w:b/>
          <w:bCs/>
          <w:color w:val="auto"/>
          <w:highlight w:val="none"/>
          <w:lang w:val="en-US"/>
        </w:rPr>
      </w:pPr>
      <w:r>
        <w:rPr>
          <w:rFonts w:hint="eastAsia" w:eastAsia="黑体" w:cs="黑体"/>
          <w:color w:val="auto"/>
          <w:sz w:val="28"/>
          <w:szCs w:val="28"/>
          <w:highlight w:val="none"/>
        </w:rPr>
        <w:t>投标单位人员诚信状态核查情况记录表</w:t>
      </w:r>
      <w:r>
        <w:rPr>
          <w:rFonts w:hint="default"/>
          <w:color w:val="auto"/>
          <w:sz w:val="28"/>
          <w:szCs w:val="28"/>
          <w:highlight w:val="none"/>
          <w:lang w:val="en"/>
        </w:rPr>
        <w:t>1</w:t>
      </w:r>
      <w:r>
        <w:rPr>
          <w:rFonts w:hint="eastAsia"/>
          <w:color w:val="auto"/>
          <w:sz w:val="28"/>
          <w:szCs w:val="28"/>
          <w:highlight w:val="none"/>
          <w:lang w:val="en-US" w:eastAsia="zh-CN"/>
        </w:rPr>
        <w:t>-2</w:t>
      </w:r>
    </w:p>
    <w:p w14:paraId="2BE52271">
      <w:pPr>
        <w:spacing w:after="72" w:afterLines="30"/>
        <w:rPr>
          <w:color w:val="auto"/>
          <w:highlight w:val="none"/>
        </w:rPr>
      </w:pPr>
    </w:p>
    <w:p w14:paraId="5F3DA7F5">
      <w:pPr>
        <w:spacing w:after="72" w:afterLines="30"/>
        <w:rPr>
          <w:color w:val="auto"/>
          <w:highlight w:val="none"/>
        </w:rPr>
      </w:pPr>
      <w:r>
        <w:rPr>
          <w:rFonts w:hint="eastAsia" w:cs="宋体"/>
          <w:color w:val="auto"/>
          <w:highlight w:val="none"/>
          <w:lang w:val="en-US" w:eastAsia="zh-CN"/>
        </w:rPr>
        <w:t>招标</w:t>
      </w:r>
      <w:r>
        <w:rPr>
          <w:rFonts w:hint="eastAsia" w:cs="宋体"/>
          <w:color w:val="auto"/>
          <w:highlight w:val="none"/>
        </w:rPr>
        <w:t>项目名称：</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2DF93689">
      <w:pPr>
        <w:spacing w:after="72" w:afterLines="30"/>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r>
        <w:rPr>
          <w:rFonts w:hint="eastAsia"/>
          <w:color w:val="auto"/>
          <w:highlight w:val="none"/>
          <w:u w:val="single"/>
        </w:rPr>
        <w:t xml:space="preserve">                </w:t>
      </w:r>
    </w:p>
    <w:p w14:paraId="539F7C6D">
      <w:pPr>
        <w:rPr>
          <w:rFonts w:ascii="宋体"/>
          <w:color w:val="auto"/>
          <w:highlight w:val="none"/>
        </w:rPr>
      </w:pPr>
    </w:p>
    <w:tbl>
      <w:tblPr>
        <w:tblStyle w:val="41"/>
        <w:tblpPr w:leftFromText="180" w:rightFromText="180" w:vertAnchor="text" w:horzAnchor="page" w:tblpX="921" w:tblpY="2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772"/>
        <w:gridCol w:w="993"/>
        <w:gridCol w:w="1080"/>
        <w:gridCol w:w="1269"/>
        <w:gridCol w:w="1270"/>
        <w:gridCol w:w="793"/>
        <w:gridCol w:w="952"/>
        <w:gridCol w:w="1269"/>
        <w:gridCol w:w="1305"/>
        <w:gridCol w:w="1417"/>
        <w:gridCol w:w="2126"/>
      </w:tblGrid>
      <w:tr w14:paraId="2206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trPr>
        <w:tc>
          <w:tcPr>
            <w:tcW w:w="604" w:type="dxa"/>
            <w:vMerge w:val="restart"/>
            <w:noWrap w:val="0"/>
            <w:vAlign w:val="center"/>
          </w:tcPr>
          <w:p w14:paraId="5148562B">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772" w:type="dxa"/>
            <w:vMerge w:val="restart"/>
            <w:noWrap w:val="0"/>
            <w:vAlign w:val="center"/>
          </w:tcPr>
          <w:p w14:paraId="3DB2EEC3">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投标单位</w:t>
            </w:r>
          </w:p>
        </w:tc>
        <w:tc>
          <w:tcPr>
            <w:tcW w:w="4612" w:type="dxa"/>
            <w:gridSpan w:val="4"/>
            <w:noWrap w:val="0"/>
            <w:vAlign w:val="top"/>
          </w:tcPr>
          <w:p w14:paraId="6630818C">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项目经理</w:t>
            </w:r>
          </w:p>
        </w:tc>
        <w:tc>
          <w:tcPr>
            <w:tcW w:w="3014" w:type="dxa"/>
            <w:gridSpan w:val="3"/>
            <w:noWrap w:val="0"/>
            <w:vAlign w:val="top"/>
          </w:tcPr>
          <w:p w14:paraId="5C4F6B50">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专职安全生产管理人员</w:t>
            </w:r>
          </w:p>
        </w:tc>
        <w:tc>
          <w:tcPr>
            <w:tcW w:w="1305" w:type="dxa"/>
            <w:vMerge w:val="restart"/>
            <w:noWrap w:val="0"/>
            <w:vAlign w:val="center"/>
          </w:tcPr>
          <w:p w14:paraId="60B0B495">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核查</w:t>
            </w:r>
          </w:p>
          <w:p w14:paraId="2B8BB96F">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结论</w:t>
            </w:r>
          </w:p>
        </w:tc>
        <w:tc>
          <w:tcPr>
            <w:tcW w:w="1417" w:type="dxa"/>
            <w:vMerge w:val="restart"/>
            <w:noWrap w:val="0"/>
            <w:vAlign w:val="center"/>
          </w:tcPr>
          <w:p w14:paraId="68F2A527">
            <w:pPr>
              <w:keepNext w:val="0"/>
              <w:keepLines w:val="0"/>
              <w:suppressLineNumbers w:val="0"/>
              <w:spacing w:before="0" w:beforeAutospacing="0" w:after="0" w:afterAutospacing="0" w:line="280" w:lineRule="exact"/>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法定代表人或专职投标员签电子章（必须为专职投标员持证本人）</w:t>
            </w:r>
          </w:p>
        </w:tc>
        <w:tc>
          <w:tcPr>
            <w:tcW w:w="2126" w:type="dxa"/>
            <w:vMerge w:val="restart"/>
            <w:noWrap w:val="0"/>
            <w:vAlign w:val="center"/>
          </w:tcPr>
          <w:p w14:paraId="3280E665">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验证项目经理和专职安全生产管理人员与投标文件中拟投入者是否一致</w:t>
            </w:r>
          </w:p>
          <w:p w14:paraId="19FD98A4">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（本列由评委填写）</w:t>
            </w:r>
          </w:p>
        </w:tc>
      </w:tr>
      <w:tr w14:paraId="6BF8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exact"/>
        </w:trPr>
        <w:tc>
          <w:tcPr>
            <w:tcW w:w="604" w:type="dxa"/>
            <w:vMerge w:val="continue"/>
            <w:noWrap w:val="0"/>
            <w:vAlign w:val="center"/>
          </w:tcPr>
          <w:p w14:paraId="2BB5B39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772" w:type="dxa"/>
            <w:vMerge w:val="continue"/>
            <w:noWrap w:val="0"/>
            <w:vAlign w:val="center"/>
          </w:tcPr>
          <w:p w14:paraId="6E25CAB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noWrap w:val="0"/>
            <w:vAlign w:val="center"/>
          </w:tcPr>
          <w:p w14:paraId="4C9FBDA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姓名</w:t>
            </w:r>
          </w:p>
        </w:tc>
        <w:tc>
          <w:tcPr>
            <w:tcW w:w="1080" w:type="dxa"/>
            <w:noWrap w:val="0"/>
            <w:vAlign w:val="center"/>
          </w:tcPr>
          <w:p w14:paraId="7876A24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身份证号</w:t>
            </w:r>
          </w:p>
        </w:tc>
        <w:tc>
          <w:tcPr>
            <w:tcW w:w="1269" w:type="dxa"/>
            <w:noWrap w:val="0"/>
            <w:vAlign w:val="center"/>
          </w:tcPr>
          <w:p w14:paraId="012403F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存在在建工程及不良行为情况</w:t>
            </w:r>
          </w:p>
        </w:tc>
        <w:tc>
          <w:tcPr>
            <w:tcW w:w="1270" w:type="dxa"/>
            <w:noWrap w:val="0"/>
            <w:vAlign w:val="center"/>
          </w:tcPr>
          <w:p w14:paraId="1E7D5CD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诚信信息是否有效（处于启用状态方为有效）</w:t>
            </w:r>
          </w:p>
        </w:tc>
        <w:tc>
          <w:tcPr>
            <w:tcW w:w="793" w:type="dxa"/>
            <w:noWrap w:val="0"/>
            <w:vAlign w:val="center"/>
          </w:tcPr>
          <w:p w14:paraId="49DCDA8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姓名</w:t>
            </w:r>
          </w:p>
        </w:tc>
        <w:tc>
          <w:tcPr>
            <w:tcW w:w="952" w:type="dxa"/>
            <w:noWrap w:val="0"/>
            <w:vAlign w:val="center"/>
          </w:tcPr>
          <w:p w14:paraId="2FC691F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身份证号</w:t>
            </w:r>
          </w:p>
        </w:tc>
        <w:tc>
          <w:tcPr>
            <w:tcW w:w="1269" w:type="dxa"/>
            <w:noWrap w:val="0"/>
            <w:vAlign w:val="center"/>
          </w:tcPr>
          <w:p w14:paraId="1859109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r>
              <w:rPr>
                <w:rFonts w:hint="eastAsia" w:ascii="Calibri" w:hAnsi="Calibri" w:eastAsia="宋体" w:cs="宋体"/>
                <w:color w:val="auto"/>
                <w:sz w:val="18"/>
                <w:szCs w:val="18"/>
                <w:highlight w:val="none"/>
              </w:rPr>
              <w:t>诚信信息是否有效（处于启用状态方为有效）</w:t>
            </w:r>
          </w:p>
        </w:tc>
        <w:tc>
          <w:tcPr>
            <w:tcW w:w="1305" w:type="dxa"/>
            <w:vMerge w:val="continue"/>
            <w:noWrap w:val="0"/>
            <w:vAlign w:val="center"/>
          </w:tcPr>
          <w:p w14:paraId="4240051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1417" w:type="dxa"/>
            <w:vMerge w:val="continue"/>
            <w:noWrap w:val="0"/>
            <w:vAlign w:val="top"/>
          </w:tcPr>
          <w:p w14:paraId="0B5AD23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c>
          <w:tcPr>
            <w:tcW w:w="2126" w:type="dxa"/>
            <w:vMerge w:val="continue"/>
            <w:noWrap w:val="0"/>
            <w:vAlign w:val="center"/>
          </w:tcPr>
          <w:p w14:paraId="3F8CA28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sz w:val="18"/>
                <w:szCs w:val="18"/>
                <w:highlight w:val="none"/>
              </w:rPr>
            </w:pPr>
          </w:p>
        </w:tc>
      </w:tr>
      <w:tr w14:paraId="3434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7096E4E3">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772" w:type="dxa"/>
            <w:vMerge w:val="restart"/>
            <w:noWrap w:val="0"/>
            <w:vAlign w:val="center"/>
          </w:tcPr>
          <w:p w14:paraId="3E142BA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0D45832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29F9D5C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restart"/>
            <w:noWrap w:val="0"/>
            <w:vAlign w:val="center"/>
          </w:tcPr>
          <w:p w14:paraId="4477FA2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restart"/>
            <w:noWrap w:val="0"/>
            <w:vAlign w:val="center"/>
          </w:tcPr>
          <w:p w14:paraId="1234C9D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7097287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429436C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68667D2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restart"/>
            <w:noWrap w:val="0"/>
            <w:vAlign w:val="center"/>
          </w:tcPr>
          <w:p w14:paraId="194F8FB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restart"/>
            <w:noWrap w:val="0"/>
            <w:vAlign w:val="center"/>
          </w:tcPr>
          <w:p w14:paraId="6665E24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restart"/>
            <w:noWrap w:val="0"/>
            <w:vAlign w:val="center"/>
          </w:tcPr>
          <w:p w14:paraId="14A56C3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4E19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7EBCD4E1">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06268D3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1093DA3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6F18F83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770EA5B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330E09A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4796866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3563962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7A7DA9C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3CCD98D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354E71C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09A8B35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5897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2BFC1DFA">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0FB7D04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6EDA912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7CA6355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50F8D14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6C2168D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1B7C68A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24DE34E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6660A7E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3F7360D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2FC6798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5484080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3348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61533F4A">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772" w:type="dxa"/>
            <w:vMerge w:val="restart"/>
            <w:noWrap w:val="0"/>
            <w:vAlign w:val="center"/>
          </w:tcPr>
          <w:p w14:paraId="4441F26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1B91DFD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04E4E87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restart"/>
            <w:noWrap w:val="0"/>
            <w:vAlign w:val="center"/>
          </w:tcPr>
          <w:p w14:paraId="5B4A249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restart"/>
            <w:noWrap w:val="0"/>
            <w:vAlign w:val="center"/>
          </w:tcPr>
          <w:p w14:paraId="23BCE13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393EAE0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6642B04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450734A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restart"/>
            <w:noWrap w:val="0"/>
            <w:vAlign w:val="center"/>
          </w:tcPr>
          <w:p w14:paraId="268D71C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restart"/>
            <w:noWrap w:val="0"/>
            <w:vAlign w:val="center"/>
          </w:tcPr>
          <w:p w14:paraId="46ABBE8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restart"/>
            <w:noWrap w:val="0"/>
            <w:vAlign w:val="center"/>
          </w:tcPr>
          <w:p w14:paraId="52127F3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30B94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7F39AF5F">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21291A2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680CC15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75AB5B6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74DF76A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6D12EB2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2B4615F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71A1393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5AD5126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10CFE12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3A5F63E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2E9E6FD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22FA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5A19F771">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0BBA71D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70D9AEE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759763B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095F0B2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100D072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17A3687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6ECCA8E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4723E84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0990889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72EBB64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721E15A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12A7B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6C735CD0">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1772" w:type="dxa"/>
            <w:vMerge w:val="restart"/>
            <w:noWrap w:val="0"/>
            <w:vAlign w:val="center"/>
          </w:tcPr>
          <w:p w14:paraId="3B9A97D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028B3F8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4AFE4DE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restart"/>
            <w:noWrap w:val="0"/>
            <w:vAlign w:val="center"/>
          </w:tcPr>
          <w:p w14:paraId="429D211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restart"/>
            <w:noWrap w:val="0"/>
            <w:vAlign w:val="center"/>
          </w:tcPr>
          <w:p w14:paraId="5396B14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0104808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3027899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1ECC431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restart"/>
            <w:noWrap w:val="0"/>
            <w:vAlign w:val="center"/>
          </w:tcPr>
          <w:p w14:paraId="3AA9508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restart"/>
            <w:noWrap w:val="0"/>
            <w:vAlign w:val="center"/>
          </w:tcPr>
          <w:p w14:paraId="1136A55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restart"/>
            <w:noWrap w:val="0"/>
            <w:vAlign w:val="center"/>
          </w:tcPr>
          <w:p w14:paraId="3F56C58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246B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057EBF27">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5F04A0F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5DD488C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6186921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5C9863D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4680443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4BC2B55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45A7C39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2BDF89C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16DCB92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2B5C0A8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1FF2B0A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346F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396195C6">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36E3989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6F7391F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center"/>
          </w:tcPr>
          <w:p w14:paraId="6B53FBB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center"/>
          </w:tcPr>
          <w:p w14:paraId="76AC425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15774CC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2F485E7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0A43D07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77B879C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0E4A1CB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center"/>
          </w:tcPr>
          <w:p w14:paraId="6DD9746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center"/>
          </w:tcPr>
          <w:p w14:paraId="1436F10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28B1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0DCE9FD6">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w:t>
            </w:r>
          </w:p>
        </w:tc>
        <w:tc>
          <w:tcPr>
            <w:tcW w:w="1772" w:type="dxa"/>
            <w:vMerge w:val="restart"/>
            <w:noWrap w:val="0"/>
            <w:vAlign w:val="center"/>
          </w:tcPr>
          <w:p w14:paraId="74E5F0B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restart"/>
            <w:noWrap w:val="0"/>
            <w:vAlign w:val="center"/>
          </w:tcPr>
          <w:p w14:paraId="33456BD1">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restart"/>
            <w:noWrap w:val="0"/>
            <w:vAlign w:val="center"/>
          </w:tcPr>
          <w:p w14:paraId="5362CB4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restart"/>
            <w:noWrap w:val="0"/>
            <w:vAlign w:val="center"/>
          </w:tcPr>
          <w:p w14:paraId="7359B9E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restart"/>
            <w:noWrap w:val="0"/>
            <w:vAlign w:val="center"/>
          </w:tcPr>
          <w:p w14:paraId="638B607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53452DF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5810AF0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3054B8A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restart"/>
            <w:noWrap w:val="0"/>
            <w:vAlign w:val="center"/>
          </w:tcPr>
          <w:p w14:paraId="67B4D52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restart"/>
            <w:noWrap w:val="0"/>
            <w:vAlign w:val="center"/>
          </w:tcPr>
          <w:p w14:paraId="339904F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restart"/>
            <w:noWrap w:val="0"/>
            <w:vAlign w:val="center"/>
          </w:tcPr>
          <w:p w14:paraId="25F3FF1D">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6D71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504A58C6">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21F4521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6F9F906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top"/>
          </w:tcPr>
          <w:p w14:paraId="7610AA7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top"/>
          </w:tcPr>
          <w:p w14:paraId="1D14CE7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2D54C315">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4C91E2C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7E9D26EC">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5DF768DF">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0AFB5733">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top"/>
          </w:tcPr>
          <w:p w14:paraId="575B04E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top"/>
          </w:tcPr>
          <w:p w14:paraId="600D16F8">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r w14:paraId="4848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04" w:type="dxa"/>
            <w:vMerge w:val="continue"/>
            <w:noWrap w:val="0"/>
            <w:vAlign w:val="center"/>
          </w:tcPr>
          <w:p w14:paraId="52E17B43">
            <w:pPr>
              <w:keepNext w:val="0"/>
              <w:keepLines w:val="0"/>
              <w:suppressLineNumbers w:val="0"/>
              <w:spacing w:before="0" w:beforeAutospacing="0" w:after="0" w:afterAutospacing="0" w:line="200" w:lineRule="exact"/>
              <w:ind w:left="0" w:right="0"/>
              <w:jc w:val="center"/>
              <w:rPr>
                <w:rFonts w:hint="default" w:ascii="Calibri" w:hAnsi="Calibri" w:eastAsia="黑体" w:cs="Times New Roman"/>
                <w:color w:val="auto"/>
                <w:highlight w:val="none"/>
              </w:rPr>
            </w:pPr>
          </w:p>
        </w:tc>
        <w:tc>
          <w:tcPr>
            <w:tcW w:w="1772" w:type="dxa"/>
            <w:vMerge w:val="continue"/>
            <w:noWrap w:val="0"/>
            <w:vAlign w:val="center"/>
          </w:tcPr>
          <w:p w14:paraId="4DEB39D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3F5CE087">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080" w:type="dxa"/>
            <w:vMerge w:val="continue"/>
            <w:noWrap w:val="0"/>
            <w:vAlign w:val="top"/>
          </w:tcPr>
          <w:p w14:paraId="3D25BA2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vMerge w:val="continue"/>
            <w:noWrap w:val="0"/>
            <w:vAlign w:val="top"/>
          </w:tcPr>
          <w:p w14:paraId="07C0BB69">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70" w:type="dxa"/>
            <w:vMerge w:val="continue"/>
            <w:noWrap w:val="0"/>
            <w:vAlign w:val="center"/>
          </w:tcPr>
          <w:p w14:paraId="5D9D1F62">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793" w:type="dxa"/>
            <w:noWrap w:val="0"/>
            <w:vAlign w:val="center"/>
          </w:tcPr>
          <w:p w14:paraId="1A4063D6">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952" w:type="dxa"/>
            <w:noWrap w:val="0"/>
            <w:vAlign w:val="center"/>
          </w:tcPr>
          <w:p w14:paraId="1189E83B">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269" w:type="dxa"/>
            <w:noWrap w:val="0"/>
            <w:vAlign w:val="center"/>
          </w:tcPr>
          <w:p w14:paraId="1DB3FECA">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305" w:type="dxa"/>
            <w:vMerge w:val="continue"/>
            <w:noWrap w:val="0"/>
            <w:vAlign w:val="center"/>
          </w:tcPr>
          <w:p w14:paraId="516B7B64">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1417" w:type="dxa"/>
            <w:vMerge w:val="continue"/>
            <w:noWrap w:val="0"/>
            <w:vAlign w:val="top"/>
          </w:tcPr>
          <w:p w14:paraId="078E03B0">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c>
          <w:tcPr>
            <w:tcW w:w="2126" w:type="dxa"/>
            <w:vMerge w:val="continue"/>
            <w:noWrap w:val="0"/>
            <w:vAlign w:val="top"/>
          </w:tcPr>
          <w:p w14:paraId="181E0A0E">
            <w:pPr>
              <w:keepNext w:val="0"/>
              <w:keepLines w:val="0"/>
              <w:suppressLineNumbers w:val="0"/>
              <w:spacing w:before="0" w:beforeAutospacing="0" w:after="0" w:afterAutospacing="0" w:line="200" w:lineRule="exact"/>
              <w:ind w:left="0" w:right="0"/>
              <w:jc w:val="center"/>
              <w:rPr>
                <w:rFonts w:hint="default" w:ascii="Calibri" w:hAnsi="Calibri" w:eastAsia="宋体" w:cs="Times New Roman"/>
                <w:color w:val="auto"/>
                <w:highlight w:val="none"/>
              </w:rPr>
            </w:pPr>
          </w:p>
        </w:tc>
      </w:tr>
    </w:tbl>
    <w:p w14:paraId="3EFB1038">
      <w:pPr>
        <w:rPr>
          <w:rFonts w:hint="eastAsia" w:ascii="宋体" w:hAnsi="宋体" w:cs="宋体"/>
          <w:color w:val="auto"/>
          <w:highlight w:val="none"/>
        </w:rPr>
      </w:pPr>
    </w:p>
    <w:p w14:paraId="6B280C33">
      <w:pPr>
        <w:rPr>
          <w:color w:val="auto"/>
          <w:highlight w:val="none"/>
        </w:rPr>
      </w:pPr>
      <w:r>
        <w:rPr>
          <w:rFonts w:hint="eastAsia" w:ascii="宋体" w:hAnsi="宋体" w:cs="宋体"/>
          <w:color w:val="auto"/>
          <w:highlight w:val="none"/>
        </w:rPr>
        <w:t>招标人授权代表（签字）：</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ascii="宋体" w:hAnsi="宋体" w:cs="宋体"/>
          <w:color w:val="auto"/>
          <w:highlight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olor w:val="auto"/>
          <w:szCs w:val="44"/>
          <w:highlight w:val="none"/>
        </w:rPr>
        <w:t>监督人员（签字）：</w:t>
      </w:r>
      <w:r>
        <w:rPr>
          <w:rFonts w:ascii="宋体" w:hAnsi="宋体" w:cs="宋体"/>
          <w:color w:val="auto"/>
          <w:highlight w:val="none"/>
        </w:rPr>
        <w:t xml:space="preserve">                          </w:t>
      </w:r>
    </w:p>
    <w:p w14:paraId="0F8C44EF">
      <w:pPr>
        <w:rPr>
          <w:color w:val="auto"/>
          <w:highlight w:val="none"/>
        </w:rPr>
      </w:pPr>
      <w:r>
        <w:rPr>
          <w:rFonts w:hint="eastAsia" w:cs="宋体"/>
          <w:color w:val="auto"/>
          <w:highlight w:val="none"/>
        </w:rPr>
        <w:t>评委签字（仅负责核查投标文件中拟投入的项目经理或专职安全生产管理人员与本记录表中的项目经理或专职安全生产管理人员是否相符）：</w:t>
      </w:r>
    </w:p>
    <w:p w14:paraId="13AC266E">
      <w:pPr>
        <w:rPr>
          <w:color w:val="auto"/>
          <w:highlight w:val="none"/>
        </w:rPr>
      </w:pPr>
    </w:p>
    <w:p w14:paraId="2426D959">
      <w:pPr>
        <w:jc w:val="left"/>
        <w:rPr>
          <w:rStyle w:val="53"/>
          <w:rFonts w:hint="eastAsia" w:ascii="方正楷体_GB2312" w:hAnsi="方正楷体_GB2312" w:eastAsia="方正楷体_GB2312" w:cs="方正楷体_GB2312"/>
          <w:color w:val="auto"/>
          <w:highlight w:val="none"/>
          <w:lang w:val="zh-CN"/>
        </w:rPr>
      </w:pPr>
      <w:r>
        <w:rPr>
          <w:rFonts w:hint="eastAsia" w:ascii="方正楷体_GB2312" w:hAnsi="方正楷体_GB2312" w:eastAsia="方正楷体_GB2312" w:cs="方正楷体_GB2312"/>
          <w:color w:val="auto"/>
          <w:highlight w:val="none"/>
        </w:rPr>
        <w:t>注：开标时对项目经理和专职安全生产管理人员进行身份证验证，如投标单位的项目经理和专职安全生产管理人员中有一人的诚信信息未处于有效状态，则为诚信信息未通过验证，则该投标文件投标无效；评标时，如评委发现投标单位投标文件中拟投入的项目经理或专职安全生产管理人员与开标时所验身份证的项目经理或专职安全生产管理人员不相符时，应视作该投标单位的诚信信息未通过验证。</w:t>
      </w:r>
    </w:p>
    <w:p w14:paraId="0A7181DF">
      <w:pPr>
        <w:pStyle w:val="5"/>
        <w:spacing w:line="240" w:lineRule="auto"/>
        <w:rPr>
          <w:color w:val="auto"/>
          <w:sz w:val="28"/>
          <w:szCs w:val="28"/>
          <w:highlight w:val="none"/>
        </w:rPr>
      </w:pPr>
      <w:bookmarkStart w:id="565" w:name="_Toc374827288"/>
      <w:bookmarkStart w:id="566" w:name="_Toc563649471"/>
      <w:bookmarkStart w:id="567" w:name="_Toc1298"/>
      <w:bookmarkStart w:id="568" w:name="_Toc13955"/>
      <w:r>
        <w:rPr>
          <w:rFonts w:hint="eastAsia"/>
          <w:color w:val="auto"/>
          <w:sz w:val="28"/>
          <w:szCs w:val="28"/>
          <w:highlight w:val="none"/>
        </w:rPr>
        <w:t>附表</w:t>
      </w:r>
      <w:r>
        <w:rPr>
          <w:color w:val="auto"/>
          <w:sz w:val="28"/>
          <w:szCs w:val="28"/>
          <w:highlight w:val="none"/>
        </w:rPr>
        <w:t>A</w:t>
      </w:r>
      <w:r>
        <w:rPr>
          <w:rStyle w:val="53"/>
          <w:rFonts w:hint="eastAsia"/>
          <w:b w:val="0"/>
          <w:bCs w:val="0"/>
          <w:color w:val="auto"/>
          <w:sz w:val="28"/>
          <w:szCs w:val="28"/>
          <w:highlight w:val="none"/>
          <w:lang w:val="zh-CN"/>
        </w:rPr>
        <w:t>－</w:t>
      </w:r>
      <w:r>
        <w:rPr>
          <w:rStyle w:val="53"/>
          <w:rFonts w:hint="eastAsia"/>
          <w:b w:val="0"/>
          <w:bCs w:val="0"/>
          <w:color w:val="auto"/>
          <w:sz w:val="28"/>
          <w:szCs w:val="28"/>
          <w:highlight w:val="none"/>
          <w:lang w:val="en-US"/>
        </w:rPr>
        <w:t>2</w:t>
      </w:r>
      <w:r>
        <w:rPr>
          <w:rFonts w:hint="eastAsia"/>
          <w:color w:val="auto"/>
          <w:sz w:val="28"/>
          <w:szCs w:val="28"/>
          <w:highlight w:val="none"/>
        </w:rPr>
        <w:t>：</w:t>
      </w:r>
      <w:r>
        <w:rPr>
          <w:rStyle w:val="53"/>
          <w:rFonts w:hint="eastAsia"/>
          <w:b w:val="0"/>
          <w:bCs w:val="0"/>
          <w:color w:val="auto"/>
          <w:sz w:val="28"/>
          <w:szCs w:val="28"/>
          <w:highlight w:val="none"/>
          <w:lang w:val="zh-CN"/>
        </w:rPr>
        <w:t>开标记录表</w:t>
      </w:r>
      <w:bookmarkEnd w:id="565"/>
      <w:bookmarkEnd w:id="566"/>
      <w:bookmarkEnd w:id="567"/>
      <w:bookmarkEnd w:id="568"/>
    </w:p>
    <w:p w14:paraId="56B3B394">
      <w:pPr>
        <w:jc w:val="left"/>
        <w:rPr>
          <w:rStyle w:val="53"/>
          <w:color w:val="auto"/>
          <w:highlight w:val="none"/>
          <w:lang w:val="zh-CN"/>
        </w:rPr>
      </w:pPr>
    </w:p>
    <w:p w14:paraId="318FD85D">
      <w:pPr>
        <w:jc w:val="left"/>
        <w:rPr>
          <w:rStyle w:val="53"/>
          <w:color w:val="auto"/>
          <w:highlight w:val="none"/>
          <w:lang w:val="zh-CN"/>
        </w:rPr>
      </w:pPr>
    </w:p>
    <w:p w14:paraId="256B6A48">
      <w:pPr>
        <w:adjustRightInd w:val="0"/>
        <w:snapToGrid w:val="0"/>
        <w:spacing w:line="420" w:lineRule="exact"/>
        <w:jc w:val="center"/>
        <w:rPr>
          <w:rFonts w:eastAsia="黑体"/>
          <w:color w:val="auto"/>
          <w:sz w:val="28"/>
          <w:szCs w:val="28"/>
          <w:highlight w:val="none"/>
        </w:rPr>
      </w:pPr>
      <w:r>
        <w:rPr>
          <w:rFonts w:hint="eastAsia" w:eastAsia="黑体" w:cs="黑体"/>
          <w:color w:val="auto"/>
          <w:sz w:val="28"/>
          <w:szCs w:val="28"/>
          <w:highlight w:val="none"/>
        </w:rPr>
        <w:t>开标记录表</w:t>
      </w:r>
    </w:p>
    <w:p w14:paraId="2FB632B4">
      <w:pPr>
        <w:adjustRightInd w:val="0"/>
        <w:snapToGrid w:val="0"/>
        <w:spacing w:line="420" w:lineRule="exact"/>
        <w:jc w:val="center"/>
        <w:rPr>
          <w:rFonts w:eastAsia="黑体"/>
          <w:color w:val="auto"/>
          <w:sz w:val="28"/>
          <w:szCs w:val="28"/>
          <w:highlight w:val="none"/>
        </w:rPr>
      </w:pPr>
    </w:p>
    <w:p w14:paraId="101717D6">
      <w:pPr>
        <w:spacing w:after="72" w:afterLines="30"/>
        <w:rPr>
          <w:color w:val="auto"/>
          <w:highlight w:val="none"/>
        </w:rPr>
      </w:pPr>
      <w:r>
        <w:rPr>
          <w:rFonts w:hint="eastAsia" w:cs="宋体"/>
          <w:color w:val="auto"/>
          <w:highlight w:val="none"/>
          <w:lang w:val="en-US" w:eastAsia="zh-CN"/>
        </w:rPr>
        <w:t>招标</w:t>
      </w:r>
      <w:r>
        <w:rPr>
          <w:rFonts w:hint="eastAsia" w:cs="宋体"/>
          <w:color w:val="auto"/>
          <w:highlight w:val="none"/>
        </w:rPr>
        <w:t>项目名称：</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334030AE">
      <w:pPr>
        <w:adjustRightInd w:val="0"/>
        <w:snapToGrid w:val="0"/>
        <w:spacing w:line="420" w:lineRule="exact"/>
        <w:rPr>
          <w:color w:val="auto"/>
          <w:highlight w:val="none"/>
        </w:rPr>
      </w:pPr>
      <w:r>
        <w:rPr>
          <w:rFonts w:hint="eastAsia" w:cs="宋体"/>
          <w:color w:val="auto"/>
          <w:highlight w:val="none"/>
        </w:rPr>
        <w:t>招标人：</w:t>
      </w:r>
      <w:r>
        <w:rPr>
          <w:color w:val="auto"/>
          <w:highlight w:val="none"/>
          <w:u w:val="single"/>
        </w:rPr>
        <w:t xml:space="preserve">                                                            </w:t>
      </w:r>
      <w:r>
        <w:rPr>
          <w:color w:val="auto"/>
          <w:highlight w:val="none"/>
        </w:rPr>
        <w:t xml:space="preserve">      </w:t>
      </w:r>
      <w:r>
        <w:rPr>
          <w:rFonts w:hint="eastAsia" w:cs="宋体"/>
          <w:color w:val="auto"/>
          <w:highlight w:val="none"/>
        </w:rPr>
        <w:t>招标代理机构：</w:t>
      </w:r>
      <w:r>
        <w:rPr>
          <w:color w:val="auto"/>
          <w:highlight w:val="none"/>
          <w:u w:val="single"/>
        </w:rPr>
        <w:t xml:space="preserve">                         </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980"/>
        <w:gridCol w:w="900"/>
        <w:gridCol w:w="1080"/>
        <w:gridCol w:w="900"/>
        <w:gridCol w:w="1080"/>
        <w:gridCol w:w="1060"/>
        <w:gridCol w:w="1064"/>
        <w:gridCol w:w="720"/>
        <w:gridCol w:w="1236"/>
        <w:gridCol w:w="2027"/>
        <w:gridCol w:w="608"/>
      </w:tblGrid>
      <w:tr w14:paraId="20C1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exact"/>
          <w:jc w:val="center"/>
        </w:trPr>
        <w:tc>
          <w:tcPr>
            <w:tcW w:w="497" w:type="dxa"/>
            <w:noWrap w:val="0"/>
            <w:vAlign w:val="center"/>
          </w:tcPr>
          <w:p w14:paraId="30360E41">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980" w:type="dxa"/>
            <w:noWrap w:val="0"/>
            <w:vAlign w:val="center"/>
          </w:tcPr>
          <w:p w14:paraId="17E3862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投标单位</w:t>
            </w:r>
          </w:p>
        </w:tc>
        <w:tc>
          <w:tcPr>
            <w:tcW w:w="900" w:type="dxa"/>
            <w:noWrap w:val="0"/>
            <w:vAlign w:val="center"/>
          </w:tcPr>
          <w:p w14:paraId="4E68C07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是否按时递交投标文件</w:t>
            </w:r>
          </w:p>
        </w:tc>
        <w:tc>
          <w:tcPr>
            <w:tcW w:w="1080" w:type="dxa"/>
            <w:noWrap w:val="0"/>
            <w:vAlign w:val="center"/>
          </w:tcPr>
          <w:p w14:paraId="1C81DE05">
            <w:pPr>
              <w:keepNext w:val="0"/>
              <w:keepLines w:val="0"/>
              <w:suppressLineNumbers w:val="0"/>
              <w:spacing w:before="0" w:beforeAutospacing="0" w:after="0" w:afterAutospacing="0" w:line="280" w:lineRule="exact"/>
              <w:ind w:left="0" w:right="0"/>
              <w:jc w:val="center"/>
              <w:rPr>
                <w:rFonts w:hint="eastAsia" w:ascii="Calibri" w:hAnsi="Calibri" w:eastAsia="宋体" w:cs="Times New Roman"/>
                <w:color w:val="auto"/>
                <w:highlight w:val="none"/>
                <w:lang w:eastAsia="zh-CN"/>
              </w:rPr>
            </w:pPr>
            <w:r>
              <w:rPr>
                <w:rFonts w:hint="eastAsia" w:ascii="Calibri" w:hAnsi="Calibri" w:eastAsia="宋体" w:cs="宋体"/>
                <w:color w:val="auto"/>
                <w:highlight w:val="none"/>
              </w:rPr>
              <w:t>投标</w:t>
            </w:r>
            <w:r>
              <w:rPr>
                <w:rFonts w:hint="eastAsia" w:ascii="Calibri" w:hAnsi="Calibri" w:eastAsia="宋体" w:cs="宋体"/>
                <w:color w:val="auto"/>
                <w:highlight w:val="none"/>
                <w:lang w:eastAsia="zh-CN"/>
              </w:rPr>
              <w:t>单位是否有效</w:t>
            </w:r>
          </w:p>
        </w:tc>
        <w:tc>
          <w:tcPr>
            <w:tcW w:w="900" w:type="dxa"/>
            <w:noWrap w:val="0"/>
            <w:vAlign w:val="center"/>
          </w:tcPr>
          <w:p w14:paraId="49033314">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eastAsia="zh-CN"/>
              </w:rPr>
              <w:t>人员</w:t>
            </w:r>
            <w:r>
              <w:rPr>
                <w:rFonts w:hint="eastAsia" w:ascii="Calibri" w:hAnsi="Calibri" w:eastAsia="宋体" w:cs="宋体"/>
                <w:color w:val="auto"/>
                <w:highlight w:val="none"/>
              </w:rPr>
              <w:t>是否有效</w:t>
            </w:r>
          </w:p>
        </w:tc>
        <w:tc>
          <w:tcPr>
            <w:tcW w:w="1080" w:type="dxa"/>
            <w:noWrap w:val="0"/>
            <w:vAlign w:val="center"/>
          </w:tcPr>
          <w:p w14:paraId="59D39A81">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提交的投标保证金（万元）</w:t>
            </w:r>
          </w:p>
        </w:tc>
        <w:tc>
          <w:tcPr>
            <w:tcW w:w="1060" w:type="dxa"/>
            <w:noWrap w:val="0"/>
            <w:vAlign w:val="center"/>
          </w:tcPr>
          <w:p w14:paraId="0B22201C">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投标总报价（元）</w:t>
            </w:r>
          </w:p>
        </w:tc>
        <w:tc>
          <w:tcPr>
            <w:tcW w:w="1064" w:type="dxa"/>
            <w:noWrap w:val="0"/>
            <w:vAlign w:val="center"/>
          </w:tcPr>
          <w:p w14:paraId="590935F4">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自报工期（日历天）</w:t>
            </w:r>
          </w:p>
        </w:tc>
        <w:tc>
          <w:tcPr>
            <w:tcW w:w="720" w:type="dxa"/>
            <w:noWrap w:val="0"/>
            <w:vAlign w:val="center"/>
          </w:tcPr>
          <w:p w14:paraId="198A06C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自报质量等级</w:t>
            </w:r>
          </w:p>
        </w:tc>
        <w:tc>
          <w:tcPr>
            <w:tcW w:w="1236" w:type="dxa"/>
            <w:noWrap w:val="0"/>
            <w:vAlign w:val="center"/>
          </w:tcPr>
          <w:p w14:paraId="4B56B585">
            <w:pPr>
              <w:keepNext w:val="0"/>
              <w:keepLines w:val="0"/>
              <w:suppressLineNumbers w:val="0"/>
              <w:spacing w:before="0" w:beforeAutospacing="0" w:after="0" w:afterAutospacing="0" w:line="280" w:lineRule="exact"/>
              <w:ind w:left="0" w:right="0"/>
              <w:jc w:val="center"/>
              <w:rPr>
                <w:rFonts w:hint="default" w:ascii="宋体" w:hAnsi="Calibri" w:eastAsia="宋体" w:cs="Times New Roman"/>
                <w:color w:val="auto"/>
                <w:highlight w:val="none"/>
              </w:rPr>
            </w:pPr>
            <w:r>
              <w:rPr>
                <w:rFonts w:hint="default" w:ascii="宋体" w:hAnsi="Calibri" w:eastAsia="宋体" w:cs="宋体"/>
                <w:color w:val="auto"/>
                <w:highlight w:val="none"/>
              </w:rPr>
              <w:t>....</w:t>
            </w:r>
          </w:p>
        </w:tc>
        <w:tc>
          <w:tcPr>
            <w:tcW w:w="2027" w:type="dxa"/>
            <w:noWrap w:val="0"/>
            <w:vAlign w:val="center"/>
          </w:tcPr>
          <w:p w14:paraId="0AD029F6">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法定代表人或专职投标员签电子章（必须为专职投标员持证本人）</w:t>
            </w:r>
          </w:p>
        </w:tc>
        <w:tc>
          <w:tcPr>
            <w:tcW w:w="608" w:type="dxa"/>
            <w:noWrap w:val="0"/>
            <w:vAlign w:val="center"/>
          </w:tcPr>
          <w:p w14:paraId="40C78C70">
            <w:pPr>
              <w:keepNext w:val="0"/>
              <w:keepLines w:val="0"/>
              <w:suppressLineNumbers w:val="0"/>
              <w:spacing w:before="0" w:beforeAutospacing="0" w:after="0" w:afterAutospacing="0" w:line="28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备注</w:t>
            </w:r>
          </w:p>
        </w:tc>
      </w:tr>
      <w:tr w14:paraId="71A0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7E03DA91">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980" w:type="dxa"/>
            <w:noWrap w:val="0"/>
            <w:vAlign w:val="center"/>
          </w:tcPr>
          <w:p w14:paraId="4C00EE6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1731D76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2088613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7B7D57B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19A3E8F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5466BC2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3907639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0598FAA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5917EB2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027" w:type="dxa"/>
            <w:noWrap w:val="0"/>
            <w:vAlign w:val="center"/>
          </w:tcPr>
          <w:p w14:paraId="41B5C0E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608" w:type="dxa"/>
            <w:noWrap w:val="0"/>
            <w:vAlign w:val="center"/>
          </w:tcPr>
          <w:p w14:paraId="0327474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4CA6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51F7D63E">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980" w:type="dxa"/>
            <w:noWrap w:val="0"/>
            <w:vAlign w:val="center"/>
          </w:tcPr>
          <w:p w14:paraId="02B7309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33DAA2A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773D675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3125911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125B137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370383D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5E650F6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53C8A5E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010AFDD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027" w:type="dxa"/>
            <w:noWrap w:val="0"/>
            <w:vAlign w:val="center"/>
          </w:tcPr>
          <w:p w14:paraId="782C965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608" w:type="dxa"/>
            <w:noWrap w:val="0"/>
            <w:vAlign w:val="center"/>
          </w:tcPr>
          <w:p w14:paraId="0A9C874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0EC49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65EF9F94">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1980" w:type="dxa"/>
            <w:noWrap w:val="0"/>
            <w:vAlign w:val="center"/>
          </w:tcPr>
          <w:p w14:paraId="40D8BE6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7B24566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2676B89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430A155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1022937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3C09089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6A9ACD1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6189FB0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69B715C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027" w:type="dxa"/>
            <w:noWrap w:val="0"/>
            <w:vAlign w:val="center"/>
          </w:tcPr>
          <w:p w14:paraId="394A12E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608" w:type="dxa"/>
            <w:noWrap w:val="0"/>
            <w:vAlign w:val="center"/>
          </w:tcPr>
          <w:p w14:paraId="5C57812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65C6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5FF123D0">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1980" w:type="dxa"/>
            <w:noWrap w:val="0"/>
            <w:vAlign w:val="center"/>
          </w:tcPr>
          <w:p w14:paraId="0FEF054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60FD37F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3D0C2A2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3913E58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10C0218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06D18FD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1A30540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093A3D5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7935162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027" w:type="dxa"/>
            <w:noWrap w:val="0"/>
            <w:vAlign w:val="center"/>
          </w:tcPr>
          <w:p w14:paraId="547105B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608" w:type="dxa"/>
            <w:noWrap w:val="0"/>
            <w:vAlign w:val="center"/>
          </w:tcPr>
          <w:p w14:paraId="3810560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1C1A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6447B079">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1980" w:type="dxa"/>
            <w:noWrap w:val="0"/>
            <w:vAlign w:val="center"/>
          </w:tcPr>
          <w:p w14:paraId="0870E98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238F51F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1AD1D72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00" w:type="dxa"/>
            <w:noWrap w:val="0"/>
            <w:vAlign w:val="center"/>
          </w:tcPr>
          <w:p w14:paraId="15B9AA6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80" w:type="dxa"/>
            <w:noWrap w:val="0"/>
            <w:vAlign w:val="center"/>
          </w:tcPr>
          <w:p w14:paraId="445ED1A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0" w:type="dxa"/>
            <w:noWrap w:val="0"/>
            <w:vAlign w:val="center"/>
          </w:tcPr>
          <w:p w14:paraId="77AD08A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064" w:type="dxa"/>
            <w:noWrap w:val="0"/>
            <w:vAlign w:val="center"/>
          </w:tcPr>
          <w:p w14:paraId="619DE97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720" w:type="dxa"/>
            <w:noWrap w:val="0"/>
            <w:vAlign w:val="center"/>
          </w:tcPr>
          <w:p w14:paraId="39B2756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236" w:type="dxa"/>
            <w:noWrap w:val="0"/>
            <w:vAlign w:val="center"/>
          </w:tcPr>
          <w:p w14:paraId="53A1853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2027" w:type="dxa"/>
            <w:noWrap w:val="0"/>
            <w:vAlign w:val="center"/>
          </w:tcPr>
          <w:p w14:paraId="5917320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608" w:type="dxa"/>
            <w:noWrap w:val="0"/>
            <w:vAlign w:val="center"/>
          </w:tcPr>
          <w:p w14:paraId="1716FA3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0B833119">
      <w:pPr>
        <w:rPr>
          <w:rFonts w:hint="eastAsia" w:ascii="宋体" w:hAnsi="宋体" w:cs="宋体"/>
          <w:color w:val="auto"/>
          <w:highlight w:val="none"/>
        </w:rPr>
      </w:pPr>
    </w:p>
    <w:p w14:paraId="1DC18380">
      <w:pPr>
        <w:ind w:firstLine="420" w:firstLineChars="200"/>
        <w:rPr>
          <w:rFonts w:ascii="宋体"/>
          <w:color w:val="auto"/>
          <w:highlight w:val="none"/>
        </w:rPr>
        <w:sectPr>
          <w:pgSz w:w="16838" w:h="11906" w:orient="landscape"/>
          <w:pgMar w:top="1440" w:right="1440" w:bottom="1440" w:left="1797" w:header="851" w:footer="851" w:gutter="0"/>
          <w:cols w:space="720" w:num="1"/>
          <w:docGrid w:linePitch="312" w:charSpace="0"/>
        </w:sectPr>
      </w:pPr>
      <w:r>
        <w:rPr>
          <w:rFonts w:hint="eastAsia" w:ascii="宋体" w:hAnsi="宋体" w:cs="宋体"/>
          <w:color w:val="auto"/>
          <w:highlight w:val="none"/>
        </w:rPr>
        <w:t>招标人授权代表（签字）：</w:t>
      </w:r>
      <w:r>
        <w:rPr>
          <w:rFonts w:ascii="宋体" w:hAnsi="宋体" w:cs="宋体"/>
          <w:color w:val="auto"/>
          <w:highlight w:val="none"/>
        </w:rPr>
        <w:t xml:space="preserve"> </w:t>
      </w:r>
      <w:r>
        <w:rPr>
          <w:rFonts w:ascii="宋体" w:hAnsi="宋体" w:cs="宋体"/>
          <w:color w:val="auto"/>
          <w:highlight w:val="none"/>
          <w:u w:val="none"/>
        </w:rPr>
        <w:t xml:space="preserve">           </w:t>
      </w:r>
      <w:r>
        <w:rPr>
          <w:rFonts w:ascii="宋体" w:hAnsi="宋体" w:cs="宋体"/>
          <w:color w:val="auto"/>
          <w:highlight w:val="none"/>
        </w:rPr>
        <w:t xml:space="preserve"> </w:t>
      </w:r>
      <w:r>
        <w:rPr>
          <w:rFonts w:hint="eastAsia" w:ascii="宋体" w:hAnsi="宋体" w:cs="宋体"/>
          <w:color w:val="auto"/>
          <w:highlight w:val="none"/>
        </w:rPr>
        <w:t>记录人（签字）：</w:t>
      </w:r>
      <w:r>
        <w:rPr>
          <w:rFonts w:ascii="宋体" w:hAnsi="宋体" w:cs="宋体"/>
          <w:color w:val="auto"/>
          <w:highlight w:val="none"/>
          <w:u w:val="none"/>
        </w:rPr>
        <w:t xml:space="preserve">           </w:t>
      </w:r>
      <w:r>
        <w:rPr>
          <w:rFonts w:hint="eastAsia" w:ascii="宋体"/>
          <w:color w:val="auto"/>
          <w:highlight w:val="none"/>
        </w:rPr>
        <w:t>见证人员</w:t>
      </w:r>
      <w:r>
        <w:rPr>
          <w:rFonts w:hint="eastAsia" w:ascii="宋体" w:hAnsi="宋体" w:cs="宋体"/>
          <w:color w:val="auto"/>
          <w:highlight w:val="none"/>
        </w:rPr>
        <w:t>（签字）：</w:t>
      </w:r>
      <w:r>
        <w:rPr>
          <w:rFonts w:hint="eastAsia" w:ascii="宋体" w:hAnsi="宋体" w:cs="宋体"/>
          <w:color w:val="auto"/>
          <w:highlight w:val="none"/>
          <w:u w:val="none"/>
        </w:rPr>
        <w:t xml:space="preserve">        </w:t>
      </w:r>
      <w:r>
        <w:rPr>
          <w:rFonts w:ascii="宋体" w:hAnsi="宋体" w:cs="宋体"/>
          <w:color w:val="auto"/>
          <w:highlight w:val="none"/>
        </w:rPr>
        <w:t xml:space="preserve"> </w:t>
      </w:r>
      <w:r>
        <w:rPr>
          <w:rFonts w:hint="eastAsia" w:ascii="宋体" w:hAnsi="宋体"/>
          <w:color w:val="auto"/>
          <w:szCs w:val="44"/>
          <w:highlight w:val="none"/>
        </w:rPr>
        <w:t>监督人员（签字）：</w:t>
      </w:r>
    </w:p>
    <w:p w14:paraId="7CF83D00">
      <w:pPr>
        <w:pStyle w:val="5"/>
        <w:spacing w:line="240" w:lineRule="auto"/>
        <w:rPr>
          <w:color w:val="auto"/>
          <w:sz w:val="28"/>
          <w:szCs w:val="28"/>
          <w:highlight w:val="none"/>
        </w:rPr>
      </w:pPr>
      <w:bookmarkStart w:id="569" w:name="_Toc20098"/>
      <w:bookmarkStart w:id="570" w:name="_Toc1362799683"/>
      <w:bookmarkStart w:id="571" w:name="_Toc59203028"/>
      <w:bookmarkStart w:id="572" w:name="_Toc78449758"/>
      <w:bookmarkStart w:id="573" w:name="_Toc36071301"/>
      <w:bookmarkStart w:id="574" w:name="_Toc2683"/>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2</w:t>
      </w:r>
      <w:r>
        <w:rPr>
          <w:rFonts w:hint="eastAsia"/>
          <w:color w:val="auto"/>
          <w:sz w:val="28"/>
          <w:szCs w:val="28"/>
          <w:highlight w:val="none"/>
        </w:rPr>
        <w:t>－1：开标会异常记录表（如有）</w:t>
      </w:r>
      <w:bookmarkEnd w:id="569"/>
      <w:bookmarkEnd w:id="570"/>
      <w:bookmarkEnd w:id="571"/>
      <w:bookmarkEnd w:id="572"/>
      <w:bookmarkEnd w:id="573"/>
      <w:bookmarkEnd w:id="574"/>
    </w:p>
    <w:p w14:paraId="3DCF7A59">
      <w:pPr>
        <w:rPr>
          <w:rFonts w:ascii="宋体"/>
          <w:color w:val="auto"/>
          <w:highlight w:val="none"/>
        </w:rPr>
      </w:pPr>
    </w:p>
    <w:p w14:paraId="71036075">
      <w:pPr>
        <w:adjustRightInd w:val="0"/>
        <w:snapToGrid w:val="0"/>
        <w:spacing w:line="420" w:lineRule="exact"/>
        <w:jc w:val="center"/>
        <w:rPr>
          <w:rFonts w:eastAsia="黑体"/>
          <w:color w:val="auto"/>
          <w:sz w:val="28"/>
          <w:szCs w:val="28"/>
          <w:highlight w:val="none"/>
        </w:rPr>
      </w:pPr>
      <w:r>
        <w:rPr>
          <w:rFonts w:hint="eastAsia" w:eastAsia="黑体" w:cs="黑体"/>
          <w:color w:val="auto"/>
          <w:sz w:val="28"/>
          <w:szCs w:val="28"/>
          <w:highlight w:val="none"/>
        </w:rPr>
        <w:t>开标会异常记录表（如有）</w:t>
      </w:r>
    </w:p>
    <w:p w14:paraId="12BD497F">
      <w:pPr>
        <w:rPr>
          <w:rFonts w:ascii="宋体"/>
          <w:color w:val="auto"/>
          <w:highlight w:val="none"/>
        </w:rPr>
      </w:pPr>
    </w:p>
    <w:p w14:paraId="37B8DD05">
      <w:pPr>
        <w:rPr>
          <w:color w:val="auto"/>
          <w:highlight w:val="none"/>
        </w:rPr>
      </w:pPr>
      <w:r>
        <w:rPr>
          <w:rFonts w:hint="eastAsia" w:cs="宋体"/>
          <w:color w:val="auto"/>
          <w:highlight w:val="none"/>
          <w:lang w:val="en-US" w:eastAsia="zh-CN"/>
        </w:rPr>
        <w:t>招标项目</w:t>
      </w:r>
      <w:r>
        <w:rPr>
          <w:rFonts w:hint="eastAsia" w:cs="宋体"/>
          <w:color w:val="auto"/>
          <w:highlight w:val="none"/>
        </w:rPr>
        <w:t>名称：</w:t>
      </w:r>
      <w:r>
        <w:rPr>
          <w:color w:val="auto"/>
          <w:highlight w:val="none"/>
          <w:u w:val="single"/>
        </w:rPr>
        <w:t xml:space="preserve">             </w:t>
      </w:r>
      <w:r>
        <w:rPr>
          <w:rFonts w:hint="eastAsia" w:cs="宋体"/>
          <w:color w:val="auto"/>
          <w:highlight w:val="none"/>
          <w:lang w:val="en-US" w:eastAsia="zh-CN"/>
        </w:rPr>
        <w:t xml:space="preserve">      </w:t>
      </w:r>
      <w:r>
        <w:rPr>
          <w:color w:val="auto"/>
          <w:highlight w:val="none"/>
        </w:rPr>
        <w:t xml:space="preserve">       </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p>
    <w:p w14:paraId="1E5C237D">
      <w:pPr>
        <w:rPr>
          <w:color w:val="auto"/>
          <w:highlight w:val="none"/>
        </w:rPr>
      </w:pPr>
      <w:r>
        <w:rPr>
          <w:rFonts w:hint="eastAsia" w:cs="宋体"/>
          <w:color w:val="auto"/>
          <w:highlight w:val="none"/>
        </w:rPr>
        <w:t>开标时间：</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47E9C8E3">
      <w:pPr>
        <w:adjustRightInd w:val="0"/>
        <w:snapToGrid w:val="0"/>
        <w:rPr>
          <w:color w:val="auto"/>
          <w:highlight w:val="none"/>
        </w:rPr>
      </w:pPr>
      <w:r>
        <w:rPr>
          <w:rFonts w:hint="eastAsia" w:cs="宋体"/>
          <w:color w:val="auto"/>
          <w:highlight w:val="none"/>
        </w:rPr>
        <w:t>建设单位：</w:t>
      </w:r>
      <w:r>
        <w:rPr>
          <w:color w:val="auto"/>
          <w:highlight w:val="none"/>
          <w:u w:val="single"/>
        </w:rPr>
        <w:t xml:space="preserve">                                                         </w:t>
      </w:r>
      <w:r>
        <w:rPr>
          <w:color w:val="auto"/>
          <w:highlight w:val="none"/>
        </w:rPr>
        <w:t xml:space="preserve">         </w:t>
      </w:r>
    </w:p>
    <w:p w14:paraId="3969E462">
      <w:pPr>
        <w:adjustRightInd w:val="0"/>
        <w:snapToGrid w:val="0"/>
        <w:rPr>
          <w:color w:val="auto"/>
          <w:highlight w:val="none"/>
          <w:u w:val="single"/>
        </w:rPr>
      </w:pPr>
      <w:r>
        <w:rPr>
          <w:rFonts w:hint="eastAsia" w:cs="宋体"/>
          <w:color w:val="auto"/>
          <w:highlight w:val="none"/>
        </w:rPr>
        <w:t>招标代理机构：</w:t>
      </w:r>
      <w:r>
        <w:rPr>
          <w:color w:val="auto"/>
          <w:highlight w:val="none"/>
          <w:u w:val="single"/>
        </w:rPr>
        <w:t xml:space="preserve">                         </w:t>
      </w:r>
    </w:p>
    <w:p w14:paraId="737BDD3E">
      <w:pPr>
        <w:adjustRightInd w:val="0"/>
        <w:snapToGrid w:val="0"/>
        <w:rPr>
          <w:color w:val="auto"/>
          <w:highlight w:val="none"/>
          <w:u w:val="single"/>
        </w:rPr>
      </w:pPr>
    </w:p>
    <w:p w14:paraId="6AC97DBF">
      <w:pPr>
        <w:adjustRightInd w:val="0"/>
        <w:snapToGrid w:val="0"/>
        <w:rPr>
          <w:color w:val="auto"/>
          <w:highlight w:val="none"/>
          <w:u w:val="single"/>
        </w:rPr>
      </w:pPr>
    </w:p>
    <w:p w14:paraId="57C73351">
      <w:pPr>
        <w:adjustRightInd w:val="0"/>
        <w:snapToGrid w:val="0"/>
        <w:rPr>
          <w:color w:val="auto"/>
          <w:highlight w:val="none"/>
          <w:u w:val="single"/>
        </w:rPr>
      </w:pPr>
    </w:p>
    <w:p w14:paraId="34D41A32">
      <w:pPr>
        <w:rPr>
          <w:rFonts w:ascii="宋体"/>
          <w:color w:val="auto"/>
          <w:highlight w:val="none"/>
        </w:rPr>
      </w:pPr>
      <w:r>
        <w:rPr>
          <w:rFonts w:hint="eastAsia" w:ascii="宋体" w:hAnsi="宋体" w:cs="宋体"/>
          <w:color w:val="auto"/>
          <w:highlight w:val="none"/>
        </w:rPr>
        <w:t>开标会异常情况记录：</w:t>
      </w:r>
      <w:r>
        <w:rPr>
          <w:rFonts w:ascii="宋体" w:hAnsi="宋体" w:cs="宋体"/>
          <w:color w:val="auto"/>
          <w:highlight w:val="none"/>
        </w:rPr>
        <w:t xml:space="preserve">  </w:t>
      </w:r>
      <w:r>
        <w:rPr>
          <w:rFonts w:hint="eastAsia" w:ascii="宋体" w:hAnsi="宋体" w:cs="宋体"/>
          <w:color w:val="auto"/>
          <w:highlight w:val="none"/>
        </w:rPr>
        <w:t>投标人</w:t>
      </w:r>
      <w:r>
        <w:rPr>
          <w:rFonts w:ascii="宋体" w:hAnsi="宋体" w:cs="宋体"/>
          <w:color w:val="auto"/>
          <w:highlight w:val="none"/>
        </w:rPr>
        <w:t>****</w:t>
      </w:r>
      <w:r>
        <w:rPr>
          <w:rFonts w:hint="eastAsia" w:ascii="宋体" w:hAnsi="宋体" w:cs="宋体"/>
          <w:color w:val="auto"/>
          <w:highlight w:val="none"/>
        </w:rPr>
        <w:t>异议</w:t>
      </w:r>
      <w:r>
        <w:rPr>
          <w:rFonts w:ascii="宋体" w:hAnsi="宋体" w:cs="宋体"/>
          <w:color w:val="auto"/>
          <w:highlight w:val="none"/>
        </w:rPr>
        <w:t xml:space="preserve">*************                                                                </w:t>
      </w:r>
    </w:p>
    <w:p w14:paraId="77315F52">
      <w:pPr>
        <w:rPr>
          <w:rFonts w:ascii="宋体"/>
          <w:color w:val="auto"/>
          <w:highlight w:val="none"/>
        </w:rPr>
      </w:pPr>
    </w:p>
    <w:p w14:paraId="23564BA1">
      <w:pPr>
        <w:rPr>
          <w:rFonts w:ascii="宋体"/>
          <w:color w:val="auto"/>
          <w:highlight w:val="none"/>
        </w:rPr>
      </w:pPr>
    </w:p>
    <w:p w14:paraId="01BA945C">
      <w:pPr>
        <w:rPr>
          <w:rFonts w:ascii="宋体"/>
          <w:color w:val="auto"/>
          <w:highlight w:val="none"/>
        </w:rPr>
      </w:pPr>
    </w:p>
    <w:p w14:paraId="1C7C4BFE">
      <w:pPr>
        <w:rPr>
          <w:rFonts w:ascii="宋体"/>
          <w:color w:val="auto"/>
          <w:highlight w:val="none"/>
        </w:rPr>
      </w:pPr>
      <w:r>
        <w:rPr>
          <w:rFonts w:hint="eastAsia" w:ascii="宋体" w:hAnsi="宋体" w:cs="宋体"/>
          <w:color w:val="auto"/>
          <w:highlight w:val="none"/>
        </w:rPr>
        <w:t>开标现场异议人：</w:t>
      </w:r>
      <w:r>
        <w:rPr>
          <w:rFonts w:ascii="宋体" w:hAnsi="宋体" w:cs="宋体"/>
          <w:color w:val="auto"/>
          <w:highlight w:val="none"/>
        </w:rPr>
        <w:t xml:space="preserve">             ***</w:t>
      </w:r>
      <w:r>
        <w:rPr>
          <w:rFonts w:hint="eastAsia" w:ascii="宋体" w:hAnsi="宋体" w:cs="宋体"/>
          <w:color w:val="auto"/>
          <w:highlight w:val="none"/>
        </w:rPr>
        <w:t>公司</w:t>
      </w:r>
      <w:r>
        <w:rPr>
          <w:rFonts w:ascii="宋体" w:hAnsi="宋体" w:cs="宋体"/>
          <w:color w:val="auto"/>
          <w:highlight w:val="none"/>
        </w:rPr>
        <w:t xml:space="preserve">         </w:t>
      </w:r>
      <w:r>
        <w:rPr>
          <w:rFonts w:hint="eastAsia" w:ascii="宋体" w:hAnsi="宋体" w:cs="宋体"/>
          <w:color w:val="auto"/>
          <w:highlight w:val="none"/>
        </w:rPr>
        <w:t>授权代表签字：</w:t>
      </w:r>
      <w:r>
        <w:rPr>
          <w:rFonts w:ascii="宋体" w:hAnsi="宋体" w:cs="宋体"/>
          <w:color w:val="auto"/>
          <w:highlight w:val="none"/>
        </w:rPr>
        <w:t xml:space="preserve">           </w:t>
      </w:r>
      <w:r>
        <w:rPr>
          <w:rFonts w:hint="eastAsia" w:ascii="宋体" w:hAnsi="宋体" w:cs="宋体"/>
          <w:color w:val="auto"/>
          <w:highlight w:val="none"/>
        </w:rPr>
        <w:t>日期</w:t>
      </w:r>
    </w:p>
    <w:p w14:paraId="1FE8F082">
      <w:pPr>
        <w:rPr>
          <w:rFonts w:ascii="宋体"/>
          <w:color w:val="auto"/>
          <w:highlight w:val="none"/>
        </w:rPr>
      </w:pPr>
    </w:p>
    <w:p w14:paraId="056DC464">
      <w:pPr>
        <w:rPr>
          <w:rFonts w:ascii="宋体"/>
          <w:color w:val="auto"/>
          <w:highlight w:val="none"/>
        </w:rPr>
      </w:pPr>
    </w:p>
    <w:p w14:paraId="356604DA">
      <w:pPr>
        <w:rPr>
          <w:rFonts w:ascii="宋体"/>
          <w:color w:val="auto"/>
          <w:highlight w:val="none"/>
        </w:rPr>
      </w:pPr>
      <w:r>
        <w:rPr>
          <w:rFonts w:hint="eastAsia" w:ascii="宋体" w:hAnsi="宋体" w:cs="宋体"/>
          <w:color w:val="auto"/>
          <w:highlight w:val="none"/>
        </w:rPr>
        <w:t>招标人代表：</w:t>
      </w:r>
    </w:p>
    <w:p w14:paraId="3935B045">
      <w:pPr>
        <w:rPr>
          <w:rFonts w:ascii="宋体"/>
          <w:color w:val="auto"/>
          <w:highlight w:val="none"/>
        </w:rPr>
      </w:pPr>
      <w:r>
        <w:rPr>
          <w:rFonts w:hint="eastAsia" w:ascii="宋体" w:hAnsi="宋体" w:cs="宋体"/>
          <w:color w:val="auto"/>
          <w:highlight w:val="none"/>
        </w:rPr>
        <w:t>（情况属实</w:t>
      </w:r>
      <w:r>
        <w:rPr>
          <w:rFonts w:hint="eastAsia" w:ascii="宋体" w:hAnsi="宋体" w:cs="宋体"/>
          <w:color w:val="auto"/>
          <w:highlight w:val="none"/>
          <w:lang w:eastAsia="zh-CN"/>
        </w:rPr>
        <w:t>……</w:t>
      </w:r>
      <w:r>
        <w:rPr>
          <w:rFonts w:hint="eastAsia" w:ascii="宋体" w:hAnsi="宋体" w:cs="宋体"/>
          <w:color w:val="auto"/>
          <w:highlight w:val="none"/>
        </w:rPr>
        <w:t>）、（招标人简单答复：</w:t>
      </w:r>
      <w:r>
        <w:rPr>
          <w:rFonts w:ascii="宋体" w:cs="宋体"/>
          <w:color w:val="auto"/>
          <w:highlight w:val="none"/>
        </w:rPr>
        <w:t>........</w:t>
      </w:r>
      <w:r>
        <w:rPr>
          <w:rFonts w:hint="eastAsia" w:ascii="宋体" w:hAnsi="宋体" w:cs="宋体"/>
          <w:color w:val="auto"/>
          <w:highlight w:val="none"/>
        </w:rPr>
        <w:t>）等</w:t>
      </w:r>
      <w:r>
        <w:rPr>
          <w:rFonts w:ascii="宋体" w:hAnsi="宋体" w:cs="宋体"/>
          <w:color w:val="auto"/>
          <w:highlight w:val="none"/>
        </w:rPr>
        <w:t xml:space="preserve">                     </w:t>
      </w:r>
    </w:p>
    <w:p w14:paraId="07B32302">
      <w:pPr>
        <w:rPr>
          <w:rFonts w:ascii="宋体"/>
          <w:color w:val="auto"/>
          <w:highlight w:val="none"/>
        </w:rPr>
      </w:pPr>
      <w:r>
        <w:rPr>
          <w:rFonts w:ascii="宋体" w:hAnsi="宋体" w:cs="宋体"/>
          <w:color w:val="auto"/>
          <w:highlight w:val="none"/>
        </w:rPr>
        <w:t xml:space="preserve">                         </w:t>
      </w:r>
      <w:r>
        <w:rPr>
          <w:rFonts w:hint="eastAsia" w:ascii="宋体" w:hAnsi="宋体" w:cs="宋体"/>
          <w:color w:val="auto"/>
          <w:highlight w:val="none"/>
        </w:rPr>
        <w:t>签字：</w:t>
      </w:r>
      <w:r>
        <w:rPr>
          <w:rFonts w:ascii="宋体" w:hAnsi="宋体" w:cs="宋体"/>
          <w:color w:val="auto"/>
          <w:highlight w:val="none"/>
        </w:rPr>
        <w:t xml:space="preserve">           </w:t>
      </w:r>
      <w:r>
        <w:rPr>
          <w:rFonts w:hint="eastAsia" w:ascii="宋体" w:hAnsi="宋体" w:cs="宋体"/>
          <w:color w:val="auto"/>
          <w:highlight w:val="none"/>
        </w:rPr>
        <w:t>日期：</w:t>
      </w:r>
      <w:r>
        <w:rPr>
          <w:rFonts w:ascii="宋体" w:hAnsi="宋体" w:cs="宋体"/>
          <w:color w:val="auto"/>
          <w:highlight w:val="none"/>
        </w:rPr>
        <w:t xml:space="preserve">                        </w:t>
      </w:r>
    </w:p>
    <w:p w14:paraId="4AD8CB1B">
      <w:pPr>
        <w:rPr>
          <w:rFonts w:ascii="宋体"/>
          <w:color w:val="auto"/>
          <w:highlight w:val="none"/>
        </w:rPr>
      </w:pPr>
      <w:r>
        <w:rPr>
          <w:rFonts w:hint="eastAsia" w:ascii="宋体" w:hAnsi="宋体" w:cs="宋体"/>
          <w:color w:val="auto"/>
          <w:highlight w:val="none"/>
        </w:rPr>
        <w:t>招标代理机构项目负责人：</w:t>
      </w:r>
      <w:r>
        <w:rPr>
          <w:rFonts w:ascii="宋体" w:hAnsi="宋体" w:cs="宋体"/>
          <w:color w:val="auto"/>
          <w:highlight w:val="none"/>
        </w:rPr>
        <w:t xml:space="preserve"> </w:t>
      </w:r>
      <w:r>
        <w:rPr>
          <w:rFonts w:hint="eastAsia" w:ascii="宋体" w:hAnsi="宋体" w:cs="宋体"/>
          <w:color w:val="auto"/>
          <w:highlight w:val="none"/>
        </w:rPr>
        <w:t>（情况属实</w:t>
      </w:r>
      <w:r>
        <w:rPr>
          <w:rFonts w:hint="eastAsia" w:ascii="宋体" w:hAnsi="宋体" w:cs="宋体"/>
          <w:color w:val="auto"/>
          <w:highlight w:val="none"/>
          <w:lang w:eastAsia="zh-CN"/>
        </w:rPr>
        <w:t>……</w:t>
      </w:r>
      <w:r>
        <w:rPr>
          <w:rFonts w:hint="eastAsia" w:ascii="宋体" w:hAnsi="宋体" w:cs="宋体"/>
          <w:color w:val="auto"/>
          <w:highlight w:val="none"/>
        </w:rPr>
        <w:t>）、（招标代理机构简单答复：</w:t>
      </w:r>
      <w:r>
        <w:rPr>
          <w:rFonts w:ascii="宋体" w:cs="宋体"/>
          <w:color w:val="auto"/>
          <w:highlight w:val="none"/>
        </w:rPr>
        <w:t>........</w:t>
      </w:r>
      <w:r>
        <w:rPr>
          <w:rFonts w:hint="eastAsia" w:ascii="宋体" w:hAnsi="宋体" w:cs="宋体"/>
          <w:color w:val="auto"/>
          <w:highlight w:val="none"/>
        </w:rPr>
        <w:t>）等</w:t>
      </w:r>
      <w:r>
        <w:rPr>
          <w:rFonts w:ascii="宋体" w:hAnsi="宋体" w:cs="宋体"/>
          <w:color w:val="auto"/>
          <w:highlight w:val="none"/>
        </w:rPr>
        <w:t xml:space="preserve">                     </w:t>
      </w:r>
    </w:p>
    <w:p w14:paraId="0555D0D8">
      <w:pPr>
        <w:rPr>
          <w:rFonts w:ascii="宋体"/>
          <w:color w:val="auto"/>
          <w:highlight w:val="none"/>
        </w:rPr>
      </w:pPr>
      <w:r>
        <w:rPr>
          <w:rFonts w:ascii="宋体" w:hAnsi="宋体" w:cs="宋体"/>
          <w:color w:val="auto"/>
          <w:highlight w:val="none"/>
        </w:rPr>
        <w:t xml:space="preserve">                         </w:t>
      </w:r>
      <w:r>
        <w:rPr>
          <w:rFonts w:hint="eastAsia" w:ascii="宋体" w:hAnsi="宋体" w:cs="宋体"/>
          <w:color w:val="auto"/>
          <w:highlight w:val="none"/>
        </w:rPr>
        <w:t>签字：</w:t>
      </w:r>
      <w:r>
        <w:rPr>
          <w:rFonts w:ascii="宋体" w:hAnsi="宋体" w:cs="宋体"/>
          <w:color w:val="auto"/>
          <w:highlight w:val="none"/>
        </w:rPr>
        <w:t xml:space="preserve">           </w:t>
      </w:r>
      <w:r>
        <w:rPr>
          <w:rFonts w:hint="eastAsia" w:ascii="宋体" w:hAnsi="宋体" w:cs="宋体"/>
          <w:color w:val="auto"/>
          <w:highlight w:val="none"/>
        </w:rPr>
        <w:t>日期：</w:t>
      </w:r>
      <w:r>
        <w:rPr>
          <w:rFonts w:ascii="宋体" w:hAnsi="宋体" w:cs="宋体"/>
          <w:color w:val="auto"/>
          <w:highlight w:val="none"/>
        </w:rPr>
        <w:t xml:space="preserve">                        </w:t>
      </w:r>
    </w:p>
    <w:p w14:paraId="51BD1852">
      <w:pPr>
        <w:rPr>
          <w:rFonts w:ascii="宋体"/>
          <w:color w:val="auto"/>
          <w:highlight w:val="none"/>
        </w:rPr>
      </w:pPr>
    </w:p>
    <w:p w14:paraId="5696D3CE">
      <w:pPr>
        <w:rPr>
          <w:rFonts w:ascii="宋体"/>
          <w:color w:val="auto"/>
          <w:highlight w:val="none"/>
        </w:rPr>
      </w:pPr>
    </w:p>
    <w:p w14:paraId="6F8AB45A">
      <w:pPr>
        <w:rPr>
          <w:rFonts w:ascii="宋体"/>
          <w:color w:val="auto"/>
          <w:highlight w:val="none"/>
        </w:rPr>
      </w:pPr>
    </w:p>
    <w:p w14:paraId="2DFE76E0">
      <w:pPr>
        <w:rPr>
          <w:rFonts w:ascii="宋体"/>
          <w:color w:val="auto"/>
          <w:highlight w:val="none"/>
        </w:rPr>
      </w:pPr>
    </w:p>
    <w:p w14:paraId="1525B970">
      <w:pPr>
        <w:rPr>
          <w:rFonts w:ascii="宋体"/>
          <w:color w:val="auto"/>
          <w:highlight w:val="none"/>
        </w:rPr>
        <w:sectPr>
          <w:pgSz w:w="16838" w:h="11906" w:orient="landscape"/>
          <w:pgMar w:top="1440" w:right="1440" w:bottom="1440" w:left="1797" w:header="851" w:footer="851" w:gutter="0"/>
          <w:cols w:space="720" w:num="1"/>
          <w:docGrid w:linePitch="312" w:charSpace="0"/>
        </w:sectPr>
      </w:pPr>
      <w:r>
        <w:rPr>
          <w:rFonts w:hint="eastAsia" w:ascii="宋体" w:hAnsi="宋体" w:cs="宋体"/>
          <w:color w:val="auto"/>
          <w:highlight w:val="none"/>
        </w:rPr>
        <w:t>开标现场或网上开标室其余投标人法定代表人或专职投标员签电子章（必须为专职投标员持证本人）：</w:t>
      </w:r>
    </w:p>
    <w:p w14:paraId="3DEA584E">
      <w:pPr>
        <w:rPr>
          <w:rFonts w:ascii="宋体" w:hAnsi="宋体" w:cs="宋体"/>
          <w:color w:val="auto"/>
          <w:highlight w:val="none"/>
        </w:rPr>
      </w:pPr>
    </w:p>
    <w:p w14:paraId="2F54651A">
      <w:pPr>
        <w:pStyle w:val="5"/>
        <w:spacing w:line="240" w:lineRule="auto"/>
        <w:rPr>
          <w:color w:val="auto"/>
          <w:sz w:val="28"/>
          <w:szCs w:val="28"/>
          <w:highlight w:val="none"/>
        </w:rPr>
      </w:pPr>
      <w:bookmarkStart w:id="575" w:name="_Toc19361"/>
      <w:bookmarkStart w:id="576" w:name="_Toc78449759"/>
      <w:bookmarkStart w:id="577" w:name="_Toc2111101751"/>
      <w:bookmarkStart w:id="578" w:name="_Toc27222"/>
      <w:bookmarkStart w:id="579" w:name="_Toc1123078200"/>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3</w:t>
      </w:r>
      <w:r>
        <w:rPr>
          <w:rFonts w:hint="eastAsia"/>
          <w:color w:val="auto"/>
          <w:sz w:val="28"/>
          <w:szCs w:val="28"/>
          <w:highlight w:val="none"/>
        </w:rPr>
        <w:t>：评标委员会签到表</w:t>
      </w:r>
      <w:bookmarkEnd w:id="575"/>
      <w:bookmarkEnd w:id="576"/>
      <w:bookmarkEnd w:id="577"/>
      <w:bookmarkEnd w:id="578"/>
      <w:bookmarkEnd w:id="579"/>
    </w:p>
    <w:p w14:paraId="43AB069A">
      <w:pPr>
        <w:spacing w:line="440" w:lineRule="exact"/>
        <w:jc w:val="center"/>
        <w:rPr>
          <w:rFonts w:eastAsia="黑体"/>
          <w:color w:val="auto"/>
          <w:sz w:val="28"/>
          <w:szCs w:val="28"/>
          <w:highlight w:val="none"/>
        </w:rPr>
      </w:pPr>
      <w:r>
        <w:rPr>
          <w:rFonts w:hint="eastAsia" w:eastAsia="黑体" w:cs="黑体"/>
          <w:color w:val="auto"/>
          <w:sz w:val="28"/>
          <w:szCs w:val="28"/>
          <w:highlight w:val="none"/>
        </w:rPr>
        <w:t>评标委员会签到表</w:t>
      </w:r>
    </w:p>
    <w:p w14:paraId="75C420B1">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624"/>
        <w:gridCol w:w="1624"/>
        <w:gridCol w:w="4543"/>
        <w:gridCol w:w="1980"/>
        <w:gridCol w:w="1912"/>
        <w:gridCol w:w="1688"/>
      </w:tblGrid>
      <w:tr w14:paraId="6594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090C413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624" w:type="dxa"/>
            <w:noWrap w:val="0"/>
            <w:vAlign w:val="center"/>
          </w:tcPr>
          <w:p w14:paraId="39CFC03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姓名</w:t>
            </w:r>
          </w:p>
        </w:tc>
        <w:tc>
          <w:tcPr>
            <w:tcW w:w="1624" w:type="dxa"/>
            <w:noWrap w:val="0"/>
            <w:vAlign w:val="center"/>
          </w:tcPr>
          <w:p w14:paraId="3506D95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职称</w:t>
            </w:r>
          </w:p>
        </w:tc>
        <w:tc>
          <w:tcPr>
            <w:tcW w:w="4543" w:type="dxa"/>
            <w:noWrap w:val="0"/>
            <w:vAlign w:val="center"/>
          </w:tcPr>
          <w:p w14:paraId="1CE8B29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工作单位</w:t>
            </w:r>
          </w:p>
        </w:tc>
        <w:tc>
          <w:tcPr>
            <w:tcW w:w="1980" w:type="dxa"/>
            <w:noWrap w:val="0"/>
            <w:vAlign w:val="center"/>
          </w:tcPr>
          <w:p w14:paraId="01D2DF2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专家身份证号码</w:t>
            </w:r>
          </w:p>
        </w:tc>
        <w:tc>
          <w:tcPr>
            <w:tcW w:w="1912" w:type="dxa"/>
            <w:noWrap w:val="0"/>
            <w:vAlign w:val="center"/>
          </w:tcPr>
          <w:p w14:paraId="7A2D34C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联系电话</w:t>
            </w:r>
          </w:p>
        </w:tc>
        <w:tc>
          <w:tcPr>
            <w:tcW w:w="1688" w:type="dxa"/>
            <w:noWrap w:val="0"/>
            <w:vAlign w:val="center"/>
          </w:tcPr>
          <w:p w14:paraId="04C5527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签到时间</w:t>
            </w:r>
          </w:p>
        </w:tc>
      </w:tr>
      <w:tr w14:paraId="0573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11ED947E">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1624" w:type="dxa"/>
            <w:noWrap w:val="0"/>
            <w:vAlign w:val="center"/>
          </w:tcPr>
          <w:p w14:paraId="25ABD4F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7BB1F09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19A511E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0100532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2B6BEB7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608D33D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69BEE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4D301040">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1624" w:type="dxa"/>
            <w:noWrap w:val="0"/>
            <w:vAlign w:val="center"/>
          </w:tcPr>
          <w:p w14:paraId="15E1FF0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3FA88ED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044E731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39545FF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7BDDD08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1E53004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17C4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6FF03993">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1624" w:type="dxa"/>
            <w:noWrap w:val="0"/>
            <w:vAlign w:val="center"/>
          </w:tcPr>
          <w:p w14:paraId="28D293B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5BF7B35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72A9F7B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2D83D6C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0DA4C2C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0AFE118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78E7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0952570E">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1624" w:type="dxa"/>
            <w:noWrap w:val="0"/>
            <w:vAlign w:val="center"/>
          </w:tcPr>
          <w:p w14:paraId="717F6A5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3A4480C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4B8180A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5EE0BFF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086D1CA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21F4CE4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59C2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66586A96">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1624" w:type="dxa"/>
            <w:noWrap w:val="0"/>
            <w:vAlign w:val="center"/>
          </w:tcPr>
          <w:p w14:paraId="7830C1E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70822AB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35ACA64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4FCFC14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34DF25B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48DB25B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06A4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651FD86D">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1624" w:type="dxa"/>
            <w:noWrap w:val="0"/>
            <w:vAlign w:val="center"/>
          </w:tcPr>
          <w:p w14:paraId="5C046C3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4B64BC7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6CD47AD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2C129C1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5453C4A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452B48B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5336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noWrap w:val="0"/>
            <w:vAlign w:val="center"/>
          </w:tcPr>
          <w:p w14:paraId="17620EE8">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1624" w:type="dxa"/>
            <w:noWrap w:val="0"/>
            <w:vAlign w:val="center"/>
          </w:tcPr>
          <w:p w14:paraId="2422777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24" w:type="dxa"/>
            <w:noWrap w:val="0"/>
            <w:vAlign w:val="center"/>
          </w:tcPr>
          <w:p w14:paraId="20AC8B8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4543" w:type="dxa"/>
            <w:noWrap w:val="0"/>
            <w:vAlign w:val="center"/>
          </w:tcPr>
          <w:p w14:paraId="6734656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80" w:type="dxa"/>
            <w:noWrap w:val="0"/>
            <w:vAlign w:val="center"/>
          </w:tcPr>
          <w:p w14:paraId="6E2D0F8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912" w:type="dxa"/>
            <w:noWrap w:val="0"/>
            <w:vAlign w:val="center"/>
          </w:tcPr>
          <w:p w14:paraId="0713003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688" w:type="dxa"/>
            <w:noWrap w:val="0"/>
            <w:vAlign w:val="center"/>
          </w:tcPr>
          <w:p w14:paraId="4580BEC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1592E3B6">
      <w:pPr>
        <w:spacing w:line="440" w:lineRule="exact"/>
        <w:rPr>
          <w:color w:val="auto"/>
          <w:highlight w:val="none"/>
        </w:rPr>
      </w:pPr>
    </w:p>
    <w:p w14:paraId="4F497B4E">
      <w:pPr>
        <w:spacing w:line="440" w:lineRule="exact"/>
        <w:rPr>
          <w:color w:val="auto"/>
          <w:highlight w:val="none"/>
        </w:rPr>
      </w:pPr>
    </w:p>
    <w:p w14:paraId="4AA89758">
      <w:pPr>
        <w:pStyle w:val="5"/>
        <w:spacing w:line="240" w:lineRule="auto"/>
        <w:rPr>
          <w:rFonts w:hint="eastAsia"/>
          <w:color w:val="auto"/>
          <w:sz w:val="28"/>
          <w:szCs w:val="28"/>
          <w:highlight w:val="none"/>
        </w:rPr>
      </w:pPr>
      <w:bookmarkStart w:id="580" w:name="_Toc13860"/>
      <w:bookmarkStart w:id="581" w:name="_Toc17777"/>
      <w:bookmarkStart w:id="582" w:name="_Toc1398200412"/>
      <w:bookmarkStart w:id="583" w:name="_Toc157156844"/>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4</w:t>
      </w:r>
      <w:r>
        <w:rPr>
          <w:rFonts w:hint="eastAsia"/>
          <w:color w:val="auto"/>
          <w:sz w:val="28"/>
          <w:szCs w:val="28"/>
          <w:highlight w:val="none"/>
        </w:rPr>
        <w:t>：</w:t>
      </w:r>
      <w:r>
        <w:rPr>
          <w:rFonts w:hint="eastAsia"/>
          <w:color w:val="auto"/>
          <w:sz w:val="28"/>
          <w:szCs w:val="28"/>
          <w:highlight w:val="none"/>
          <w:lang w:eastAsia="zh-CN"/>
        </w:rPr>
        <w:t>机器码核查</w:t>
      </w:r>
      <w:r>
        <w:rPr>
          <w:rFonts w:hint="eastAsia"/>
          <w:color w:val="auto"/>
          <w:sz w:val="28"/>
          <w:szCs w:val="28"/>
          <w:highlight w:val="none"/>
        </w:rPr>
        <w:t>记录表</w:t>
      </w:r>
      <w:bookmarkEnd w:id="580"/>
      <w:bookmarkEnd w:id="581"/>
      <w:bookmarkEnd w:id="582"/>
      <w:bookmarkEnd w:id="583"/>
    </w:p>
    <w:p w14:paraId="724BDDDE">
      <w:pPr>
        <w:spacing w:line="440" w:lineRule="exact"/>
        <w:jc w:val="center"/>
        <w:rPr>
          <w:rFonts w:hint="eastAsia"/>
          <w:color w:val="auto"/>
          <w:highlight w:val="none"/>
        </w:rPr>
      </w:pPr>
      <w:r>
        <w:rPr>
          <w:rFonts w:hint="eastAsia"/>
          <w:color w:val="auto"/>
          <w:sz w:val="28"/>
          <w:szCs w:val="28"/>
          <w:highlight w:val="none"/>
          <w:lang w:eastAsia="zh-CN"/>
        </w:rPr>
        <w:t>机器码核查</w:t>
      </w:r>
      <w:r>
        <w:rPr>
          <w:rFonts w:hint="eastAsia" w:eastAsia="黑体" w:cs="黑体"/>
          <w:color w:val="auto"/>
          <w:sz w:val="28"/>
          <w:szCs w:val="28"/>
          <w:highlight w:val="none"/>
        </w:rPr>
        <w:t>记录表</w:t>
      </w:r>
    </w:p>
    <w:p w14:paraId="29305B23">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5161"/>
        <w:gridCol w:w="2382"/>
        <w:gridCol w:w="3407"/>
        <w:gridCol w:w="1357"/>
        <w:gridCol w:w="3"/>
      </w:tblGrid>
      <w:tr w14:paraId="6BC9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076" w:hRule="exact"/>
          <w:jc w:val="center"/>
        </w:trPr>
        <w:tc>
          <w:tcPr>
            <w:tcW w:w="947" w:type="dxa"/>
            <w:noWrap w:val="0"/>
            <w:vAlign w:val="center"/>
          </w:tcPr>
          <w:p w14:paraId="62173334">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5161" w:type="dxa"/>
            <w:noWrap w:val="0"/>
            <w:vAlign w:val="center"/>
          </w:tcPr>
          <w:p w14:paraId="774C68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c>
          <w:tcPr>
            <w:tcW w:w="2382" w:type="dxa"/>
            <w:noWrap w:val="0"/>
            <w:vAlign w:val="center"/>
          </w:tcPr>
          <w:p w14:paraId="0C0476AB">
            <w:pPr>
              <w:keepNext w:val="0"/>
              <w:keepLines w:val="0"/>
              <w:suppressLineNumbers w:val="0"/>
              <w:spacing w:before="0" w:beforeAutospacing="0" w:after="72" w:afterLines="30" w:afterAutospacing="0" w:line="440" w:lineRule="exact"/>
              <w:ind w:left="0" w:right="0"/>
              <w:jc w:val="cente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sz w:val="21"/>
                <w:szCs w:val="21"/>
                <w:highlight w:val="none"/>
                <w:lang w:eastAsia="zh-CN"/>
              </w:rPr>
              <w:t>机器码</w:t>
            </w:r>
          </w:p>
        </w:tc>
        <w:tc>
          <w:tcPr>
            <w:tcW w:w="3407" w:type="dxa"/>
            <w:noWrap w:val="0"/>
            <w:vAlign w:val="center"/>
          </w:tcPr>
          <w:p w14:paraId="3C021067">
            <w:pPr>
              <w:keepNext w:val="0"/>
              <w:keepLines w:val="0"/>
              <w:suppressLineNumbers w:val="0"/>
              <w:spacing w:before="0" w:beforeAutospacing="0" w:after="72" w:afterLines="30" w:afterAutospacing="0" w:line="440" w:lineRule="exact"/>
              <w:ind w:left="0" w:right="0"/>
              <w:jc w:val="center"/>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eastAsia="zh-CN"/>
              </w:rPr>
              <w:t>是否一致</w:t>
            </w:r>
          </w:p>
        </w:tc>
        <w:tc>
          <w:tcPr>
            <w:tcW w:w="1357" w:type="dxa"/>
            <w:noWrap w:val="0"/>
            <w:vAlign w:val="center"/>
          </w:tcPr>
          <w:p w14:paraId="0298EBDA">
            <w:pPr>
              <w:keepNext w:val="0"/>
              <w:keepLines w:val="0"/>
              <w:suppressLineNumbers w:val="0"/>
              <w:spacing w:before="0" w:beforeAutospacing="0" w:after="72" w:afterLines="30" w:afterAutospacing="0" w:line="440" w:lineRule="exact"/>
              <w:ind w:left="0" w:right="0"/>
              <w:jc w:val="cente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rPr>
              <w:t>是否通过评审</w:t>
            </w:r>
          </w:p>
        </w:tc>
      </w:tr>
      <w:tr w14:paraId="2C81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4D20E940">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5161" w:type="dxa"/>
            <w:noWrap w:val="0"/>
            <w:vAlign w:val="center"/>
          </w:tcPr>
          <w:p w14:paraId="30E6CBCE">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p>
        </w:tc>
        <w:tc>
          <w:tcPr>
            <w:tcW w:w="2382" w:type="dxa"/>
            <w:noWrap w:val="0"/>
            <w:vAlign w:val="center"/>
          </w:tcPr>
          <w:p w14:paraId="58AA4E7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2FAB0CA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359F82B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105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7308B14B">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5161" w:type="dxa"/>
            <w:noWrap w:val="0"/>
            <w:vAlign w:val="center"/>
          </w:tcPr>
          <w:p w14:paraId="4DA7B64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4DD8D3E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5CE7FB0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24644C5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5BD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3DE4DD7">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5161" w:type="dxa"/>
            <w:noWrap w:val="0"/>
            <w:vAlign w:val="center"/>
          </w:tcPr>
          <w:p w14:paraId="15462CB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182E2B7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64E9A26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31C99E3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D69D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4B2C275">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5161" w:type="dxa"/>
            <w:noWrap w:val="0"/>
            <w:vAlign w:val="center"/>
          </w:tcPr>
          <w:p w14:paraId="07E34DB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2D8DE60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591F1D6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5E758D5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2C5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4DA48221">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5161" w:type="dxa"/>
            <w:noWrap w:val="0"/>
            <w:vAlign w:val="center"/>
          </w:tcPr>
          <w:p w14:paraId="45A810F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072DF19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28F2BFF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3F0B1B0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B35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DE80D3C">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5161" w:type="dxa"/>
            <w:noWrap w:val="0"/>
            <w:vAlign w:val="center"/>
          </w:tcPr>
          <w:p w14:paraId="3F3927A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7142847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56D420A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16387CB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ACA4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2C5804D0">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5161" w:type="dxa"/>
            <w:noWrap w:val="0"/>
            <w:vAlign w:val="center"/>
          </w:tcPr>
          <w:p w14:paraId="326576B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1C2A988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7916F6C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70868C8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339C3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exact"/>
          <w:jc w:val="center"/>
        </w:trPr>
        <w:tc>
          <w:tcPr>
            <w:tcW w:w="947" w:type="dxa"/>
            <w:noWrap w:val="0"/>
            <w:vAlign w:val="center"/>
          </w:tcPr>
          <w:p w14:paraId="01BCAE8A">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8</w:t>
            </w:r>
          </w:p>
        </w:tc>
        <w:tc>
          <w:tcPr>
            <w:tcW w:w="5161" w:type="dxa"/>
            <w:noWrap w:val="0"/>
            <w:vAlign w:val="center"/>
          </w:tcPr>
          <w:p w14:paraId="788C7DC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41662AD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7A3B648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69A2EF5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9AA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4DBCFD6">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9</w:t>
            </w:r>
          </w:p>
        </w:tc>
        <w:tc>
          <w:tcPr>
            <w:tcW w:w="5161" w:type="dxa"/>
            <w:noWrap w:val="0"/>
            <w:vAlign w:val="center"/>
          </w:tcPr>
          <w:p w14:paraId="3759C93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20FFD33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0B720DA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6A55D9E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E5A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2D4318A">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10</w:t>
            </w:r>
          </w:p>
        </w:tc>
        <w:tc>
          <w:tcPr>
            <w:tcW w:w="5161" w:type="dxa"/>
            <w:noWrap w:val="0"/>
            <w:vAlign w:val="center"/>
          </w:tcPr>
          <w:p w14:paraId="6346178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2382" w:type="dxa"/>
            <w:noWrap w:val="0"/>
            <w:vAlign w:val="center"/>
          </w:tcPr>
          <w:p w14:paraId="4CC0348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3E06F70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7ACF5DE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1718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center"/>
        </w:trPr>
        <w:tc>
          <w:tcPr>
            <w:tcW w:w="6108" w:type="dxa"/>
            <w:gridSpan w:val="2"/>
            <w:noWrap w:val="0"/>
            <w:vAlign w:val="center"/>
          </w:tcPr>
          <w:p w14:paraId="1D10BEC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2382" w:type="dxa"/>
            <w:noWrap w:val="0"/>
            <w:vAlign w:val="center"/>
          </w:tcPr>
          <w:p w14:paraId="15FF7F2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3407" w:type="dxa"/>
            <w:noWrap w:val="0"/>
            <w:vAlign w:val="center"/>
          </w:tcPr>
          <w:p w14:paraId="53436F0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360" w:type="dxa"/>
            <w:gridSpan w:val="2"/>
            <w:noWrap w:val="0"/>
            <w:vAlign w:val="center"/>
          </w:tcPr>
          <w:p w14:paraId="1E9299F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16FECAA7">
      <w:pPr>
        <w:spacing w:line="360" w:lineRule="exact"/>
        <w:rPr>
          <w:rFonts w:hint="eastAsia" w:cs="宋体"/>
          <w:color w:val="auto"/>
          <w:highlight w:val="none"/>
        </w:rPr>
      </w:pPr>
      <w:r>
        <w:rPr>
          <w:rFonts w:hint="eastAsia" w:cs="宋体"/>
          <w:color w:val="auto"/>
          <w:highlight w:val="none"/>
        </w:rPr>
        <w:t>评标委员会全体</w:t>
      </w:r>
      <w:r>
        <w:rPr>
          <w:rFonts w:cs="宋体"/>
          <w:color w:val="auto"/>
          <w:highlight w:val="none"/>
        </w:rPr>
        <w:t>评委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15590304">
      <w:pPr>
        <w:pStyle w:val="5"/>
        <w:spacing w:line="240" w:lineRule="auto"/>
        <w:rPr>
          <w:rFonts w:hint="default"/>
          <w:color w:val="auto"/>
          <w:sz w:val="28"/>
          <w:szCs w:val="28"/>
          <w:highlight w:val="none"/>
          <w:lang w:val="en-US" w:eastAsia="zh-CN"/>
        </w:rPr>
      </w:pPr>
      <w:bookmarkStart w:id="584" w:name="_Toc1191119050"/>
      <w:bookmarkStart w:id="585" w:name="_Toc9031"/>
      <w:bookmarkStart w:id="586" w:name="_Toc904032556"/>
      <w:bookmarkStart w:id="587" w:name="_Toc32104"/>
      <w:r>
        <w:rPr>
          <w:rFonts w:hint="default"/>
          <w:color w:val="auto"/>
          <w:sz w:val="28"/>
          <w:szCs w:val="28"/>
          <w:highlight w:val="none"/>
        </w:rPr>
        <w:t>附表A－</w:t>
      </w:r>
      <w:r>
        <w:rPr>
          <w:rFonts w:hint="eastAsia"/>
          <w:color w:val="auto"/>
          <w:sz w:val="28"/>
          <w:szCs w:val="28"/>
          <w:highlight w:val="none"/>
          <w:lang w:val="en-US" w:eastAsia="zh-CN"/>
        </w:rPr>
        <w:t>5</w:t>
      </w:r>
      <w:r>
        <w:rPr>
          <w:rFonts w:hint="default"/>
          <w:color w:val="auto"/>
          <w:sz w:val="28"/>
          <w:szCs w:val="28"/>
          <w:highlight w:val="none"/>
        </w:rPr>
        <w:t>：</w:t>
      </w:r>
      <w:r>
        <w:rPr>
          <w:rFonts w:hint="eastAsia"/>
          <w:color w:val="auto"/>
          <w:sz w:val="28"/>
          <w:szCs w:val="28"/>
          <w:highlight w:val="none"/>
          <w:lang w:val="en-US" w:eastAsia="zh-CN"/>
        </w:rPr>
        <w:t>投标文件雷同性分析</w:t>
      </w:r>
    </w:p>
    <w:p w14:paraId="375EB198">
      <w:pPr>
        <w:bidi w:val="0"/>
        <w:ind w:left="0" w:leftChars="0" w:firstLine="0" w:firstLineChars="0"/>
        <w:jc w:val="center"/>
        <w:rPr>
          <w:rFonts w:hint="default" w:ascii="方正黑体_GBK" w:hAnsi="方正黑体_GBK" w:eastAsia="方正黑体_GBK" w:cs="方正黑体_GBK"/>
          <w:color w:val="auto"/>
          <w:sz w:val="30"/>
          <w:szCs w:val="30"/>
          <w:highlight w:val="none"/>
          <w:lang w:val="en-US" w:eastAsia="zh-CN"/>
        </w:rPr>
      </w:pPr>
      <w:r>
        <w:rPr>
          <w:rFonts w:hint="eastAsia" w:ascii="方正黑体_GBK" w:hAnsi="方正黑体_GBK" w:eastAsia="方正黑体_GBK" w:cs="方正黑体_GBK"/>
          <w:color w:val="auto"/>
          <w:sz w:val="30"/>
          <w:szCs w:val="30"/>
          <w:highlight w:val="none"/>
          <w:lang w:val="en-US" w:eastAsia="zh-CN"/>
        </w:rPr>
        <w:t>投标文件雷同性分析</w:t>
      </w:r>
    </w:p>
    <w:p w14:paraId="740AAF9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Times New Roman" w:hAnsi="Times New Roman" w:eastAsia="方正仿宋_GBK" w:cs="Times New Roman"/>
          <w:color w:val="auto"/>
          <w:sz w:val="24"/>
          <w:szCs w:val="24"/>
          <w:highlight w:val="none"/>
        </w:rPr>
      </w:pPr>
    </w:p>
    <w:p w14:paraId="25825329">
      <w:pPr>
        <w:keepNext w:val="0"/>
        <w:keepLines w:val="0"/>
        <w:pageBreakBefore w:val="0"/>
        <w:widowControl w:val="0"/>
        <w:kinsoku/>
        <w:wordWrap/>
        <w:overflowPunct/>
        <w:topLinePunct w:val="0"/>
        <w:autoSpaceDE/>
        <w:autoSpaceDN/>
        <w:bidi w:val="0"/>
        <w:adjustRightInd/>
        <w:snapToGrid/>
        <w:spacing w:after="157" w:afterLines="50" w:line="440" w:lineRule="exact"/>
        <w:ind w:left="0" w:leftChars="0"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default" w:ascii="Times New Roman" w:hAnsi="Times New Roman" w:eastAsia="方正仿宋_GBK" w:cs="Times New Roman"/>
          <w:color w:val="auto"/>
          <w:sz w:val="24"/>
          <w:szCs w:val="24"/>
          <w:highlight w:val="none"/>
        </w:rPr>
        <w:t xml:space="preserve"> </w:t>
      </w:r>
      <w:r>
        <w:rPr>
          <w:rFonts w:hint="eastAsia" w:eastAsia="方正仿宋_GBK" w:cs="Times New Roman"/>
          <w:color w:val="auto"/>
          <w:sz w:val="24"/>
          <w:szCs w:val="24"/>
          <w:highlight w:val="none"/>
          <w:lang w:val="en-US" w:eastAsia="zh-CN"/>
        </w:rPr>
        <w:t xml:space="preserve">                    </w:t>
      </w:r>
      <w:r>
        <w:rPr>
          <w:rFonts w:hint="default" w:ascii="Times New Roman" w:hAnsi="Times New Roman" w:eastAsia="方正仿宋_GBK" w:cs="Times New Roman"/>
          <w:color w:val="auto"/>
          <w:sz w:val="24"/>
          <w:szCs w:val="24"/>
          <w:highlight w:val="none"/>
        </w:rPr>
        <w:t xml:space="preserve">  </w:t>
      </w:r>
      <w:r>
        <w:rPr>
          <w:rFonts w:hint="eastAsia" w:asciiTheme="minorEastAsia" w:hAnsiTheme="minorEastAsia" w:eastAsiaTheme="minorEastAsia" w:cstheme="minorEastAsia"/>
          <w:color w:val="auto"/>
          <w:sz w:val="21"/>
          <w:szCs w:val="21"/>
          <w:highlight w:val="none"/>
        </w:rPr>
        <w:t>时间：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3110"/>
        <w:gridCol w:w="1984"/>
        <w:gridCol w:w="1984"/>
        <w:gridCol w:w="1984"/>
        <w:gridCol w:w="1984"/>
        <w:gridCol w:w="1984"/>
      </w:tblGrid>
      <w:tr w14:paraId="4243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exact"/>
          <w:jc w:val="center"/>
        </w:trPr>
        <w:tc>
          <w:tcPr>
            <w:tcW w:w="1006" w:type="dxa"/>
            <w:noWrap w:val="0"/>
            <w:vAlign w:val="center"/>
          </w:tcPr>
          <w:p w14:paraId="12CC27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序号</w:t>
            </w:r>
          </w:p>
        </w:tc>
        <w:tc>
          <w:tcPr>
            <w:tcW w:w="3110" w:type="dxa"/>
            <w:noWrap w:val="0"/>
            <w:vAlign w:val="center"/>
          </w:tcPr>
          <w:p w14:paraId="02FA5F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1"/>
                <w:szCs w:val="21"/>
                <w:highlight w:val="none"/>
                <w:lang w:val="en-US"/>
              </w:rPr>
            </w:pPr>
            <w:r>
              <w:rPr>
                <w:rFonts w:hint="eastAsia" w:asciiTheme="minorEastAsia" w:hAnsiTheme="minorEastAsia" w:eastAsiaTheme="minorEastAsia" w:cstheme="minorEastAsia"/>
                <w:b/>
                <w:bCs/>
                <w:color w:val="auto"/>
                <w:sz w:val="21"/>
                <w:szCs w:val="21"/>
                <w:highlight w:val="none"/>
                <w:lang w:val="en-US" w:eastAsia="zh-CN"/>
              </w:rPr>
              <w:t>投标人</w:t>
            </w:r>
          </w:p>
        </w:tc>
        <w:tc>
          <w:tcPr>
            <w:tcW w:w="1984" w:type="dxa"/>
            <w:noWrap w:val="0"/>
            <w:vAlign w:val="center"/>
          </w:tcPr>
          <w:p w14:paraId="3A056F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投标文件制作</w:t>
            </w:r>
          </w:p>
          <w:p w14:paraId="507A4C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时间</w:t>
            </w:r>
          </w:p>
        </w:tc>
        <w:tc>
          <w:tcPr>
            <w:tcW w:w="1984" w:type="dxa"/>
            <w:noWrap w:val="0"/>
            <w:vAlign w:val="center"/>
          </w:tcPr>
          <w:p w14:paraId="0EA4B0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文件制作机器码</w:t>
            </w:r>
          </w:p>
        </w:tc>
        <w:tc>
          <w:tcPr>
            <w:tcW w:w="1984" w:type="dxa"/>
            <w:noWrap w:val="0"/>
            <w:vAlign w:val="center"/>
          </w:tcPr>
          <w:p w14:paraId="254BD9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lang w:val="en-US" w:eastAsia="zh-CN"/>
              </w:rPr>
              <w:t>文件创建标识码</w:t>
            </w:r>
          </w:p>
        </w:tc>
        <w:tc>
          <w:tcPr>
            <w:tcW w:w="1984" w:type="dxa"/>
            <w:noWrap w:val="0"/>
            <w:vAlign w:val="center"/>
          </w:tcPr>
          <w:p w14:paraId="48702E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上传时间</w:t>
            </w:r>
          </w:p>
        </w:tc>
        <w:tc>
          <w:tcPr>
            <w:tcW w:w="1984" w:type="dxa"/>
            <w:noWrap w:val="0"/>
            <w:vAlign w:val="center"/>
          </w:tcPr>
          <w:p w14:paraId="4DE51B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造价软件加密</w:t>
            </w:r>
          </w:p>
          <w:p w14:paraId="6AA77E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锁号</w:t>
            </w:r>
          </w:p>
        </w:tc>
      </w:tr>
      <w:tr w14:paraId="5BED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2660A4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3110" w:type="dxa"/>
            <w:noWrap w:val="0"/>
            <w:vAlign w:val="center"/>
          </w:tcPr>
          <w:p w14:paraId="679AAD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0B8036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6E42D4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6D9E04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66D330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53F4AB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r>
      <w:tr w14:paraId="517CD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07148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3110" w:type="dxa"/>
            <w:noWrap w:val="0"/>
            <w:vAlign w:val="center"/>
          </w:tcPr>
          <w:p w14:paraId="7A71C0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08462F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290AFA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4C94F6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5B7006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60D0E4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r>
      <w:tr w14:paraId="10DC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45B290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3110" w:type="dxa"/>
            <w:noWrap w:val="0"/>
            <w:vAlign w:val="center"/>
          </w:tcPr>
          <w:p w14:paraId="60365F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4F5838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2EB7AC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3F54C7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4B4669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6B0AA6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r>
      <w:tr w14:paraId="36289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267BFF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3110" w:type="dxa"/>
            <w:noWrap w:val="0"/>
            <w:vAlign w:val="center"/>
          </w:tcPr>
          <w:p w14:paraId="39845E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5FF2B9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23F1BE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2E9463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1201D2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73D423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r>
      <w:tr w14:paraId="1D55E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500FD3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3110" w:type="dxa"/>
            <w:noWrap w:val="0"/>
            <w:vAlign w:val="center"/>
          </w:tcPr>
          <w:p w14:paraId="7612BE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2251B7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60134E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58AD4B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4832CE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353DD0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r>
      <w:tr w14:paraId="7634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210F75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w:t>
            </w:r>
          </w:p>
        </w:tc>
        <w:tc>
          <w:tcPr>
            <w:tcW w:w="3110" w:type="dxa"/>
            <w:noWrap w:val="0"/>
            <w:vAlign w:val="center"/>
          </w:tcPr>
          <w:p w14:paraId="3CF9AA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4A9AE7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7F544B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4B0EBA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3986AD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984" w:type="dxa"/>
            <w:noWrap w:val="0"/>
            <w:vAlign w:val="center"/>
          </w:tcPr>
          <w:p w14:paraId="0B0C1B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1"/>
                <w:szCs w:val="21"/>
                <w:highlight w:val="none"/>
              </w:rPr>
            </w:pPr>
          </w:p>
        </w:tc>
      </w:tr>
    </w:tbl>
    <w:p w14:paraId="3E45C3DA">
      <w:pPr>
        <w:spacing w:line="440" w:lineRule="exact"/>
        <w:ind w:left="0" w:leftChars="0" w:firstLine="0" w:firstLineChars="0"/>
        <w:rPr>
          <w:rFonts w:hint="eastAsia" w:cs="Times New Roman"/>
          <w:b/>
          <w:color w:val="auto"/>
          <w:sz w:val="21"/>
          <w:szCs w:val="21"/>
          <w:highlight w:val="none"/>
          <w:lang w:val="en-US" w:eastAsia="zh-CN"/>
        </w:rPr>
      </w:pPr>
    </w:p>
    <w:p w14:paraId="6981E57B">
      <w:pPr>
        <w:spacing w:line="440" w:lineRule="exact"/>
        <w:ind w:left="0" w:leftChars="0" w:firstLine="0" w:firstLineChars="0"/>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评标委员会全体成员签字：</w:t>
      </w:r>
    </w:p>
    <w:p w14:paraId="064AD1D9">
      <w:pPr>
        <w:spacing w:line="440" w:lineRule="exact"/>
        <w:ind w:left="0" w:leftChars="0" w:firstLine="0" w:firstLineChars="0"/>
        <w:rPr>
          <w:rFonts w:hint="eastAsia" w:cs="Times New Roman"/>
          <w:b/>
          <w:color w:val="auto"/>
          <w:sz w:val="24"/>
          <w:szCs w:val="24"/>
          <w:highlight w:val="none"/>
          <w:lang w:val="en-US" w:eastAsia="zh-CN"/>
        </w:rPr>
      </w:pPr>
    </w:p>
    <w:p w14:paraId="722689EB">
      <w:pPr>
        <w:spacing w:line="440" w:lineRule="exact"/>
        <w:ind w:left="0" w:leftChars="0" w:firstLine="0" w:firstLineChars="0"/>
        <w:jc w:val="right"/>
        <w:rPr>
          <w:rFonts w:hint="default" w:cs="Times New Roman"/>
          <w:b/>
          <w:color w:val="auto"/>
          <w:sz w:val="24"/>
          <w:szCs w:val="24"/>
          <w:highlight w:val="none"/>
          <w:lang w:val="en-US" w:eastAsia="zh-CN"/>
        </w:rPr>
      </w:pPr>
      <w:r>
        <w:rPr>
          <w:rFonts w:hint="eastAsia" w:cs="Times New Roman"/>
          <w:b w:val="0"/>
          <w:bCs/>
          <w:color w:val="auto"/>
          <w:sz w:val="24"/>
          <w:szCs w:val="24"/>
          <w:highlight w:val="none"/>
          <w:lang w:val="en-US" w:eastAsia="zh-CN"/>
        </w:rPr>
        <w:t>日期：     年     月    日</w:t>
      </w:r>
    </w:p>
    <w:p w14:paraId="3407EAD8">
      <w:pPr>
        <w:pStyle w:val="28"/>
        <w:rPr>
          <w:rFonts w:hint="default"/>
          <w:color w:val="auto"/>
          <w:sz w:val="24"/>
          <w:szCs w:val="24"/>
          <w:highlight w:val="none"/>
          <w:lang w:val="en-US" w:eastAsia="zh-CN"/>
        </w:rPr>
        <w:sectPr>
          <w:pgSz w:w="16838" w:h="11906" w:orient="landscape"/>
          <w:pgMar w:top="1417" w:right="1417" w:bottom="1417" w:left="1417" w:header="851" w:footer="850" w:gutter="0"/>
          <w:pgNumType w:fmt="decimal"/>
          <w:cols w:space="720" w:num="1"/>
          <w:rtlGutter w:val="0"/>
          <w:docGrid w:linePitch="312" w:charSpace="0"/>
        </w:sectPr>
      </w:pPr>
    </w:p>
    <w:p w14:paraId="0AF0D85F">
      <w:pPr>
        <w:pStyle w:val="5"/>
        <w:spacing w:line="240" w:lineRule="auto"/>
        <w:rPr>
          <w:rFonts w:hint="eastAsia"/>
          <w:b w:val="0"/>
          <w:bCs w:val="0"/>
          <w:color w:val="auto"/>
          <w:highlight w:val="none"/>
        </w:rPr>
      </w:pPr>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6</w:t>
      </w:r>
      <w:r>
        <w:rPr>
          <w:rFonts w:hint="eastAsia"/>
          <w:color w:val="auto"/>
          <w:sz w:val="28"/>
          <w:szCs w:val="28"/>
          <w:highlight w:val="none"/>
        </w:rPr>
        <w:t>：形式评审记录表（</w:t>
      </w:r>
      <w:r>
        <w:rPr>
          <w:color w:val="auto"/>
          <w:sz w:val="28"/>
          <w:szCs w:val="28"/>
          <w:highlight w:val="none"/>
        </w:rPr>
        <w:t>商务标）</w:t>
      </w:r>
      <w:bookmarkEnd w:id="584"/>
      <w:bookmarkEnd w:id="585"/>
      <w:bookmarkEnd w:id="586"/>
      <w:bookmarkEnd w:id="587"/>
    </w:p>
    <w:p w14:paraId="696C1B35">
      <w:pPr>
        <w:spacing w:line="440" w:lineRule="exact"/>
        <w:jc w:val="center"/>
        <w:rPr>
          <w:color w:val="auto"/>
          <w:highlight w:val="none"/>
        </w:rPr>
      </w:pPr>
      <w:r>
        <w:rPr>
          <w:rFonts w:hint="eastAsia" w:eastAsia="黑体" w:cs="黑体"/>
          <w:color w:val="auto"/>
          <w:sz w:val="28"/>
          <w:szCs w:val="28"/>
          <w:highlight w:val="none"/>
        </w:rPr>
        <w:t>形式评审记录表（商务标）</w:t>
      </w:r>
    </w:p>
    <w:p w14:paraId="6EA24302">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4029"/>
        <w:gridCol w:w="992"/>
        <w:gridCol w:w="992"/>
        <w:gridCol w:w="993"/>
        <w:gridCol w:w="992"/>
        <w:gridCol w:w="992"/>
        <w:gridCol w:w="992"/>
        <w:gridCol w:w="993"/>
        <w:gridCol w:w="992"/>
        <w:gridCol w:w="965"/>
      </w:tblGrid>
      <w:tr w14:paraId="371F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12" w:type="dxa"/>
            <w:noWrap w:val="0"/>
            <w:vAlign w:val="center"/>
          </w:tcPr>
          <w:p w14:paraId="2B98BA44">
            <w:pPr>
              <w:keepNext w:val="0"/>
              <w:keepLines w:val="0"/>
              <w:suppressLineNumbers w:val="0"/>
              <w:spacing w:before="0" w:beforeAutospacing="0" w:after="72" w:afterLines="30" w:afterAutospacing="0" w:line="440" w:lineRule="exact"/>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4029" w:type="dxa"/>
            <w:noWrap w:val="0"/>
            <w:vAlign w:val="center"/>
          </w:tcPr>
          <w:p w14:paraId="75B1BB2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8903" w:type="dxa"/>
            <w:gridSpan w:val="9"/>
            <w:noWrap w:val="0"/>
            <w:vAlign w:val="center"/>
          </w:tcPr>
          <w:p w14:paraId="082D24C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4718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34E15ACF">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4029" w:type="dxa"/>
            <w:noWrap w:val="0"/>
            <w:vAlign w:val="center"/>
          </w:tcPr>
          <w:p w14:paraId="22B98A9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c>
          <w:tcPr>
            <w:tcW w:w="992" w:type="dxa"/>
            <w:noWrap w:val="0"/>
            <w:vAlign w:val="center"/>
          </w:tcPr>
          <w:p w14:paraId="1410FE6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B1DDA4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7E3D4EF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B431D8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407275E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169E7E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4F0DB59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2553BD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3AE70E4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51513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060965E3">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4029" w:type="dxa"/>
            <w:noWrap w:val="0"/>
            <w:vAlign w:val="center"/>
          </w:tcPr>
          <w:p w14:paraId="278C64F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投标函盖章</w:t>
            </w:r>
          </w:p>
        </w:tc>
        <w:tc>
          <w:tcPr>
            <w:tcW w:w="992" w:type="dxa"/>
            <w:noWrap w:val="0"/>
            <w:vAlign w:val="center"/>
          </w:tcPr>
          <w:p w14:paraId="0CBDF85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1AAC96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1C0867B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5C6A84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E6080D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61B3D6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4951C96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138C869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6B62564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65C8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4EBCC03">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kern w:val="2"/>
                <w:sz w:val="21"/>
                <w:szCs w:val="21"/>
                <w:highlight w:val="none"/>
                <w:lang w:val="en-US" w:eastAsia="zh-CN" w:bidi="ar-SA"/>
              </w:rPr>
            </w:pPr>
            <w:r>
              <w:rPr>
                <w:rFonts w:hint="default" w:ascii="Calibri" w:hAnsi="Calibri" w:eastAsia="黑体" w:cs="Times New Roman"/>
                <w:color w:val="auto"/>
                <w:highlight w:val="none"/>
              </w:rPr>
              <w:t>3</w:t>
            </w:r>
          </w:p>
        </w:tc>
        <w:tc>
          <w:tcPr>
            <w:tcW w:w="4029" w:type="dxa"/>
            <w:noWrap w:val="0"/>
            <w:vAlign w:val="center"/>
          </w:tcPr>
          <w:p w14:paraId="461E9D50">
            <w:pPr>
              <w:keepNext w:val="0"/>
              <w:keepLines w:val="0"/>
              <w:suppressLineNumbers w:val="0"/>
              <w:spacing w:before="0" w:beforeAutospacing="0" w:after="0" w:afterAutospacing="0" w:line="440" w:lineRule="exact"/>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lang w:eastAsia="zh-CN"/>
              </w:rPr>
              <w:t>投</w:t>
            </w:r>
            <w:r>
              <w:rPr>
                <w:rFonts w:hint="eastAsia" w:ascii="Calibri" w:hAnsi="Calibri" w:eastAsia="宋体" w:cs="宋体"/>
                <w:color w:val="auto"/>
                <w:highlight w:val="none"/>
              </w:rPr>
              <w:t>标总价封面</w:t>
            </w:r>
            <w:r>
              <w:rPr>
                <w:rFonts w:hint="eastAsia" w:ascii="Calibri" w:hAnsi="Calibri" w:eastAsia="宋体" w:cs="宋体"/>
                <w:color w:val="auto"/>
                <w:highlight w:val="none"/>
                <w:lang w:eastAsia="zh-CN"/>
              </w:rPr>
              <w:t>扫描件</w:t>
            </w:r>
          </w:p>
        </w:tc>
        <w:tc>
          <w:tcPr>
            <w:tcW w:w="992" w:type="dxa"/>
            <w:noWrap w:val="0"/>
            <w:vAlign w:val="center"/>
          </w:tcPr>
          <w:p w14:paraId="4EDF376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12A1AAB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7F98A06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BA671F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B9A04E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11A2FA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1B1A132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605273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33B49F9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131E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28280819">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kern w:val="2"/>
                <w:sz w:val="21"/>
                <w:szCs w:val="21"/>
                <w:highlight w:val="none"/>
                <w:lang w:val="en-US" w:eastAsia="zh-CN" w:bidi="ar-SA"/>
              </w:rPr>
            </w:pPr>
            <w:r>
              <w:rPr>
                <w:rFonts w:hint="default" w:ascii="Calibri" w:hAnsi="Calibri" w:eastAsia="黑体" w:cs="Times New Roman"/>
                <w:color w:val="auto"/>
                <w:highlight w:val="none"/>
              </w:rPr>
              <w:t>4</w:t>
            </w:r>
          </w:p>
        </w:tc>
        <w:tc>
          <w:tcPr>
            <w:tcW w:w="4029" w:type="dxa"/>
            <w:noWrap w:val="0"/>
            <w:vAlign w:val="center"/>
          </w:tcPr>
          <w:p w14:paraId="31D9379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投标文件格式</w:t>
            </w:r>
          </w:p>
        </w:tc>
        <w:tc>
          <w:tcPr>
            <w:tcW w:w="992" w:type="dxa"/>
            <w:noWrap w:val="0"/>
            <w:vAlign w:val="center"/>
          </w:tcPr>
          <w:p w14:paraId="4482197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FF55F0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5528B19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AED650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7F00D4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A44D66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4FABEF8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39E0DD4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49069B4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299F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3DB36169">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kern w:val="2"/>
                <w:sz w:val="21"/>
                <w:szCs w:val="21"/>
                <w:highlight w:val="none"/>
                <w:lang w:val="en-US" w:eastAsia="zh-CN" w:bidi="ar-SA"/>
              </w:rPr>
            </w:pPr>
            <w:r>
              <w:rPr>
                <w:rFonts w:hint="default" w:ascii="Calibri" w:hAnsi="Calibri" w:eastAsia="黑体" w:cs="Times New Roman"/>
                <w:color w:val="auto"/>
                <w:highlight w:val="none"/>
              </w:rPr>
              <w:t>5</w:t>
            </w:r>
          </w:p>
        </w:tc>
        <w:tc>
          <w:tcPr>
            <w:tcW w:w="4029" w:type="dxa"/>
            <w:noWrap w:val="0"/>
            <w:vAlign w:val="center"/>
          </w:tcPr>
          <w:p w14:paraId="31FCAD6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联合体投标人（如有）</w:t>
            </w:r>
          </w:p>
        </w:tc>
        <w:tc>
          <w:tcPr>
            <w:tcW w:w="992" w:type="dxa"/>
            <w:noWrap w:val="0"/>
            <w:vAlign w:val="center"/>
          </w:tcPr>
          <w:p w14:paraId="57E29A9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64239A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7D539FE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108F73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42A600D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1B6190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0306B93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D49A61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66574AE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6652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4" w:hRule="exact"/>
          <w:jc w:val="center"/>
        </w:trPr>
        <w:tc>
          <w:tcPr>
            <w:tcW w:w="912" w:type="dxa"/>
            <w:noWrap w:val="0"/>
            <w:vAlign w:val="center"/>
          </w:tcPr>
          <w:p w14:paraId="7DCA2FB6">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kern w:val="2"/>
                <w:sz w:val="21"/>
                <w:szCs w:val="21"/>
                <w:highlight w:val="none"/>
                <w:lang w:val="en-US" w:eastAsia="zh-CN" w:bidi="ar-SA"/>
              </w:rPr>
            </w:pPr>
            <w:r>
              <w:rPr>
                <w:rFonts w:hint="default" w:ascii="Calibri" w:hAnsi="Calibri" w:eastAsia="黑体" w:cs="Times New Roman"/>
                <w:color w:val="auto"/>
                <w:highlight w:val="none"/>
              </w:rPr>
              <w:t>6</w:t>
            </w:r>
          </w:p>
        </w:tc>
        <w:tc>
          <w:tcPr>
            <w:tcW w:w="4029" w:type="dxa"/>
            <w:noWrap w:val="0"/>
            <w:vAlign w:val="center"/>
          </w:tcPr>
          <w:p w14:paraId="1A920C0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cs="宋体"/>
                <w:color w:val="auto"/>
                <w:highlight w:val="none"/>
                <w:lang w:eastAsia="zh-CN"/>
              </w:rPr>
              <w:t>报价【</w:t>
            </w:r>
            <w:r>
              <w:rPr>
                <w:rFonts w:hint="eastAsia" w:ascii="Calibri" w:hAnsi="Calibri" w:cs="宋体"/>
                <w:color w:val="auto"/>
                <w:highlight w:val="none"/>
                <w:lang w:val="en-US" w:eastAsia="zh-CN"/>
              </w:rPr>
              <w:t>1.</w:t>
            </w:r>
            <w:r>
              <w:rPr>
                <w:rFonts w:hint="eastAsia" w:ascii="Calibri" w:hAnsi="Calibri" w:eastAsia="宋体" w:cs="宋体"/>
                <w:color w:val="auto"/>
                <w:highlight w:val="none"/>
              </w:rPr>
              <w:t>报价唯一</w:t>
            </w:r>
            <w:r>
              <w:rPr>
                <w:rFonts w:hint="eastAsia" w:ascii="Calibri" w:hAnsi="Calibri" w:cs="宋体"/>
                <w:color w:val="auto"/>
                <w:highlight w:val="none"/>
                <w:lang w:eastAsia="zh-CN"/>
              </w:rPr>
              <w:t>，</w:t>
            </w:r>
            <w:r>
              <w:rPr>
                <w:rFonts w:hint="eastAsia" w:ascii="Calibri" w:hAnsi="Calibri" w:eastAsia="宋体" w:cs="宋体"/>
                <w:color w:val="auto"/>
                <w:highlight w:val="none"/>
              </w:rPr>
              <w:t>只能有一个有效报价；</w:t>
            </w:r>
            <w:r>
              <w:rPr>
                <w:rFonts w:hint="eastAsia" w:ascii="Calibri" w:hAnsi="Calibri" w:cs="宋体"/>
                <w:color w:val="auto"/>
                <w:highlight w:val="none"/>
                <w:lang w:val="en-US" w:eastAsia="zh-CN"/>
              </w:rPr>
              <w:t>2.</w:t>
            </w:r>
            <w:r>
              <w:rPr>
                <w:rFonts w:hint="eastAsia" w:ascii="Calibri" w:hAnsi="Calibri" w:eastAsia="宋体" w:cs="宋体"/>
                <w:color w:val="auto"/>
                <w:highlight w:val="none"/>
              </w:rPr>
              <w:t>所有投标报价均大于等于</w:t>
            </w:r>
            <w:r>
              <w:rPr>
                <w:rFonts w:hint="eastAsia" w:ascii="Calibri" w:hAnsi="Calibri" w:eastAsia="宋体" w:cs="宋体"/>
                <w:color w:val="auto"/>
                <w:highlight w:val="none"/>
                <w:lang w:eastAsia="zh-CN"/>
              </w:rPr>
              <w:t>最高投标限价</w:t>
            </w:r>
            <w:r>
              <w:rPr>
                <w:rFonts w:hint="default" w:ascii="Calibri" w:hAnsi="Calibri" w:eastAsia="宋体" w:cs="宋体"/>
                <w:color w:val="auto"/>
                <w:highlight w:val="none"/>
              </w:rPr>
              <w:t>x</w:t>
            </w:r>
            <w:r>
              <w:rPr>
                <w:rFonts w:hint="eastAsia" w:ascii="Calibri" w:hAnsi="Calibri" w:eastAsia="宋体" w:cs="宋体"/>
                <w:color w:val="auto"/>
                <w:highlight w:val="none"/>
              </w:rPr>
              <w:t>（1-D%）的，则本项目招标失败，由招标人依法重新招标。D=</w:t>
            </w:r>
            <w:r>
              <w:rPr>
                <w:rFonts w:hint="eastAsia" w:ascii="Calibri" w:hAnsi="Calibri" w:eastAsia="宋体" w:cs="宋体"/>
                <w:color w:val="auto"/>
                <w:highlight w:val="none"/>
                <w:u w:val="single"/>
              </w:rPr>
              <w:t xml:space="preserve">    </w:t>
            </w:r>
            <w:r>
              <w:rPr>
                <w:rFonts w:hint="eastAsia" w:ascii="Calibri" w:hAnsi="Calibri" w:eastAsia="宋体" w:cs="宋体"/>
                <w:color w:val="auto"/>
                <w:highlight w:val="none"/>
              </w:rPr>
              <w:t>（</w:t>
            </w:r>
            <w:r>
              <w:rPr>
                <w:rFonts w:hint="eastAsia" w:ascii="方正楷体_GB2312" w:hAnsi="方正楷体_GB2312" w:eastAsia="方正楷体_GB2312" w:cs="方正楷体_GB2312"/>
                <w:color w:val="auto"/>
                <w:highlight w:val="none"/>
              </w:rPr>
              <w:t>备注：由招标人在招标文件中确定，D值可取（0~5）</w:t>
            </w:r>
            <w:r>
              <w:rPr>
                <w:rFonts w:hint="eastAsia" w:ascii="Calibri" w:hAnsi="Calibri" w:cs="宋体"/>
                <w:color w:val="auto"/>
                <w:highlight w:val="none"/>
                <w:lang w:eastAsia="zh-CN"/>
              </w:rPr>
              <w:t>】</w:t>
            </w:r>
          </w:p>
        </w:tc>
        <w:tc>
          <w:tcPr>
            <w:tcW w:w="992" w:type="dxa"/>
            <w:noWrap w:val="0"/>
            <w:vAlign w:val="center"/>
          </w:tcPr>
          <w:p w14:paraId="7405280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0FB5C4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709A021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A56C11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1B9CBF3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665F32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5F05D81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3CD4E5C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288B955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13D3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354ACB44">
            <w:pPr>
              <w:keepNext w:val="0"/>
              <w:keepLines w:val="0"/>
              <w:suppressLineNumbers w:val="0"/>
              <w:spacing w:before="0" w:beforeAutospacing="0" w:after="0" w:afterAutospacing="0" w:line="440" w:lineRule="exact"/>
              <w:ind w:left="0" w:right="0"/>
              <w:jc w:val="center"/>
              <w:rPr>
                <w:rFonts w:hint="eastAsia" w:ascii="Calibri" w:hAnsi="Calibri" w:eastAsia="黑体" w:cs="Times New Roman"/>
                <w:color w:val="auto"/>
                <w:highlight w:val="none"/>
                <w:lang w:val="en-US" w:eastAsia="zh-CN"/>
              </w:rPr>
            </w:pPr>
            <w:r>
              <w:rPr>
                <w:rFonts w:hint="eastAsia" w:ascii="Calibri" w:hAnsi="Calibri" w:eastAsia="黑体" w:cs="Times New Roman"/>
                <w:color w:val="auto"/>
                <w:highlight w:val="none"/>
                <w:lang w:val="en-US" w:eastAsia="zh-CN"/>
              </w:rPr>
              <w:t>7</w:t>
            </w:r>
          </w:p>
        </w:tc>
        <w:tc>
          <w:tcPr>
            <w:tcW w:w="4029" w:type="dxa"/>
            <w:noWrap w:val="0"/>
            <w:vAlign w:val="center"/>
          </w:tcPr>
          <w:p w14:paraId="1E08B3B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992" w:type="dxa"/>
            <w:noWrap w:val="0"/>
            <w:vAlign w:val="center"/>
          </w:tcPr>
          <w:p w14:paraId="2E5BF62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FE7AFE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6BE8CD3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2C06EB5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48B7984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9E0FE2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4DEA3C6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0EA3A9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00A8479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5834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590519BF">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p>
        </w:tc>
        <w:tc>
          <w:tcPr>
            <w:tcW w:w="4029" w:type="dxa"/>
            <w:noWrap w:val="0"/>
            <w:vAlign w:val="center"/>
          </w:tcPr>
          <w:p w14:paraId="33CA644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992" w:type="dxa"/>
            <w:noWrap w:val="0"/>
            <w:vAlign w:val="center"/>
          </w:tcPr>
          <w:p w14:paraId="01D2EFF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63A9F47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0EFD860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3CA646E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7A40F13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060946A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3" w:type="dxa"/>
            <w:noWrap w:val="0"/>
            <w:vAlign w:val="center"/>
          </w:tcPr>
          <w:p w14:paraId="2CB161B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92" w:type="dxa"/>
            <w:noWrap w:val="0"/>
            <w:vAlign w:val="center"/>
          </w:tcPr>
          <w:p w14:paraId="5A8D68D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965" w:type="dxa"/>
            <w:noWrap w:val="0"/>
            <w:vAlign w:val="center"/>
          </w:tcPr>
          <w:p w14:paraId="25C7CBB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697AFCBA">
      <w:pPr>
        <w:spacing w:line="440" w:lineRule="exact"/>
        <w:rPr>
          <w:rFonts w:eastAsia="楷体_GB2312"/>
          <w:color w:val="auto"/>
          <w:highlight w:val="none"/>
        </w:rPr>
      </w:pPr>
      <w:r>
        <w:rPr>
          <w:rFonts w:hint="eastAsia" w:eastAsia="楷体_GB2312" w:cs="楷体_GB2312"/>
          <w:color w:val="auto"/>
          <w:highlight w:val="none"/>
        </w:rPr>
        <w:t>【备注：本表可根据评分办法的需要进行调整】</w:t>
      </w:r>
    </w:p>
    <w:p w14:paraId="69476787">
      <w:pPr>
        <w:spacing w:line="440" w:lineRule="exact"/>
        <w:rPr>
          <w:color w:val="auto"/>
          <w:highlight w:val="none"/>
        </w:rPr>
      </w:pPr>
    </w:p>
    <w:p w14:paraId="6C8D1298">
      <w:pPr>
        <w:spacing w:line="440" w:lineRule="exact"/>
        <w:rPr>
          <w:rFonts w:cs="宋体"/>
          <w:color w:val="auto"/>
          <w:highlight w:val="none"/>
        </w:rPr>
      </w:pPr>
      <w:r>
        <w:rPr>
          <w:rFonts w:hint="eastAsia" w:cs="宋体"/>
          <w:color w:val="auto"/>
          <w:highlight w:val="none"/>
        </w:rPr>
        <w:t>评标委员会全体商务标评</w:t>
      </w:r>
      <w:r>
        <w:rPr>
          <w:rFonts w:cs="宋体"/>
          <w:color w:val="auto"/>
          <w:highlight w:val="none"/>
        </w:rPr>
        <w:t>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18784225">
      <w:pPr>
        <w:spacing w:line="440" w:lineRule="exact"/>
        <w:rPr>
          <w:rFonts w:cs="宋体"/>
          <w:color w:val="auto"/>
          <w:highlight w:val="none"/>
        </w:rPr>
      </w:pPr>
    </w:p>
    <w:p w14:paraId="2D51EAEE">
      <w:pPr>
        <w:spacing w:line="440" w:lineRule="exact"/>
        <w:rPr>
          <w:rFonts w:hint="eastAsia" w:cs="宋体"/>
          <w:color w:val="auto"/>
          <w:highlight w:val="none"/>
        </w:rPr>
      </w:pPr>
    </w:p>
    <w:p w14:paraId="3278DE82">
      <w:pPr>
        <w:pStyle w:val="5"/>
        <w:spacing w:line="240" w:lineRule="auto"/>
        <w:rPr>
          <w:rFonts w:hint="eastAsia"/>
          <w:color w:val="auto"/>
          <w:sz w:val="28"/>
          <w:szCs w:val="28"/>
          <w:highlight w:val="none"/>
        </w:rPr>
      </w:pPr>
      <w:bookmarkStart w:id="588" w:name="_Toc19936"/>
      <w:bookmarkStart w:id="589" w:name="_Toc34802557"/>
      <w:bookmarkStart w:id="590" w:name="_Toc24258"/>
      <w:bookmarkStart w:id="591" w:name="_Toc1623624888"/>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7</w:t>
      </w:r>
      <w:r>
        <w:rPr>
          <w:rFonts w:hint="eastAsia"/>
          <w:color w:val="auto"/>
          <w:sz w:val="28"/>
          <w:szCs w:val="28"/>
          <w:highlight w:val="none"/>
        </w:rPr>
        <w:t>：形式评审记录表（</w:t>
      </w:r>
      <w:r>
        <w:rPr>
          <w:color w:val="auto"/>
          <w:sz w:val="28"/>
          <w:szCs w:val="28"/>
          <w:highlight w:val="none"/>
        </w:rPr>
        <w:t>技术标）</w:t>
      </w:r>
      <w:bookmarkEnd w:id="588"/>
      <w:bookmarkEnd w:id="589"/>
      <w:bookmarkEnd w:id="590"/>
      <w:bookmarkEnd w:id="591"/>
    </w:p>
    <w:p w14:paraId="44E60A14">
      <w:pPr>
        <w:spacing w:line="440" w:lineRule="exact"/>
        <w:jc w:val="center"/>
        <w:rPr>
          <w:color w:val="auto"/>
          <w:highlight w:val="none"/>
        </w:rPr>
      </w:pPr>
      <w:r>
        <w:rPr>
          <w:rFonts w:hint="eastAsia" w:eastAsia="黑体" w:cs="黑体"/>
          <w:color w:val="auto"/>
          <w:sz w:val="28"/>
          <w:szCs w:val="28"/>
          <w:highlight w:val="none"/>
        </w:rPr>
        <w:t>形式评审记录表（技术标）</w:t>
      </w:r>
    </w:p>
    <w:p w14:paraId="1F0EBEA7">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5DCB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12" w:type="dxa"/>
            <w:noWrap w:val="0"/>
            <w:vAlign w:val="center"/>
          </w:tcPr>
          <w:p w14:paraId="70F69650">
            <w:pPr>
              <w:keepNext w:val="0"/>
              <w:keepLines w:val="0"/>
              <w:suppressLineNumbers w:val="0"/>
              <w:spacing w:before="0" w:beforeAutospacing="0" w:after="72" w:afterLines="30" w:afterAutospacing="0" w:line="440" w:lineRule="exact"/>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156" w:type="dxa"/>
            <w:noWrap w:val="0"/>
            <w:vAlign w:val="center"/>
          </w:tcPr>
          <w:p w14:paraId="7A3ACAA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776" w:type="dxa"/>
            <w:gridSpan w:val="9"/>
            <w:noWrap w:val="0"/>
            <w:vAlign w:val="center"/>
          </w:tcPr>
          <w:p w14:paraId="0EB8C18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0A67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38143074">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156" w:type="dxa"/>
            <w:noWrap w:val="0"/>
            <w:vAlign w:val="center"/>
          </w:tcPr>
          <w:p w14:paraId="23FE24F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c>
          <w:tcPr>
            <w:tcW w:w="1197" w:type="dxa"/>
            <w:noWrap w:val="0"/>
            <w:vAlign w:val="center"/>
          </w:tcPr>
          <w:p w14:paraId="55E94EA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6FB26E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0FFCFF5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A7EEF5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2C6224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066C4C2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34D634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08CF7A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660F03A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67AD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53011EA6">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156" w:type="dxa"/>
            <w:noWrap w:val="0"/>
            <w:vAlign w:val="center"/>
          </w:tcPr>
          <w:p w14:paraId="0724B9C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投标文件格式</w:t>
            </w:r>
          </w:p>
        </w:tc>
        <w:tc>
          <w:tcPr>
            <w:tcW w:w="1197" w:type="dxa"/>
            <w:noWrap w:val="0"/>
            <w:vAlign w:val="center"/>
          </w:tcPr>
          <w:p w14:paraId="15C2C17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A16E02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63A0587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28B91F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624E02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0116184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621E1FA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826414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78588DB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2A69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400BFD13">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156" w:type="dxa"/>
            <w:noWrap w:val="0"/>
            <w:vAlign w:val="center"/>
          </w:tcPr>
          <w:p w14:paraId="0362A0C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联合体投标人（如有）</w:t>
            </w:r>
          </w:p>
        </w:tc>
        <w:tc>
          <w:tcPr>
            <w:tcW w:w="1197" w:type="dxa"/>
            <w:noWrap w:val="0"/>
            <w:vAlign w:val="center"/>
          </w:tcPr>
          <w:p w14:paraId="71FE05E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E6923D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2C3B213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39DAD68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ECCD20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0D4F421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F23D27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32BCBC5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626A65F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11D3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0BA5D211">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2156" w:type="dxa"/>
            <w:noWrap w:val="0"/>
            <w:vAlign w:val="center"/>
          </w:tcPr>
          <w:p w14:paraId="44A1622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7BBD94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3886C5C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415301CA">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1F8D6F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3E1286A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60D12EB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B5D755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DB6DD4B">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7D7B1E41">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6604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1038178A">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2156" w:type="dxa"/>
            <w:noWrap w:val="0"/>
            <w:vAlign w:val="center"/>
          </w:tcPr>
          <w:p w14:paraId="47C0E36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5208038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3812D6B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661B190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197D79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F1D244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7EAB437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408AD1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65F8F9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649CD1A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50DE1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6780394E">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2156" w:type="dxa"/>
            <w:noWrap w:val="0"/>
            <w:vAlign w:val="center"/>
          </w:tcPr>
          <w:p w14:paraId="4B90E750">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1197" w:type="dxa"/>
            <w:noWrap w:val="0"/>
            <w:vAlign w:val="center"/>
          </w:tcPr>
          <w:p w14:paraId="6D5B4F6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4DCF8D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62A3DA3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7341F6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E1E267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0E40B11D">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23799F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8F66CD5">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2FCF262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r w14:paraId="102B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912" w:type="dxa"/>
            <w:noWrap w:val="0"/>
            <w:vAlign w:val="center"/>
          </w:tcPr>
          <w:p w14:paraId="38C33356">
            <w:pPr>
              <w:keepNext w:val="0"/>
              <w:keepLines w:val="0"/>
              <w:suppressLineNumbers w:val="0"/>
              <w:spacing w:before="0" w:beforeAutospacing="0" w:after="0" w:afterAutospacing="0" w:line="440" w:lineRule="exact"/>
              <w:ind w:left="0" w:right="0"/>
              <w:jc w:val="center"/>
              <w:rPr>
                <w:rFonts w:hint="default" w:ascii="Calibri" w:hAnsi="Calibri" w:eastAsia="黑体" w:cs="Times New Roman"/>
                <w:color w:val="auto"/>
                <w:highlight w:val="none"/>
              </w:rPr>
            </w:pPr>
          </w:p>
        </w:tc>
        <w:tc>
          <w:tcPr>
            <w:tcW w:w="2156" w:type="dxa"/>
            <w:noWrap w:val="0"/>
            <w:vAlign w:val="center"/>
          </w:tcPr>
          <w:p w14:paraId="6BBA852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197" w:type="dxa"/>
            <w:noWrap w:val="0"/>
            <w:vAlign w:val="center"/>
          </w:tcPr>
          <w:p w14:paraId="34243BEE">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14E500D8">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7B1AC4F9">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26119797">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71705163">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04396D84">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0352BF76">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7" w:type="dxa"/>
            <w:noWrap w:val="0"/>
            <w:vAlign w:val="center"/>
          </w:tcPr>
          <w:p w14:paraId="410383F2">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c>
          <w:tcPr>
            <w:tcW w:w="1198" w:type="dxa"/>
            <w:noWrap w:val="0"/>
            <w:vAlign w:val="center"/>
          </w:tcPr>
          <w:p w14:paraId="1243B64F">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p>
        </w:tc>
      </w:tr>
    </w:tbl>
    <w:p w14:paraId="3986D9D5">
      <w:pPr>
        <w:spacing w:line="440" w:lineRule="exact"/>
        <w:rPr>
          <w:rFonts w:eastAsia="楷体_GB2312"/>
          <w:color w:val="auto"/>
          <w:highlight w:val="none"/>
        </w:rPr>
      </w:pPr>
      <w:r>
        <w:rPr>
          <w:rFonts w:hint="eastAsia" w:eastAsia="楷体_GB2312" w:cs="楷体_GB2312"/>
          <w:color w:val="auto"/>
          <w:highlight w:val="none"/>
        </w:rPr>
        <w:t>【备注：本表可根据评分办法的需要进行调整】</w:t>
      </w:r>
    </w:p>
    <w:p w14:paraId="578F10DC">
      <w:pPr>
        <w:spacing w:line="440" w:lineRule="exact"/>
        <w:rPr>
          <w:color w:val="auto"/>
          <w:highlight w:val="none"/>
        </w:rPr>
      </w:pPr>
    </w:p>
    <w:p w14:paraId="184136D2">
      <w:pPr>
        <w:spacing w:line="440" w:lineRule="exact"/>
        <w:rPr>
          <w:rFonts w:hint="eastAsia"/>
          <w:color w:val="auto"/>
          <w:highlight w:val="none"/>
        </w:rPr>
      </w:pPr>
      <w:r>
        <w:rPr>
          <w:rFonts w:hint="eastAsia" w:cs="宋体"/>
          <w:color w:val="auto"/>
          <w:highlight w:val="none"/>
        </w:rPr>
        <w:t>评标委员会全体技术标评</w:t>
      </w:r>
      <w:r>
        <w:rPr>
          <w:rFonts w:cs="宋体"/>
          <w:color w:val="auto"/>
          <w:highlight w:val="none"/>
        </w:rPr>
        <w:t>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16409A04">
      <w:pPr>
        <w:pStyle w:val="5"/>
        <w:spacing w:line="240" w:lineRule="auto"/>
        <w:rPr>
          <w:b w:val="0"/>
          <w:bCs w:val="0"/>
          <w:color w:val="auto"/>
          <w:highlight w:val="none"/>
        </w:rPr>
      </w:pPr>
      <w:r>
        <w:rPr>
          <w:color w:val="auto"/>
          <w:highlight w:val="none"/>
        </w:rPr>
        <w:br w:type="page"/>
      </w:r>
      <w:bookmarkStart w:id="592" w:name="_Toc871536358"/>
      <w:bookmarkStart w:id="593" w:name="_Toc1809818680"/>
      <w:bookmarkStart w:id="594" w:name="_Toc1542"/>
      <w:bookmarkStart w:id="595" w:name="_Toc31135"/>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8</w:t>
      </w:r>
      <w:r>
        <w:rPr>
          <w:rFonts w:hint="eastAsia"/>
          <w:color w:val="auto"/>
          <w:sz w:val="28"/>
          <w:szCs w:val="28"/>
          <w:highlight w:val="none"/>
        </w:rPr>
        <w:t>：响应性评审记录表（商务标）</w:t>
      </w:r>
      <w:bookmarkEnd w:id="592"/>
      <w:bookmarkEnd w:id="593"/>
      <w:bookmarkEnd w:id="594"/>
      <w:bookmarkEnd w:id="595"/>
    </w:p>
    <w:p w14:paraId="5988139C">
      <w:pPr>
        <w:spacing w:line="440" w:lineRule="exact"/>
        <w:jc w:val="center"/>
        <w:rPr>
          <w:rFonts w:hint="eastAsia"/>
          <w:color w:val="auto"/>
          <w:highlight w:val="none"/>
        </w:rPr>
      </w:pPr>
      <w:r>
        <w:rPr>
          <w:rFonts w:hint="eastAsia" w:eastAsia="黑体" w:cs="黑体"/>
          <w:color w:val="auto"/>
          <w:sz w:val="28"/>
          <w:szCs w:val="28"/>
          <w:highlight w:val="none"/>
        </w:rPr>
        <w:t>响应性评审记录表（</w:t>
      </w:r>
      <w:r>
        <w:rPr>
          <w:rFonts w:eastAsia="黑体" w:cs="黑体"/>
          <w:color w:val="auto"/>
          <w:sz w:val="28"/>
          <w:szCs w:val="28"/>
          <w:highlight w:val="none"/>
        </w:rPr>
        <w:t>商务标）</w:t>
      </w:r>
    </w:p>
    <w:p w14:paraId="297F1E02">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6154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4C6DB507">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156" w:type="dxa"/>
            <w:vMerge w:val="restart"/>
            <w:noWrap w:val="0"/>
            <w:vAlign w:val="center"/>
          </w:tcPr>
          <w:p w14:paraId="6F7ECF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776" w:type="dxa"/>
            <w:gridSpan w:val="9"/>
            <w:noWrap w:val="0"/>
            <w:vAlign w:val="center"/>
          </w:tcPr>
          <w:p w14:paraId="0BE386A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0000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742D9C0A">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p>
        </w:tc>
        <w:tc>
          <w:tcPr>
            <w:tcW w:w="2156" w:type="dxa"/>
            <w:vMerge w:val="continue"/>
            <w:noWrap w:val="0"/>
            <w:vAlign w:val="center"/>
          </w:tcPr>
          <w:p w14:paraId="6D43EB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1F09D3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191EA1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3D429F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6E06C77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6A0BC93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6BAAFE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3B7C08F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05108D4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4F4EB5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0FA1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773F014B">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156" w:type="dxa"/>
            <w:noWrap w:val="0"/>
            <w:vAlign w:val="center"/>
          </w:tcPr>
          <w:p w14:paraId="77AE1B35">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宋体"/>
                <w:color w:val="auto"/>
                <w:highlight w:val="none"/>
              </w:rPr>
              <w:t>投标内容</w:t>
            </w:r>
          </w:p>
        </w:tc>
        <w:tc>
          <w:tcPr>
            <w:tcW w:w="1197" w:type="dxa"/>
            <w:noWrap w:val="0"/>
            <w:vAlign w:val="center"/>
          </w:tcPr>
          <w:p w14:paraId="3DC521C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DCBB29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255207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99482D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6B8A4D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0743C1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E848FD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770C38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E4A259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E49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8939D89">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156" w:type="dxa"/>
            <w:noWrap w:val="0"/>
            <w:vAlign w:val="center"/>
          </w:tcPr>
          <w:p w14:paraId="08C3524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工期</w:t>
            </w:r>
          </w:p>
        </w:tc>
        <w:tc>
          <w:tcPr>
            <w:tcW w:w="1197" w:type="dxa"/>
            <w:noWrap w:val="0"/>
            <w:vAlign w:val="center"/>
          </w:tcPr>
          <w:p w14:paraId="1144140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F6EC16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DFFC1D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49892C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696D1C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203BF0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15F0BC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EFC46A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D0F6B8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8B7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781B4C5">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156" w:type="dxa"/>
            <w:noWrap w:val="0"/>
            <w:vAlign w:val="center"/>
          </w:tcPr>
          <w:p w14:paraId="3538D00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工程质量</w:t>
            </w:r>
          </w:p>
        </w:tc>
        <w:tc>
          <w:tcPr>
            <w:tcW w:w="1197" w:type="dxa"/>
            <w:noWrap w:val="0"/>
            <w:vAlign w:val="center"/>
          </w:tcPr>
          <w:p w14:paraId="6AC2CFD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A460C4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EEAD3D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0825E8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441E72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E3AC60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32EDE8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F6C39A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AF3AEF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CAF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25BDC25">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2156" w:type="dxa"/>
            <w:noWrap w:val="0"/>
            <w:vAlign w:val="center"/>
          </w:tcPr>
          <w:p w14:paraId="0B9C586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投标有效期</w:t>
            </w:r>
          </w:p>
        </w:tc>
        <w:tc>
          <w:tcPr>
            <w:tcW w:w="1197" w:type="dxa"/>
            <w:noWrap w:val="0"/>
            <w:vAlign w:val="center"/>
          </w:tcPr>
          <w:p w14:paraId="297CF29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AD8E90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30D624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1D9C87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6ABCF6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8B08FA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B7B603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2A9272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1A1613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06C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419928F">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2156" w:type="dxa"/>
            <w:noWrap w:val="0"/>
            <w:vAlign w:val="center"/>
          </w:tcPr>
          <w:p w14:paraId="1B98D07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权利义务</w:t>
            </w:r>
          </w:p>
        </w:tc>
        <w:tc>
          <w:tcPr>
            <w:tcW w:w="1197" w:type="dxa"/>
            <w:noWrap w:val="0"/>
            <w:vAlign w:val="center"/>
          </w:tcPr>
          <w:p w14:paraId="6123970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670817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EEC4C4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C31430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74FC73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650625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414809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945280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13D180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48D6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CD720F1">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2156" w:type="dxa"/>
            <w:noWrap w:val="0"/>
            <w:vAlign w:val="center"/>
          </w:tcPr>
          <w:p w14:paraId="71E750F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技术标准和要求</w:t>
            </w:r>
          </w:p>
        </w:tc>
        <w:tc>
          <w:tcPr>
            <w:tcW w:w="1197" w:type="dxa"/>
            <w:noWrap w:val="0"/>
            <w:vAlign w:val="center"/>
          </w:tcPr>
          <w:p w14:paraId="13CB5E2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ECBFE6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DEB355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F7A69D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6D2DAB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F65A79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C0BF61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48FEC9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3392E6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97E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0198B79">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2156" w:type="dxa"/>
            <w:noWrap w:val="0"/>
            <w:vAlign w:val="center"/>
          </w:tcPr>
          <w:p w14:paraId="6F39C02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投标价格</w:t>
            </w:r>
          </w:p>
        </w:tc>
        <w:tc>
          <w:tcPr>
            <w:tcW w:w="1197" w:type="dxa"/>
            <w:noWrap w:val="0"/>
            <w:vAlign w:val="center"/>
          </w:tcPr>
          <w:p w14:paraId="7D32B0A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2C063C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6B85F3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B65CD3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C3E36C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E733B2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2CFDFA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68D32E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7BC231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69C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9388A1F">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8</w:t>
            </w:r>
          </w:p>
        </w:tc>
        <w:tc>
          <w:tcPr>
            <w:tcW w:w="2156" w:type="dxa"/>
            <w:noWrap w:val="0"/>
            <w:vAlign w:val="center"/>
          </w:tcPr>
          <w:p w14:paraId="2353D8B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分包计划（如有）</w:t>
            </w:r>
          </w:p>
        </w:tc>
        <w:tc>
          <w:tcPr>
            <w:tcW w:w="1197" w:type="dxa"/>
            <w:noWrap w:val="0"/>
            <w:vAlign w:val="center"/>
          </w:tcPr>
          <w:p w14:paraId="6503293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6CC3F2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431A95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BA928A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1D37AD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514B67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F0EEEF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E9282E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63E312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281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66EAA23">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9</w:t>
            </w:r>
          </w:p>
        </w:tc>
        <w:tc>
          <w:tcPr>
            <w:tcW w:w="2156" w:type="dxa"/>
            <w:noWrap w:val="0"/>
            <w:vAlign w:val="center"/>
          </w:tcPr>
          <w:p w14:paraId="75BC38F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已标价工程量清单</w:t>
            </w:r>
          </w:p>
        </w:tc>
        <w:tc>
          <w:tcPr>
            <w:tcW w:w="1197" w:type="dxa"/>
            <w:noWrap w:val="0"/>
            <w:vAlign w:val="center"/>
          </w:tcPr>
          <w:p w14:paraId="4737AE5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B1B6BA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A27BBC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B5CAA4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0E46F5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92C4D2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D0C6B9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88A45C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C03A32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0480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D90F077">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10</w:t>
            </w:r>
          </w:p>
        </w:tc>
        <w:tc>
          <w:tcPr>
            <w:tcW w:w="2156" w:type="dxa"/>
            <w:noWrap w:val="0"/>
            <w:vAlign w:val="center"/>
          </w:tcPr>
          <w:p w14:paraId="7DD0E2B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1197" w:type="dxa"/>
            <w:noWrap w:val="0"/>
            <w:vAlign w:val="center"/>
          </w:tcPr>
          <w:p w14:paraId="288844D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AEBB0D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047AC8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41D8F1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232C52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B298D1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82E657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04F650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1E64D2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8CE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68" w:type="dxa"/>
            <w:gridSpan w:val="2"/>
            <w:noWrap w:val="0"/>
            <w:vAlign w:val="center"/>
          </w:tcPr>
          <w:p w14:paraId="4AE4B13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197" w:type="dxa"/>
            <w:noWrap w:val="0"/>
            <w:vAlign w:val="center"/>
          </w:tcPr>
          <w:p w14:paraId="7DC9E85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69A13C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4151AC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18ED46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CBDFB8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3466C8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09464B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B03626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3737C7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4511268A">
      <w:pPr>
        <w:spacing w:line="360" w:lineRule="exact"/>
        <w:rPr>
          <w:rFonts w:eastAsia="楷体_GB2312"/>
          <w:color w:val="auto"/>
          <w:highlight w:val="none"/>
        </w:rPr>
      </w:pPr>
      <w:r>
        <w:rPr>
          <w:rFonts w:hint="eastAsia" w:eastAsia="楷体_GB2312" w:cs="楷体_GB2312"/>
          <w:color w:val="auto"/>
          <w:highlight w:val="none"/>
        </w:rPr>
        <w:t>【备注：本表可根据评分办法需要分为商务标响应性评审记录表和技术标响应性评审记录表</w:t>
      </w:r>
      <w:r>
        <w:rPr>
          <w:rFonts w:hint="eastAsia" w:eastAsia="楷体_GB2312" w:cs="楷体_GB2312"/>
          <w:color w:val="auto"/>
          <w:highlight w:val="none"/>
          <w:lang w:eastAsia="zh-CN"/>
        </w:rPr>
        <w:t>】</w:t>
      </w:r>
    </w:p>
    <w:p w14:paraId="72EE948A">
      <w:pPr>
        <w:spacing w:line="360" w:lineRule="exact"/>
        <w:rPr>
          <w:color w:val="auto"/>
          <w:highlight w:val="none"/>
        </w:rPr>
      </w:pPr>
    </w:p>
    <w:p w14:paraId="0089A1E9">
      <w:pPr>
        <w:spacing w:line="360" w:lineRule="exact"/>
        <w:rPr>
          <w:rFonts w:cs="宋体"/>
          <w:color w:val="auto"/>
          <w:highlight w:val="none"/>
        </w:rPr>
      </w:pPr>
      <w:r>
        <w:rPr>
          <w:rFonts w:hint="eastAsia" w:cs="宋体"/>
          <w:color w:val="auto"/>
          <w:highlight w:val="none"/>
        </w:rPr>
        <w:t>评标委员会全体商务标评</w:t>
      </w:r>
      <w:r>
        <w:rPr>
          <w:rFonts w:cs="宋体"/>
          <w:color w:val="auto"/>
          <w:highlight w:val="none"/>
        </w:rPr>
        <w:t>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5185AB05">
      <w:pPr>
        <w:spacing w:line="360" w:lineRule="exact"/>
        <w:rPr>
          <w:rFonts w:cs="宋体"/>
          <w:color w:val="auto"/>
          <w:highlight w:val="none"/>
        </w:rPr>
      </w:pPr>
    </w:p>
    <w:p w14:paraId="483A06FA">
      <w:pPr>
        <w:bidi w:val="0"/>
        <w:rPr>
          <w:rFonts w:hint="eastAsia"/>
          <w:color w:val="auto"/>
          <w:highlight w:val="none"/>
        </w:rPr>
      </w:pPr>
      <w:bookmarkStart w:id="596" w:name="_Toc12062"/>
      <w:bookmarkStart w:id="597" w:name="_Toc14605"/>
      <w:bookmarkStart w:id="598" w:name="_Toc182013560"/>
      <w:bookmarkStart w:id="599" w:name="_Toc210160314"/>
    </w:p>
    <w:p w14:paraId="2B570458">
      <w:pPr>
        <w:pStyle w:val="5"/>
        <w:spacing w:line="240" w:lineRule="auto"/>
        <w:rPr>
          <w:rFonts w:hint="eastAsia"/>
          <w:color w:val="auto"/>
          <w:sz w:val="28"/>
          <w:szCs w:val="28"/>
          <w:highlight w:val="none"/>
        </w:rPr>
      </w:pPr>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9</w:t>
      </w:r>
      <w:r>
        <w:rPr>
          <w:rFonts w:hint="eastAsia"/>
          <w:color w:val="auto"/>
          <w:sz w:val="28"/>
          <w:szCs w:val="28"/>
          <w:highlight w:val="none"/>
        </w:rPr>
        <w:t>：响应性评审记录表（</w:t>
      </w:r>
      <w:r>
        <w:rPr>
          <w:color w:val="auto"/>
          <w:sz w:val="28"/>
          <w:szCs w:val="28"/>
          <w:highlight w:val="none"/>
        </w:rPr>
        <w:t>技术标）</w:t>
      </w:r>
      <w:bookmarkEnd w:id="596"/>
      <w:bookmarkEnd w:id="597"/>
      <w:bookmarkEnd w:id="598"/>
      <w:bookmarkEnd w:id="599"/>
    </w:p>
    <w:p w14:paraId="216116B2">
      <w:pPr>
        <w:spacing w:line="440" w:lineRule="exact"/>
        <w:jc w:val="center"/>
        <w:rPr>
          <w:rFonts w:hint="eastAsia"/>
          <w:color w:val="auto"/>
          <w:highlight w:val="none"/>
        </w:rPr>
      </w:pPr>
      <w:r>
        <w:rPr>
          <w:rFonts w:hint="eastAsia" w:eastAsia="黑体" w:cs="黑体"/>
          <w:color w:val="auto"/>
          <w:sz w:val="28"/>
          <w:szCs w:val="28"/>
          <w:highlight w:val="none"/>
        </w:rPr>
        <w:t>响应性评审记录表（</w:t>
      </w:r>
      <w:r>
        <w:rPr>
          <w:rFonts w:eastAsia="黑体" w:cs="黑体"/>
          <w:color w:val="auto"/>
          <w:sz w:val="28"/>
          <w:szCs w:val="28"/>
          <w:highlight w:val="none"/>
        </w:rPr>
        <w:t>技术标）</w:t>
      </w:r>
    </w:p>
    <w:p w14:paraId="6DD0D6A4">
      <w:pPr>
        <w:spacing w:after="72" w:afterLines="30" w:line="440" w:lineRule="exact"/>
        <w:rPr>
          <w:color w:val="auto"/>
          <w:highlight w:val="none"/>
        </w:rPr>
      </w:pPr>
      <w:r>
        <w:rPr>
          <w:rFonts w:hint="eastAsia"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5B65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12" w:type="dxa"/>
            <w:vMerge w:val="restart"/>
            <w:noWrap w:val="0"/>
            <w:vAlign w:val="center"/>
          </w:tcPr>
          <w:p w14:paraId="6E829BBF">
            <w:pPr>
              <w:keepNext w:val="0"/>
              <w:keepLines w:val="0"/>
              <w:suppressLineNumbers w:val="0"/>
              <w:spacing w:before="0" w:beforeAutospacing="0" w:after="72" w:afterLines="3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156" w:type="dxa"/>
            <w:vMerge w:val="restart"/>
            <w:noWrap w:val="0"/>
            <w:vAlign w:val="center"/>
          </w:tcPr>
          <w:p w14:paraId="1AD4079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776" w:type="dxa"/>
            <w:gridSpan w:val="9"/>
            <w:noWrap w:val="0"/>
            <w:vAlign w:val="center"/>
          </w:tcPr>
          <w:p w14:paraId="664E751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0E43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0133BE17">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p>
        </w:tc>
        <w:tc>
          <w:tcPr>
            <w:tcW w:w="2156" w:type="dxa"/>
            <w:vMerge w:val="continue"/>
            <w:noWrap w:val="0"/>
            <w:vAlign w:val="center"/>
          </w:tcPr>
          <w:p w14:paraId="2C6231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515D14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47CAB21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25FDCC5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7A2021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686DEB5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74906D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5317F78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vAlign w:val="center"/>
          </w:tcPr>
          <w:p w14:paraId="2914433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8" w:type="dxa"/>
            <w:noWrap w:val="0"/>
            <w:vAlign w:val="center"/>
          </w:tcPr>
          <w:p w14:paraId="27F73F0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B1D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534D578">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156" w:type="dxa"/>
            <w:noWrap w:val="0"/>
            <w:vAlign w:val="center"/>
          </w:tcPr>
          <w:p w14:paraId="76EB55C0">
            <w:pPr>
              <w:keepNext w:val="0"/>
              <w:keepLines w:val="0"/>
              <w:suppressLineNumbers w:val="0"/>
              <w:spacing w:before="0" w:beforeAutospacing="0" w:after="0" w:afterAutospacing="0" w:line="360" w:lineRule="atLeast"/>
              <w:ind w:left="0" w:right="0"/>
              <w:jc w:val="center"/>
              <w:rPr>
                <w:rFonts w:hint="eastAsia" w:ascii="Calibri" w:hAnsi="Calibri" w:eastAsia="宋体" w:cs="Times New Roman"/>
                <w:color w:val="auto"/>
                <w:highlight w:val="none"/>
              </w:rPr>
            </w:pPr>
            <w:r>
              <w:rPr>
                <w:rFonts w:hint="eastAsia" w:ascii="Calibri" w:hAnsi="Calibri" w:eastAsia="宋体" w:cs="宋体"/>
                <w:color w:val="auto"/>
                <w:highlight w:val="none"/>
              </w:rPr>
              <w:t>投标内容</w:t>
            </w:r>
          </w:p>
        </w:tc>
        <w:tc>
          <w:tcPr>
            <w:tcW w:w="1197" w:type="dxa"/>
            <w:noWrap w:val="0"/>
            <w:vAlign w:val="center"/>
          </w:tcPr>
          <w:p w14:paraId="3DE1C36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6F1488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899955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46A22C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5DD10B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38036D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5338F3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7F4BF2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75660A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7604D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18758E3">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156" w:type="dxa"/>
            <w:noWrap w:val="0"/>
            <w:vAlign w:val="center"/>
          </w:tcPr>
          <w:p w14:paraId="167BC4F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工期</w:t>
            </w:r>
          </w:p>
        </w:tc>
        <w:tc>
          <w:tcPr>
            <w:tcW w:w="1197" w:type="dxa"/>
            <w:noWrap w:val="0"/>
            <w:vAlign w:val="center"/>
          </w:tcPr>
          <w:p w14:paraId="198C2C3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7978E8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C5CDD6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0BF3C3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24FE79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60882B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546C29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2488DD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99D422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16A9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C2F2375">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156" w:type="dxa"/>
            <w:noWrap w:val="0"/>
            <w:vAlign w:val="center"/>
          </w:tcPr>
          <w:p w14:paraId="510BC2D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工程质量</w:t>
            </w:r>
          </w:p>
        </w:tc>
        <w:tc>
          <w:tcPr>
            <w:tcW w:w="1197" w:type="dxa"/>
            <w:noWrap w:val="0"/>
            <w:vAlign w:val="center"/>
          </w:tcPr>
          <w:p w14:paraId="0C578CA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E39F9A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6750A4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DF8EE1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511B60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2C3BF3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AC4CC6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03DCAC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051EDA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324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6784C375">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2156" w:type="dxa"/>
            <w:noWrap w:val="0"/>
            <w:vAlign w:val="center"/>
          </w:tcPr>
          <w:p w14:paraId="3373F9E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投标有效期</w:t>
            </w:r>
          </w:p>
        </w:tc>
        <w:tc>
          <w:tcPr>
            <w:tcW w:w="1197" w:type="dxa"/>
            <w:noWrap w:val="0"/>
            <w:vAlign w:val="center"/>
          </w:tcPr>
          <w:p w14:paraId="0293665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4ECA9B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41D521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87DFF7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0B816A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A522CD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8CC2EC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782A24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FA2FC2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0D2C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31121AFB">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2156" w:type="dxa"/>
            <w:noWrap w:val="0"/>
            <w:vAlign w:val="center"/>
          </w:tcPr>
          <w:p w14:paraId="4F60C9D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权利义务</w:t>
            </w:r>
          </w:p>
        </w:tc>
        <w:tc>
          <w:tcPr>
            <w:tcW w:w="1197" w:type="dxa"/>
            <w:noWrap w:val="0"/>
            <w:vAlign w:val="center"/>
          </w:tcPr>
          <w:p w14:paraId="7F37741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B8D95B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71F60C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2EA270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2E46E8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4F584F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E1520D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FE21FD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2F32C61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01FE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11E5E13">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6</w:t>
            </w:r>
          </w:p>
        </w:tc>
        <w:tc>
          <w:tcPr>
            <w:tcW w:w="2156" w:type="dxa"/>
            <w:noWrap w:val="0"/>
            <w:vAlign w:val="center"/>
          </w:tcPr>
          <w:p w14:paraId="1E9779E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技术标准和要求</w:t>
            </w:r>
          </w:p>
        </w:tc>
        <w:tc>
          <w:tcPr>
            <w:tcW w:w="1197" w:type="dxa"/>
            <w:noWrap w:val="0"/>
            <w:vAlign w:val="center"/>
          </w:tcPr>
          <w:p w14:paraId="4F0AE0E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7A8157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E4E6B4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748AC0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8861D5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FAE5AE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B9AD96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107DF1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00DEB7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2AE4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BD87BB4">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7</w:t>
            </w:r>
          </w:p>
        </w:tc>
        <w:tc>
          <w:tcPr>
            <w:tcW w:w="2156" w:type="dxa"/>
            <w:noWrap w:val="0"/>
            <w:vAlign w:val="center"/>
          </w:tcPr>
          <w:p w14:paraId="2C5430B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分包计划（如有）</w:t>
            </w:r>
          </w:p>
        </w:tc>
        <w:tc>
          <w:tcPr>
            <w:tcW w:w="1197" w:type="dxa"/>
            <w:noWrap w:val="0"/>
            <w:vAlign w:val="center"/>
          </w:tcPr>
          <w:p w14:paraId="63CE177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7B8047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EC4FD2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77B9F83">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2B06C0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C80524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4C04A9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8A9BDB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DB85D86">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1DA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7E5F2C5B">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8</w:t>
            </w:r>
          </w:p>
        </w:tc>
        <w:tc>
          <w:tcPr>
            <w:tcW w:w="2156" w:type="dxa"/>
            <w:noWrap w:val="0"/>
            <w:vAlign w:val="center"/>
          </w:tcPr>
          <w:p w14:paraId="68857AA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047EC4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EE2594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55B973D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BCDDB5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CA1C1E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4F67D85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3A78DB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218DFB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B5C6B8F">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F43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258EE8D">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9</w:t>
            </w:r>
          </w:p>
        </w:tc>
        <w:tc>
          <w:tcPr>
            <w:tcW w:w="2156" w:type="dxa"/>
            <w:noWrap w:val="0"/>
            <w:vAlign w:val="center"/>
          </w:tcPr>
          <w:p w14:paraId="674626B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AA6890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254454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1AD446CB">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BF38E4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061B078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21005E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2CCA032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F444928">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DB6AAD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54B40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700A2D99">
            <w:pPr>
              <w:keepNext w:val="0"/>
              <w:keepLines w:val="0"/>
              <w:suppressLineNumbers w:val="0"/>
              <w:spacing w:before="0" w:beforeAutospacing="0" w:after="0" w:afterAutospacing="0" w:line="360" w:lineRule="atLeast"/>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10</w:t>
            </w:r>
          </w:p>
        </w:tc>
        <w:tc>
          <w:tcPr>
            <w:tcW w:w="2156" w:type="dxa"/>
            <w:noWrap w:val="0"/>
            <w:vAlign w:val="center"/>
          </w:tcPr>
          <w:p w14:paraId="6C08AA7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1197" w:type="dxa"/>
            <w:noWrap w:val="0"/>
            <w:vAlign w:val="center"/>
          </w:tcPr>
          <w:p w14:paraId="456E809C">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ECC1C9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3E65457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3A2D9C1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E6209A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2EB5F75">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58F0360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1AC76040">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0464B20A">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r w14:paraId="6F8C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68" w:type="dxa"/>
            <w:gridSpan w:val="2"/>
            <w:noWrap w:val="0"/>
            <w:vAlign w:val="center"/>
          </w:tcPr>
          <w:p w14:paraId="08E8F9C9">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197" w:type="dxa"/>
            <w:noWrap w:val="0"/>
            <w:vAlign w:val="center"/>
          </w:tcPr>
          <w:p w14:paraId="36037AB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F8B4DB2">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35B58D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6FD338B4">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7A30AF81">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6C95EF8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9367C47">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7" w:type="dxa"/>
            <w:noWrap w:val="0"/>
            <w:vAlign w:val="center"/>
          </w:tcPr>
          <w:p w14:paraId="421832EE">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c>
          <w:tcPr>
            <w:tcW w:w="1198" w:type="dxa"/>
            <w:noWrap w:val="0"/>
            <w:vAlign w:val="center"/>
          </w:tcPr>
          <w:p w14:paraId="7B77739D">
            <w:pPr>
              <w:keepNext w:val="0"/>
              <w:keepLines w:val="0"/>
              <w:suppressLineNumbers w:val="0"/>
              <w:spacing w:before="0" w:beforeAutospacing="0" w:after="0" w:afterAutospacing="0" w:line="360" w:lineRule="atLeast"/>
              <w:ind w:left="0" w:right="0"/>
              <w:jc w:val="center"/>
              <w:rPr>
                <w:rFonts w:hint="default" w:ascii="Calibri" w:hAnsi="Calibri" w:eastAsia="宋体" w:cs="Times New Roman"/>
                <w:color w:val="auto"/>
                <w:highlight w:val="none"/>
              </w:rPr>
            </w:pPr>
          </w:p>
        </w:tc>
      </w:tr>
    </w:tbl>
    <w:p w14:paraId="2D972603">
      <w:pPr>
        <w:spacing w:line="360" w:lineRule="exact"/>
        <w:rPr>
          <w:rFonts w:hint="eastAsia" w:eastAsia="楷体_GB2312" w:cs="楷体_GB2312"/>
          <w:color w:val="auto"/>
          <w:highlight w:val="none"/>
        </w:rPr>
      </w:pPr>
      <w:r>
        <w:rPr>
          <w:rFonts w:hint="eastAsia" w:eastAsia="楷体_GB2312" w:cs="楷体_GB2312"/>
          <w:color w:val="auto"/>
          <w:highlight w:val="none"/>
        </w:rPr>
        <w:t>【备注：本表可根据评分办法需要分为商务标响应性评审记录表和技术标响应性评审记录表】</w:t>
      </w:r>
    </w:p>
    <w:p w14:paraId="44A4A47E">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0C53FE24">
      <w:pPr>
        <w:pBdr>
          <w:top w:val="none" w:color="auto" w:sz="0" w:space="0"/>
          <w:left w:val="none" w:color="auto" w:sz="0" w:space="0"/>
          <w:bottom w:val="none" w:color="auto" w:sz="0" w:space="0"/>
          <w:right w:val="none" w:color="auto" w:sz="0" w:space="0"/>
          <w:between w:val="none" w:color="auto" w:sz="0" w:space="0"/>
        </w:pBdr>
        <w:spacing w:line="360" w:lineRule="exact"/>
        <w:rPr>
          <w:color w:val="auto"/>
          <w:highlight w:val="none"/>
        </w:rPr>
      </w:pPr>
    </w:p>
    <w:p w14:paraId="249F2F9F">
      <w:pPr>
        <w:spacing w:line="360" w:lineRule="exact"/>
        <w:rPr>
          <w:rFonts w:cs="宋体"/>
          <w:color w:val="auto"/>
          <w:highlight w:val="none"/>
        </w:rPr>
      </w:pPr>
      <w:r>
        <w:rPr>
          <w:rFonts w:hint="eastAsia" w:cs="宋体"/>
          <w:color w:val="auto"/>
          <w:highlight w:val="none"/>
        </w:rPr>
        <w:t>评标委员会全体技术标评</w:t>
      </w:r>
      <w:r>
        <w:rPr>
          <w:rFonts w:cs="宋体"/>
          <w:color w:val="auto"/>
          <w:highlight w:val="none"/>
        </w:rPr>
        <w:t>委</w:t>
      </w:r>
      <w:r>
        <w:rPr>
          <w:rFonts w:hint="eastAsia" w:cs="宋体"/>
          <w:color w:val="auto"/>
          <w:highlight w:val="none"/>
        </w:rPr>
        <w:t>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382995CF">
      <w:pPr>
        <w:spacing w:line="360" w:lineRule="exact"/>
        <w:rPr>
          <w:rFonts w:hint="eastAsia"/>
          <w:color w:val="auto"/>
          <w:highlight w:val="none"/>
        </w:rPr>
      </w:pPr>
    </w:p>
    <w:p w14:paraId="46B0D233">
      <w:pPr>
        <w:pStyle w:val="5"/>
        <w:spacing w:line="240" w:lineRule="auto"/>
        <w:rPr>
          <w:rFonts w:hint="eastAsia"/>
          <w:color w:val="auto"/>
          <w:sz w:val="28"/>
          <w:szCs w:val="28"/>
          <w:highlight w:val="none"/>
        </w:rPr>
      </w:pPr>
      <w:bookmarkStart w:id="600" w:name="_Toc29658"/>
      <w:bookmarkStart w:id="601" w:name="_Toc17330"/>
      <w:bookmarkStart w:id="602" w:name="_Toc1032662839"/>
      <w:bookmarkStart w:id="603" w:name="_Toc1723160513"/>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10</w:t>
      </w:r>
      <w:r>
        <w:rPr>
          <w:rFonts w:hint="eastAsia"/>
          <w:color w:val="auto"/>
          <w:sz w:val="28"/>
          <w:szCs w:val="28"/>
          <w:highlight w:val="none"/>
        </w:rPr>
        <w:t>：资格审查评审记录表一</w:t>
      </w:r>
      <w:bookmarkEnd w:id="600"/>
      <w:bookmarkEnd w:id="601"/>
      <w:bookmarkEnd w:id="602"/>
      <w:bookmarkEnd w:id="603"/>
      <w:r>
        <w:rPr>
          <w:rFonts w:hint="eastAsia"/>
          <w:color w:val="auto"/>
          <w:sz w:val="28"/>
          <w:szCs w:val="28"/>
          <w:highlight w:val="none"/>
        </w:rPr>
        <w:t xml:space="preserve"> </w:t>
      </w:r>
    </w:p>
    <w:tbl>
      <w:tblPr>
        <w:tblStyle w:val="41"/>
        <w:tblpPr w:leftFromText="180" w:rightFromText="180" w:horzAnchor="margin" w:tblpY="495"/>
        <w:tblW w:w="0" w:type="auto"/>
        <w:tblInd w:w="0" w:type="dxa"/>
        <w:tblLayout w:type="fixed"/>
        <w:tblCellMar>
          <w:top w:w="15" w:type="dxa"/>
          <w:left w:w="15" w:type="dxa"/>
          <w:bottom w:w="15" w:type="dxa"/>
          <w:right w:w="15" w:type="dxa"/>
        </w:tblCellMar>
      </w:tblPr>
      <w:tblGrid>
        <w:gridCol w:w="449"/>
        <w:gridCol w:w="631"/>
        <w:gridCol w:w="3944"/>
        <w:gridCol w:w="780"/>
        <w:gridCol w:w="930"/>
        <w:gridCol w:w="810"/>
        <w:gridCol w:w="820"/>
        <w:gridCol w:w="850"/>
        <w:gridCol w:w="851"/>
        <w:gridCol w:w="992"/>
        <w:gridCol w:w="992"/>
        <w:gridCol w:w="992"/>
        <w:gridCol w:w="851"/>
        <w:gridCol w:w="865"/>
      </w:tblGrid>
      <w:tr w14:paraId="0677CD80">
        <w:trPr>
          <w:trHeight w:val="316" w:hRule="atLeast"/>
        </w:trPr>
        <w:tc>
          <w:tcPr>
            <w:tcW w:w="1080" w:type="dxa"/>
            <w:gridSpan w:val="2"/>
            <w:noWrap w:val="0"/>
            <w:vAlign w:val="top"/>
          </w:tcPr>
          <w:p w14:paraId="2730395C">
            <w:pPr>
              <w:keepNext w:val="0"/>
              <w:keepLines w:val="0"/>
              <w:widowControl/>
              <w:suppressLineNumbers w:val="0"/>
              <w:spacing w:before="0" w:beforeAutospacing="0" w:after="0" w:afterAutospacing="0"/>
              <w:ind w:left="0" w:right="0"/>
              <w:jc w:val="center"/>
              <w:rPr>
                <w:rFonts w:hint="eastAsia" w:ascii="Calibri" w:hAnsi="Calibri" w:eastAsia="黑体" w:cs="黑体"/>
                <w:color w:val="auto"/>
                <w:sz w:val="28"/>
                <w:szCs w:val="28"/>
                <w:highlight w:val="none"/>
              </w:rPr>
            </w:pPr>
          </w:p>
        </w:tc>
        <w:tc>
          <w:tcPr>
            <w:tcW w:w="13677" w:type="dxa"/>
            <w:gridSpan w:val="12"/>
            <w:noWrap w:val="0"/>
            <w:vAlign w:val="center"/>
          </w:tcPr>
          <w:p w14:paraId="0C4A9E20">
            <w:pPr>
              <w:keepNext w:val="0"/>
              <w:keepLines w:val="0"/>
              <w:widowControl/>
              <w:suppressLineNumbers w:val="0"/>
              <w:spacing w:before="0" w:beforeAutospacing="0" w:after="0" w:afterAutospacing="0"/>
              <w:ind w:left="0" w:right="0"/>
              <w:jc w:val="center"/>
              <w:rPr>
                <w:rFonts w:hint="default" w:ascii="Calibri" w:hAnsi="Calibri" w:eastAsia="黑体" w:cs="黑体"/>
                <w:color w:val="auto"/>
                <w:sz w:val="28"/>
                <w:szCs w:val="28"/>
                <w:highlight w:val="none"/>
              </w:rPr>
            </w:pPr>
          </w:p>
          <w:p w14:paraId="3E0DAC8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2"/>
                <w:szCs w:val="22"/>
                <w:highlight w:val="none"/>
              </w:rPr>
            </w:pPr>
            <w:r>
              <w:rPr>
                <w:rFonts w:hint="eastAsia" w:ascii="Calibri" w:hAnsi="Calibri" w:eastAsia="黑体" w:cs="黑体"/>
                <w:color w:val="auto"/>
                <w:sz w:val="28"/>
                <w:szCs w:val="28"/>
                <w:highlight w:val="none"/>
              </w:rPr>
              <w:t>资格审查评审记录表一</w:t>
            </w:r>
          </w:p>
        </w:tc>
      </w:tr>
      <w:tr w14:paraId="34344664">
        <w:tblPrEx>
          <w:tblCellMar>
            <w:top w:w="15" w:type="dxa"/>
            <w:left w:w="15" w:type="dxa"/>
            <w:bottom w:w="15" w:type="dxa"/>
            <w:right w:w="15" w:type="dxa"/>
          </w:tblCellMar>
        </w:tblPrEx>
        <w:trPr>
          <w:trHeight w:val="330" w:hRule="atLeast"/>
        </w:trPr>
        <w:tc>
          <w:tcPr>
            <w:tcW w:w="1080" w:type="dxa"/>
            <w:gridSpan w:val="2"/>
            <w:noWrap w:val="0"/>
            <w:vAlign w:val="top"/>
          </w:tcPr>
          <w:p w14:paraId="4861777C">
            <w:pPr>
              <w:keepNext w:val="0"/>
              <w:keepLines w:val="0"/>
              <w:suppressLineNumbers w:val="0"/>
              <w:spacing w:before="0" w:beforeAutospacing="0" w:after="72" w:afterLines="30" w:afterAutospacing="0" w:line="440" w:lineRule="exact"/>
              <w:ind w:left="0" w:right="0"/>
              <w:rPr>
                <w:rFonts w:hint="eastAsia" w:ascii="Calibri" w:hAnsi="Calibri" w:eastAsia="宋体" w:cs="宋体"/>
                <w:color w:val="auto"/>
                <w:highlight w:val="none"/>
              </w:rPr>
            </w:pPr>
          </w:p>
        </w:tc>
        <w:tc>
          <w:tcPr>
            <w:tcW w:w="13677" w:type="dxa"/>
            <w:gridSpan w:val="12"/>
            <w:noWrap w:val="0"/>
            <w:vAlign w:val="center"/>
          </w:tcPr>
          <w:p w14:paraId="40F8B408">
            <w:pPr>
              <w:keepNext w:val="0"/>
              <w:keepLines w:val="0"/>
              <w:suppressLineNumbers w:val="0"/>
              <w:spacing w:before="0" w:beforeAutospacing="0" w:after="72" w:afterLines="30" w:afterAutospacing="0" w:line="440" w:lineRule="exact"/>
              <w:ind w:left="0" w:right="0"/>
              <w:rPr>
                <w:rFonts w:hint="default" w:ascii="Calibri" w:hAnsi="Calibri" w:eastAsia="宋体" w:cs="Times New Roman"/>
                <w:color w:val="auto"/>
                <w:highlight w:val="none"/>
              </w:rPr>
            </w:pPr>
            <w:r>
              <w:rPr>
                <w:rFonts w:hint="eastAsia" w:ascii="Calibri" w:hAnsi="Calibri" w:cs="宋体"/>
                <w:color w:val="auto"/>
                <w:highlight w:val="none"/>
                <w:lang w:val="en-US" w:eastAsia="zh-CN"/>
              </w:rPr>
              <w:t>招标</w:t>
            </w:r>
            <w:r>
              <w:rPr>
                <w:rFonts w:hint="eastAsia" w:ascii="Calibri" w:hAnsi="Calibri" w:eastAsia="宋体" w:cs="宋体"/>
                <w:color w:val="auto"/>
                <w:highlight w:val="none"/>
              </w:rPr>
              <w:t>项目名称及</w:t>
            </w:r>
            <w:r>
              <w:rPr>
                <w:rFonts w:hint="eastAsia" w:ascii="Calibri" w:hAnsi="Calibri" w:eastAsia="宋体" w:cs="宋体"/>
                <w:color w:val="auto"/>
                <w:highlight w:val="none"/>
                <w:lang w:eastAsia="zh-CN"/>
              </w:rPr>
              <w:t>招标项目编号</w:t>
            </w:r>
            <w:r>
              <w:rPr>
                <w:rFonts w:hint="eastAsia" w:ascii="Calibri" w:hAnsi="Calibri" w:eastAsia="宋体" w:cs="宋体"/>
                <w:color w:val="auto"/>
                <w:highlight w:val="none"/>
              </w:rPr>
              <w:t>：</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时间：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日</w:t>
            </w:r>
          </w:p>
          <w:p w14:paraId="7CA1F75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2"/>
                <w:szCs w:val="22"/>
                <w:highlight w:val="none"/>
              </w:rPr>
            </w:pPr>
          </w:p>
        </w:tc>
      </w:tr>
      <w:tr w14:paraId="04888A81">
        <w:tblPrEx>
          <w:tblCellMar>
            <w:top w:w="15" w:type="dxa"/>
            <w:left w:w="15" w:type="dxa"/>
            <w:bottom w:w="15" w:type="dxa"/>
            <w:right w:w="15" w:type="dxa"/>
          </w:tblCellMar>
        </w:tblPrEx>
        <w:trPr>
          <w:trHeight w:val="900" w:hRule="atLeast"/>
        </w:trPr>
        <w:tc>
          <w:tcPr>
            <w:tcW w:w="449" w:type="dxa"/>
            <w:vMerge w:val="restart"/>
            <w:tcBorders>
              <w:top w:val="single" w:color="000000" w:sz="4" w:space="0"/>
              <w:left w:val="single" w:color="000000" w:sz="4" w:space="0"/>
              <w:bottom w:val="single" w:color="000000" w:sz="4" w:space="0"/>
              <w:right w:val="single" w:color="auto" w:sz="4" w:space="0"/>
            </w:tcBorders>
            <w:noWrap w:val="0"/>
            <w:vAlign w:val="center"/>
          </w:tcPr>
          <w:p w14:paraId="7A2DCB0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序号</w:t>
            </w:r>
          </w:p>
        </w:tc>
        <w:tc>
          <w:tcPr>
            <w:tcW w:w="4575"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0AC8C19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投标人名称</w:t>
            </w:r>
          </w:p>
        </w:tc>
        <w:tc>
          <w:tcPr>
            <w:tcW w:w="8017" w:type="dxa"/>
            <w:gridSpan w:val="9"/>
            <w:tcBorders>
              <w:top w:val="single" w:color="auto" w:sz="4" w:space="0"/>
              <w:left w:val="single" w:color="auto" w:sz="4" w:space="0"/>
              <w:bottom w:val="single" w:color="auto" w:sz="4" w:space="0"/>
              <w:right w:val="single" w:color="auto" w:sz="4" w:space="0"/>
            </w:tcBorders>
            <w:noWrap w:val="0"/>
            <w:vAlign w:val="top"/>
          </w:tcPr>
          <w:p w14:paraId="2CA4778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合格标准：投标人符合第二章</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投标人须知</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第1.4项规定的，且按规定提交了第二章</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投标人须知前附表</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3.1.1项资格审查部分（</w:t>
            </w:r>
            <w:r>
              <w:rPr>
                <w:rFonts w:hint="default" w:ascii="宋体" w:hAnsi="宋体" w:eastAsia="宋体" w:cs="宋体"/>
                <w:color w:val="auto"/>
                <w:kern w:val="0"/>
                <w:sz w:val="24"/>
                <w:highlight w:val="none"/>
              </w:rPr>
              <w:t>1</w:t>
            </w:r>
            <w:r>
              <w:rPr>
                <w:rFonts w:hint="eastAsia" w:ascii="宋体" w:hAnsi="宋体" w:eastAsia="宋体" w:cs="宋体"/>
                <w:color w:val="auto"/>
                <w:kern w:val="0"/>
                <w:sz w:val="24"/>
                <w:highlight w:val="none"/>
              </w:rPr>
              <w:t>）～（</w:t>
            </w:r>
            <w:r>
              <w:rPr>
                <w:rFonts w:hint="default"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）项内容的</w:t>
            </w:r>
            <w:r>
              <w:rPr>
                <w:rFonts w:hint="eastAsia" w:ascii="宋体" w:hAnsi="宋体" w:eastAsia="宋体" w:cs="宋体"/>
                <w:color w:val="auto"/>
                <w:kern w:val="0"/>
                <w:sz w:val="24"/>
                <w:highlight w:val="none"/>
                <w:lang w:eastAsia="zh-CN"/>
              </w:rPr>
              <w:t>，且符合要求</w:t>
            </w:r>
            <w:r>
              <w:rPr>
                <w:rFonts w:hint="eastAsia" w:ascii="宋体" w:hAnsi="宋体" w:eastAsia="宋体" w:cs="宋体"/>
                <w:color w:val="auto"/>
                <w:kern w:val="0"/>
                <w:sz w:val="24"/>
                <w:highlight w:val="none"/>
              </w:rPr>
              <w:t>，方可进行资格审查评分。</w:t>
            </w:r>
          </w:p>
        </w:tc>
        <w:tc>
          <w:tcPr>
            <w:tcW w:w="851" w:type="dxa"/>
            <w:tcBorders>
              <w:top w:val="single" w:color="000000" w:sz="4" w:space="0"/>
              <w:left w:val="single" w:color="auto" w:sz="4" w:space="0"/>
              <w:bottom w:val="single" w:color="000000" w:sz="4" w:space="0"/>
              <w:right w:val="single" w:color="000000" w:sz="4" w:space="0"/>
            </w:tcBorders>
            <w:noWrap w:val="0"/>
            <w:vAlign w:val="center"/>
          </w:tcPr>
          <w:p w14:paraId="7499D0A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备注</w:t>
            </w:r>
          </w:p>
        </w:tc>
        <w:tc>
          <w:tcPr>
            <w:tcW w:w="865" w:type="dxa"/>
            <w:vMerge w:val="restart"/>
            <w:tcBorders>
              <w:top w:val="single" w:color="000000" w:sz="4" w:space="0"/>
              <w:left w:val="single" w:color="000000" w:sz="4" w:space="0"/>
              <w:bottom w:val="single" w:color="000000" w:sz="4" w:space="0"/>
              <w:right w:val="single" w:color="000000" w:sz="4" w:space="0"/>
            </w:tcBorders>
            <w:noWrap w:val="0"/>
            <w:vAlign w:val="center"/>
          </w:tcPr>
          <w:p w14:paraId="65A062B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sz w:val="24"/>
                <w:highlight w:val="none"/>
              </w:rPr>
              <w:t>可</w:t>
            </w:r>
            <w:r>
              <w:rPr>
                <w:rFonts w:hint="eastAsia" w:ascii="宋体" w:hAnsi="宋体" w:eastAsia="宋体" w:cs="宋体"/>
                <w:color w:val="auto"/>
                <w:kern w:val="0"/>
                <w:sz w:val="24"/>
                <w:szCs w:val="24"/>
                <w:highlight w:val="none"/>
              </w:rPr>
              <w:t>否进行</w:t>
            </w:r>
            <w:r>
              <w:rPr>
                <w:rFonts w:hint="eastAsia" w:ascii="宋体" w:hAnsi="宋体" w:eastAsia="宋体" w:cs="宋体"/>
                <w:color w:val="auto"/>
                <w:kern w:val="0"/>
                <w:sz w:val="24"/>
                <w:highlight w:val="none"/>
              </w:rPr>
              <w:t>资格审查评分</w:t>
            </w:r>
          </w:p>
        </w:tc>
      </w:tr>
      <w:tr w14:paraId="029DAB1E">
        <w:tblPrEx>
          <w:tblCellMar>
            <w:top w:w="15" w:type="dxa"/>
            <w:left w:w="15" w:type="dxa"/>
            <w:bottom w:w="15" w:type="dxa"/>
            <w:right w:w="15" w:type="dxa"/>
          </w:tblCellMar>
        </w:tblPrEx>
        <w:trPr>
          <w:trHeight w:val="360" w:hRule="atLeast"/>
        </w:trPr>
        <w:tc>
          <w:tcPr>
            <w:tcW w:w="449" w:type="dxa"/>
            <w:vMerge w:val="continue"/>
            <w:tcBorders>
              <w:top w:val="single" w:color="000000" w:sz="4" w:space="0"/>
              <w:left w:val="single" w:color="000000" w:sz="4" w:space="0"/>
              <w:bottom w:val="single" w:color="000000" w:sz="4" w:space="0"/>
              <w:right w:val="single" w:color="auto" w:sz="4" w:space="0"/>
            </w:tcBorders>
            <w:noWrap w:val="0"/>
            <w:vAlign w:val="center"/>
          </w:tcPr>
          <w:p w14:paraId="0115335E">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highlight w:val="none"/>
              </w:rPr>
            </w:pPr>
          </w:p>
        </w:tc>
        <w:tc>
          <w:tcPr>
            <w:tcW w:w="457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0F4C3F1">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highlight w:val="none"/>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5827341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648BD93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p>
        </w:tc>
        <w:tc>
          <w:tcPr>
            <w:tcW w:w="810" w:type="dxa"/>
            <w:tcBorders>
              <w:top w:val="single" w:color="000000" w:sz="4" w:space="0"/>
              <w:left w:val="single" w:color="auto" w:sz="4" w:space="0"/>
              <w:bottom w:val="single" w:color="000000" w:sz="4" w:space="0"/>
              <w:right w:val="single" w:color="000000" w:sz="4" w:space="0"/>
            </w:tcBorders>
            <w:noWrap w:val="0"/>
            <w:vAlign w:val="center"/>
          </w:tcPr>
          <w:p w14:paraId="21F9938F">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477E693">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1C84286">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(5)</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3C0E96E">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(6)</w:t>
            </w:r>
          </w:p>
        </w:tc>
        <w:tc>
          <w:tcPr>
            <w:tcW w:w="992" w:type="dxa"/>
            <w:tcBorders>
              <w:top w:val="single" w:color="000000" w:sz="4" w:space="0"/>
              <w:left w:val="single" w:color="000000" w:sz="4" w:space="0"/>
              <w:bottom w:val="single" w:color="000000" w:sz="4" w:space="0"/>
            </w:tcBorders>
            <w:noWrap w:val="0"/>
            <w:vAlign w:val="center"/>
          </w:tcPr>
          <w:p w14:paraId="4290F16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(7)</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0981D22">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w:t>
            </w:r>
            <w:r>
              <w:rPr>
                <w:rFonts w:hint="default" w:ascii="宋体" w:hAnsi="宋体" w:eastAsia="宋体" w:cs="宋体"/>
                <w:color w:val="auto"/>
                <w:kern w:val="0"/>
                <w:highlight w:val="none"/>
              </w:rPr>
              <w:t>8</w:t>
            </w:r>
            <w:r>
              <w:rPr>
                <w:rFonts w:hint="eastAsia" w:ascii="宋体" w:hAnsi="宋体" w:eastAsia="宋体" w:cs="宋体"/>
                <w:color w:val="auto"/>
                <w:kern w:val="0"/>
                <w:highlight w:val="none"/>
              </w:rPr>
              <w:t>)</w:t>
            </w:r>
          </w:p>
        </w:tc>
        <w:tc>
          <w:tcPr>
            <w:tcW w:w="992" w:type="dxa"/>
            <w:tcBorders>
              <w:top w:val="single" w:color="000000" w:sz="4" w:space="0"/>
              <w:left w:val="single" w:color="000000" w:sz="4" w:space="0"/>
              <w:bottom w:val="single" w:color="000000" w:sz="4" w:space="0"/>
            </w:tcBorders>
            <w:noWrap w:val="0"/>
            <w:vAlign w:val="center"/>
          </w:tcPr>
          <w:p w14:paraId="4F70AD4A">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w:t>
            </w:r>
            <w:r>
              <w:rPr>
                <w:rFonts w:hint="default" w:ascii="宋体" w:hAnsi="宋体" w:eastAsia="宋体" w:cs="宋体"/>
                <w:color w:val="auto"/>
                <w:kern w:val="0"/>
                <w:highlight w:val="none"/>
              </w:rPr>
              <w:t>9</w:t>
            </w:r>
            <w:r>
              <w:rPr>
                <w:rFonts w:hint="eastAsia" w:ascii="宋体" w:hAnsi="宋体" w:eastAsia="宋体" w:cs="宋体"/>
                <w:color w:val="auto"/>
                <w:kern w:val="0"/>
                <w:highlight w:val="none"/>
              </w:rPr>
              <w:t>)</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4E640E8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1B27A3">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highlight w:val="none"/>
              </w:rPr>
            </w:pPr>
          </w:p>
        </w:tc>
      </w:tr>
      <w:tr w14:paraId="63DC21B3">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72915CD8">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1</w:t>
            </w:r>
          </w:p>
        </w:tc>
        <w:tc>
          <w:tcPr>
            <w:tcW w:w="4575" w:type="dxa"/>
            <w:gridSpan w:val="2"/>
            <w:tcBorders>
              <w:top w:val="single" w:color="auto" w:sz="4" w:space="0"/>
              <w:left w:val="single" w:color="000000" w:sz="4" w:space="0"/>
              <w:bottom w:val="single" w:color="000000" w:sz="4" w:space="0"/>
              <w:right w:val="single" w:color="000000" w:sz="4" w:space="0"/>
            </w:tcBorders>
            <w:noWrap w:val="0"/>
            <w:vAlign w:val="center"/>
          </w:tcPr>
          <w:p w14:paraId="3891FA2D">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auto" w:sz="4" w:space="0"/>
              <w:left w:val="single" w:color="000000" w:sz="4" w:space="0"/>
              <w:bottom w:val="single" w:color="000000" w:sz="4" w:space="0"/>
              <w:right w:val="single" w:color="000000" w:sz="4" w:space="0"/>
            </w:tcBorders>
            <w:noWrap w:val="0"/>
            <w:vAlign w:val="center"/>
          </w:tcPr>
          <w:p w14:paraId="2357669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auto" w:sz="4" w:space="0"/>
              <w:left w:val="single" w:color="000000" w:sz="4" w:space="0"/>
              <w:bottom w:val="single" w:color="000000" w:sz="4" w:space="0"/>
              <w:right w:val="single" w:color="000000" w:sz="4" w:space="0"/>
            </w:tcBorders>
            <w:noWrap w:val="0"/>
            <w:vAlign w:val="center"/>
          </w:tcPr>
          <w:p w14:paraId="6F431CA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64636D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4F8CAF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6C8064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879EEB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7092F5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BC26BE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C4BE3B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33696D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0603EF9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3E72457B">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64107DF7">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2</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52474BA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15BEE95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241FD9E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F908FF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038BE99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8397D2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3620D9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C47A30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ED175C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F8600D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2833AA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7D069F9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033AA5EF">
        <w:trPr>
          <w:trHeight w:val="360" w:hRule="atLeast"/>
        </w:trPr>
        <w:tc>
          <w:tcPr>
            <w:tcW w:w="449" w:type="dxa"/>
            <w:tcBorders>
              <w:top w:val="single" w:color="000000" w:sz="4" w:space="0"/>
              <w:left w:val="single" w:color="000000" w:sz="4" w:space="0"/>
              <w:bottom w:val="single" w:color="000000" w:sz="4" w:space="0"/>
            </w:tcBorders>
            <w:noWrap w:val="0"/>
            <w:vAlign w:val="center"/>
          </w:tcPr>
          <w:p w14:paraId="6639E50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3</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4E62F4C5">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35379D1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463E84D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F31003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1E222D6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5CD159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7EF66F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B562DC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01647F9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0EB2ED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00F0459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3B3D418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459EB297">
        <w:tblPrEx>
          <w:tblCellMar>
            <w:top w:w="15" w:type="dxa"/>
            <w:left w:w="15" w:type="dxa"/>
            <w:bottom w:w="15" w:type="dxa"/>
            <w:right w:w="15" w:type="dxa"/>
          </w:tblCellMar>
        </w:tblPrEx>
        <w:trPr>
          <w:trHeight w:val="90" w:hRule="atLeast"/>
        </w:trPr>
        <w:tc>
          <w:tcPr>
            <w:tcW w:w="449" w:type="dxa"/>
            <w:tcBorders>
              <w:top w:val="single" w:color="000000" w:sz="4" w:space="0"/>
              <w:left w:val="single" w:color="000000" w:sz="4" w:space="0"/>
              <w:bottom w:val="single" w:color="000000" w:sz="4" w:space="0"/>
            </w:tcBorders>
            <w:noWrap w:val="0"/>
            <w:vAlign w:val="center"/>
          </w:tcPr>
          <w:p w14:paraId="3D53207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4</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46A29B6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78DAB19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391E4F5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5344CC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D0CF39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F337C6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92909A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7E58FD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59EC2A0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901D90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198438B">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2CA968D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7DB7BB76">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42006881">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5</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50B7FC57">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65B1F57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66394CB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21D1D9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B64AED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581FB1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499091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766B30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7C15991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9D38750">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592565E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3110306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2BA2C1FB">
        <w:trPr>
          <w:trHeight w:val="360" w:hRule="atLeast"/>
        </w:trPr>
        <w:tc>
          <w:tcPr>
            <w:tcW w:w="449" w:type="dxa"/>
            <w:tcBorders>
              <w:top w:val="single" w:color="000000" w:sz="4" w:space="0"/>
              <w:left w:val="single" w:color="000000" w:sz="4" w:space="0"/>
              <w:bottom w:val="single" w:color="000000" w:sz="4" w:space="0"/>
            </w:tcBorders>
            <w:noWrap w:val="0"/>
            <w:vAlign w:val="center"/>
          </w:tcPr>
          <w:p w14:paraId="330FCCEF">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6</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389F618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22CDAC75">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27099C6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994999A">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15AE4DE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ECABBA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1A1850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17C58C2">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1C9C6D7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1DE169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7864D24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3CB3CB2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532FEDBA">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2233555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7</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623D0AFC">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0ADC203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4C011FAC">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0D9D8B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B18B771">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F113C5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E9FEF8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523570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5FB1BAD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6C7EA0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2D13F92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4DB557E8">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34711418">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2400788B">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highlight w:val="none"/>
              </w:rPr>
            </w:pPr>
            <w:r>
              <w:rPr>
                <w:rFonts w:hint="eastAsia" w:ascii="宋体" w:hAnsi="宋体" w:eastAsia="宋体" w:cs="宋体"/>
                <w:color w:val="auto"/>
                <w:kern w:val="0"/>
                <w:highlight w:val="none"/>
              </w:rPr>
              <w:t>8</w:t>
            </w:r>
          </w:p>
        </w:tc>
        <w:tc>
          <w:tcPr>
            <w:tcW w:w="4575" w:type="dxa"/>
            <w:gridSpan w:val="2"/>
            <w:tcBorders>
              <w:top w:val="single" w:color="000000" w:sz="4" w:space="0"/>
              <w:left w:val="single" w:color="000000" w:sz="4" w:space="0"/>
              <w:bottom w:val="single" w:color="000000" w:sz="4" w:space="0"/>
              <w:right w:val="single" w:color="000000" w:sz="4" w:space="0"/>
            </w:tcBorders>
            <w:noWrap w:val="0"/>
            <w:vAlign w:val="center"/>
          </w:tcPr>
          <w:p w14:paraId="0668AA24">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1055E61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7D1F2DA9">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321C453">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3DA49BF">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3D7A3A6">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28F41E7">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6BABEB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5DE67B8E">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5F1B1F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noWrap w:val="0"/>
            <w:vAlign w:val="center"/>
          </w:tcPr>
          <w:p w14:paraId="1C07FDB4">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6E8C481D">
            <w:pPr>
              <w:keepNext w:val="0"/>
              <w:keepLines w:val="0"/>
              <w:widowControl/>
              <w:suppressLineNumbers w:val="0"/>
              <w:spacing w:before="0" w:beforeAutospacing="0" w:after="0" w:afterAutospacing="0"/>
              <w:ind w:left="0" w:right="0"/>
              <w:jc w:val="center"/>
              <w:rPr>
                <w:rFonts w:hint="default" w:ascii="Calibri" w:hAnsi="Calibri" w:eastAsia="Times New Roman" w:cs="Times New Roman"/>
                <w:color w:val="auto"/>
                <w:kern w:val="0"/>
                <w:sz w:val="20"/>
                <w:szCs w:val="20"/>
                <w:highlight w:val="none"/>
              </w:rPr>
            </w:pPr>
          </w:p>
        </w:tc>
      </w:tr>
      <w:tr w14:paraId="20E649F6">
        <w:tblPrEx>
          <w:tblCellMar>
            <w:top w:w="15" w:type="dxa"/>
            <w:left w:w="15" w:type="dxa"/>
            <w:bottom w:w="15" w:type="dxa"/>
            <w:right w:w="15" w:type="dxa"/>
          </w:tblCellMar>
        </w:tblPrEx>
        <w:trPr>
          <w:trHeight w:val="510" w:hRule="atLeast"/>
        </w:trPr>
        <w:tc>
          <w:tcPr>
            <w:tcW w:w="14757" w:type="dxa"/>
            <w:gridSpan w:val="14"/>
            <w:noWrap w:val="0"/>
            <w:vAlign w:val="top"/>
          </w:tcPr>
          <w:p w14:paraId="0F67A88A">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r>
              <w:rPr>
                <w:rFonts w:hint="eastAsia" w:ascii="宋体" w:hAnsi="宋体" w:eastAsia="宋体" w:cs="宋体"/>
                <w:color w:val="auto"/>
                <w:kern w:val="0"/>
                <w:sz w:val="24"/>
                <w:highlight w:val="none"/>
              </w:rPr>
              <w:t>评标委员会全体成员签名：</w:t>
            </w:r>
            <w:r>
              <w:rPr>
                <w:rFonts w:hint="default" w:ascii="Calibri" w:hAnsi="Calibri" w:eastAsia="宋体" w:cs="Times New Roman"/>
                <w:color w:val="auto"/>
                <w:kern w:val="0"/>
                <w:sz w:val="24"/>
                <w:highlight w:val="none"/>
              </w:rPr>
              <w:t xml:space="preserve"> </w:t>
            </w:r>
          </w:p>
          <w:p w14:paraId="22945841">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p>
          <w:p w14:paraId="3A51FCF6">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p>
          <w:p w14:paraId="342216FD">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p>
          <w:p w14:paraId="2D8F8FA8">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p>
          <w:p w14:paraId="715126F6">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p>
          <w:p w14:paraId="06F41625">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p>
          <w:p w14:paraId="222AC361">
            <w:pPr>
              <w:keepNext w:val="0"/>
              <w:keepLines w:val="0"/>
              <w:widowControl/>
              <w:suppressLineNumbers w:val="0"/>
              <w:spacing w:before="0" w:beforeAutospacing="0" w:after="0" w:afterAutospacing="0"/>
              <w:ind w:left="0" w:right="0"/>
              <w:jc w:val="left"/>
              <w:rPr>
                <w:rFonts w:hint="default" w:ascii="Calibri" w:hAnsi="Calibri" w:eastAsia="宋体" w:cs="Times New Roman"/>
                <w:color w:val="auto"/>
                <w:kern w:val="0"/>
                <w:sz w:val="24"/>
                <w:highlight w:val="none"/>
              </w:rPr>
            </w:pPr>
          </w:p>
          <w:p w14:paraId="1F3F4209">
            <w:pPr>
              <w:keepNext w:val="0"/>
              <w:keepLines w:val="0"/>
              <w:widowControl/>
              <w:suppressLineNumbers w:val="0"/>
              <w:spacing w:before="0" w:beforeAutospacing="0" w:after="0" w:afterAutospacing="0"/>
              <w:ind w:left="0" w:right="0"/>
              <w:jc w:val="left"/>
              <w:rPr>
                <w:rFonts w:hint="eastAsia" w:ascii="Calibri" w:hAnsi="Calibri" w:eastAsia="宋体" w:cs="Times New Roman"/>
                <w:color w:val="auto"/>
                <w:kern w:val="0"/>
                <w:sz w:val="24"/>
                <w:highlight w:val="none"/>
              </w:rPr>
            </w:pPr>
          </w:p>
          <w:p w14:paraId="0C936FB6">
            <w:pPr>
              <w:pStyle w:val="5"/>
              <w:suppressLineNumbers w:val="0"/>
              <w:spacing w:before="0" w:beforeAutospacing="0" w:after="0" w:afterAutospacing="0" w:line="240" w:lineRule="auto"/>
              <w:ind w:left="0" w:right="0"/>
              <w:rPr>
                <w:rFonts w:hint="default" w:ascii="Calibri" w:hAnsi="Calibri" w:cs="Times New Roman"/>
                <w:color w:val="auto"/>
                <w:sz w:val="28"/>
                <w:szCs w:val="28"/>
                <w:highlight w:val="none"/>
              </w:rPr>
            </w:pPr>
            <w:bookmarkStart w:id="604" w:name="_Toc1963"/>
            <w:bookmarkStart w:id="605" w:name="_Toc7683"/>
            <w:bookmarkStart w:id="606" w:name="_Toc987090894"/>
            <w:bookmarkStart w:id="607" w:name="_Toc1411029225"/>
            <w:r>
              <w:rPr>
                <w:rFonts w:hint="eastAsia" w:ascii="Calibri" w:hAnsi="Calibri" w:cs="Times New Roman"/>
                <w:color w:val="auto"/>
                <w:sz w:val="28"/>
                <w:szCs w:val="28"/>
                <w:highlight w:val="none"/>
              </w:rPr>
              <w:t>附表</w:t>
            </w:r>
            <w:r>
              <w:rPr>
                <w:rFonts w:hint="default" w:ascii="Calibri" w:hAnsi="Calibri" w:cs="Times New Roman"/>
                <w:color w:val="auto"/>
                <w:sz w:val="28"/>
                <w:szCs w:val="28"/>
                <w:highlight w:val="none"/>
              </w:rPr>
              <w:t>A</w:t>
            </w:r>
            <w:r>
              <w:rPr>
                <w:rFonts w:hint="eastAsia" w:ascii="Calibri" w:hAnsi="Calibri" w:cs="Times New Roman"/>
                <w:color w:val="auto"/>
                <w:sz w:val="28"/>
                <w:szCs w:val="28"/>
                <w:highlight w:val="none"/>
              </w:rPr>
              <w:t>－</w:t>
            </w:r>
            <w:r>
              <w:rPr>
                <w:rFonts w:hint="eastAsia" w:ascii="Calibri" w:hAnsi="Calibri" w:cs="Times New Roman"/>
                <w:color w:val="auto"/>
                <w:sz w:val="28"/>
                <w:szCs w:val="28"/>
                <w:highlight w:val="none"/>
                <w:lang w:val="en-US" w:eastAsia="zh-CN"/>
              </w:rPr>
              <w:t>11</w:t>
            </w:r>
            <w:r>
              <w:rPr>
                <w:rFonts w:hint="eastAsia" w:ascii="Calibri" w:hAnsi="Calibri" w:cs="Times New Roman"/>
                <w:color w:val="auto"/>
                <w:sz w:val="28"/>
                <w:szCs w:val="28"/>
                <w:highlight w:val="none"/>
              </w:rPr>
              <w:t>：资格审查评审记录表二</w:t>
            </w:r>
            <w:bookmarkEnd w:id="604"/>
            <w:bookmarkEnd w:id="605"/>
            <w:bookmarkEnd w:id="606"/>
            <w:bookmarkEnd w:id="607"/>
          </w:p>
          <w:p w14:paraId="60517831">
            <w:pPr>
              <w:keepNext w:val="0"/>
              <w:keepLines w:val="0"/>
              <w:suppressLineNumbers w:val="0"/>
              <w:spacing w:before="0" w:beforeAutospacing="0" w:after="0" w:afterAutospacing="0"/>
              <w:ind w:left="0" w:right="0"/>
              <w:rPr>
                <w:rFonts w:hint="eastAsia" w:ascii="Calibri" w:hAnsi="Calibri" w:eastAsia="宋体" w:cs="Times New Roman"/>
                <w:color w:val="auto"/>
                <w:highlight w:val="none"/>
                <w:lang w:val="en-US"/>
              </w:rPr>
            </w:pPr>
          </w:p>
          <w:p w14:paraId="473EF83C">
            <w:pPr>
              <w:keepNext w:val="0"/>
              <w:keepLines w:val="0"/>
              <w:suppressLineNumbers w:val="0"/>
              <w:spacing w:before="0" w:beforeAutospacing="0" w:after="0" w:afterAutospacing="0" w:line="440" w:lineRule="exact"/>
              <w:ind w:left="0" w:right="0"/>
              <w:jc w:val="center"/>
              <w:rPr>
                <w:rFonts w:hint="default" w:ascii="Calibri" w:hAnsi="Calibri" w:eastAsia="宋体" w:cs="Times New Roman"/>
                <w:color w:val="auto"/>
                <w:highlight w:val="none"/>
              </w:rPr>
            </w:pPr>
            <w:r>
              <w:rPr>
                <w:rFonts w:hint="eastAsia" w:ascii="Calibri" w:hAnsi="Calibri" w:eastAsia="黑体" w:cs="黑体"/>
                <w:color w:val="auto"/>
                <w:sz w:val="28"/>
                <w:szCs w:val="28"/>
                <w:highlight w:val="none"/>
              </w:rPr>
              <w:t>资格审查评审记录表二（合格制）</w:t>
            </w:r>
          </w:p>
          <w:p w14:paraId="667D2F30">
            <w:pPr>
              <w:keepNext w:val="0"/>
              <w:keepLines w:val="0"/>
              <w:suppressLineNumbers w:val="0"/>
              <w:spacing w:before="0" w:beforeAutospacing="0" w:after="72" w:afterLines="30" w:afterAutospacing="0" w:line="440" w:lineRule="exact"/>
              <w:ind w:left="0" w:right="0"/>
              <w:rPr>
                <w:rFonts w:hint="default" w:ascii="Calibri" w:hAnsi="Calibri" w:eastAsia="宋体" w:cs="Times New Roman"/>
                <w:color w:val="auto"/>
                <w:highlight w:val="none"/>
              </w:rPr>
            </w:pPr>
            <w:r>
              <w:rPr>
                <w:rFonts w:hint="eastAsia" w:ascii="Calibri" w:hAnsi="Calibri" w:cs="宋体"/>
                <w:color w:val="auto"/>
                <w:highlight w:val="none"/>
                <w:lang w:val="en-US" w:eastAsia="zh-CN"/>
              </w:rPr>
              <w:t>招标</w:t>
            </w:r>
            <w:r>
              <w:rPr>
                <w:rFonts w:hint="eastAsia" w:ascii="Calibri" w:hAnsi="Calibri" w:eastAsia="宋体" w:cs="宋体"/>
                <w:color w:val="auto"/>
                <w:highlight w:val="none"/>
              </w:rPr>
              <w:t>项目名称及</w:t>
            </w:r>
            <w:r>
              <w:rPr>
                <w:rFonts w:hint="eastAsia" w:ascii="Calibri" w:hAnsi="Calibri" w:eastAsia="宋体" w:cs="宋体"/>
                <w:color w:val="auto"/>
                <w:highlight w:val="none"/>
                <w:lang w:eastAsia="zh-CN"/>
              </w:rPr>
              <w:t>招标项目编号</w:t>
            </w:r>
            <w:r>
              <w:rPr>
                <w:rFonts w:hint="eastAsia" w:ascii="Calibri" w:hAnsi="Calibri" w:eastAsia="宋体" w:cs="宋体"/>
                <w:color w:val="auto"/>
                <w:highlight w:val="none"/>
              </w:rPr>
              <w:t>：</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时间：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日</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415"/>
              <w:gridCol w:w="1210"/>
              <w:gridCol w:w="1211"/>
              <w:gridCol w:w="1210"/>
              <w:gridCol w:w="1211"/>
              <w:gridCol w:w="1210"/>
              <w:gridCol w:w="1211"/>
              <w:gridCol w:w="1210"/>
              <w:gridCol w:w="1211"/>
              <w:gridCol w:w="1211"/>
            </w:tblGrid>
            <w:tr w14:paraId="7A24B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326AEB1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2415" w:type="dxa"/>
                  <w:noWrap w:val="0"/>
                  <w:vAlign w:val="center"/>
                </w:tcPr>
                <w:p w14:paraId="5BF4873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10895" w:type="dxa"/>
                  <w:gridSpan w:val="9"/>
                  <w:noWrap w:val="0"/>
                  <w:vAlign w:val="top"/>
                </w:tcPr>
                <w:p w14:paraId="574D530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1608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38" w:type="dxa"/>
                  <w:noWrap w:val="0"/>
                  <w:vAlign w:val="center"/>
                </w:tcPr>
                <w:p w14:paraId="6C5790D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w:t>
                  </w:r>
                </w:p>
              </w:tc>
              <w:tc>
                <w:tcPr>
                  <w:tcW w:w="2415" w:type="dxa"/>
                  <w:noWrap w:val="0"/>
                  <w:vAlign w:val="center"/>
                </w:tcPr>
                <w:p w14:paraId="6B668EB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投标文件签署</w:t>
                  </w:r>
                </w:p>
              </w:tc>
              <w:tc>
                <w:tcPr>
                  <w:tcW w:w="1210" w:type="dxa"/>
                  <w:noWrap w:val="0"/>
                  <w:vAlign w:val="center"/>
                </w:tcPr>
                <w:p w14:paraId="02D13E7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FFB28D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F2E648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12BF9C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0FA1D4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AD3803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F6AC9F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FBA23B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A4CE5E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758D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38" w:type="dxa"/>
                  <w:noWrap w:val="0"/>
                  <w:vAlign w:val="center"/>
                </w:tcPr>
                <w:p w14:paraId="7F60887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w:t>
                  </w:r>
                </w:p>
              </w:tc>
              <w:tc>
                <w:tcPr>
                  <w:tcW w:w="2415" w:type="dxa"/>
                  <w:noWrap w:val="0"/>
                  <w:vAlign w:val="center"/>
                </w:tcPr>
                <w:p w14:paraId="3B76F4E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营业执照</w:t>
                  </w:r>
                </w:p>
              </w:tc>
              <w:tc>
                <w:tcPr>
                  <w:tcW w:w="1210" w:type="dxa"/>
                  <w:noWrap w:val="0"/>
                  <w:vAlign w:val="center"/>
                </w:tcPr>
                <w:p w14:paraId="26C133B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B995C3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02046E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7B9F8A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86BE87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21AC16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8E07FF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F2DEEF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96A7C6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6842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noWrap w:val="0"/>
                  <w:vAlign w:val="center"/>
                </w:tcPr>
                <w:p w14:paraId="2B0C2DE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2415" w:type="dxa"/>
                  <w:noWrap w:val="0"/>
                  <w:vAlign w:val="center"/>
                </w:tcPr>
                <w:p w14:paraId="3462EB2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安全生产许可证</w:t>
                  </w:r>
                </w:p>
              </w:tc>
              <w:tc>
                <w:tcPr>
                  <w:tcW w:w="1210" w:type="dxa"/>
                  <w:noWrap w:val="0"/>
                  <w:vAlign w:val="center"/>
                </w:tcPr>
                <w:p w14:paraId="231FE9E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8AAD1E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4DEE7D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20EAB6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831749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942E82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6755FE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E32A53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1831B5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1A14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noWrap w:val="0"/>
                  <w:vAlign w:val="center"/>
                </w:tcPr>
                <w:p w14:paraId="5209A25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4</w:t>
                  </w:r>
                </w:p>
              </w:tc>
              <w:tc>
                <w:tcPr>
                  <w:tcW w:w="2415" w:type="dxa"/>
                  <w:noWrap w:val="0"/>
                  <w:vAlign w:val="center"/>
                </w:tcPr>
                <w:p w14:paraId="0B05D3E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资质等级</w:t>
                  </w:r>
                </w:p>
              </w:tc>
              <w:tc>
                <w:tcPr>
                  <w:tcW w:w="1210" w:type="dxa"/>
                  <w:noWrap w:val="0"/>
                  <w:vAlign w:val="center"/>
                </w:tcPr>
                <w:p w14:paraId="4CDE21C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0058D3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4543B5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469D07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4541F6F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723301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D4CAC1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3DD3B6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B504FA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0902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8" w:type="dxa"/>
                  <w:noWrap w:val="0"/>
                  <w:vAlign w:val="center"/>
                </w:tcPr>
                <w:p w14:paraId="7DEDA61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w:t>
                  </w:r>
                </w:p>
              </w:tc>
              <w:tc>
                <w:tcPr>
                  <w:tcW w:w="2415" w:type="dxa"/>
                  <w:noWrap w:val="0"/>
                  <w:vAlign w:val="center"/>
                </w:tcPr>
                <w:p w14:paraId="46F30D9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财务状况</w:t>
                  </w:r>
                </w:p>
              </w:tc>
              <w:tc>
                <w:tcPr>
                  <w:tcW w:w="1210" w:type="dxa"/>
                  <w:noWrap w:val="0"/>
                  <w:vAlign w:val="center"/>
                </w:tcPr>
                <w:p w14:paraId="76966C9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EAA7DC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64F236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4648EE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E9BEEC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224278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FF9043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DA87D9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5A4DF8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1AFA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38" w:type="dxa"/>
                  <w:noWrap w:val="0"/>
                  <w:vAlign w:val="center"/>
                </w:tcPr>
                <w:p w14:paraId="4C43C42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6</w:t>
                  </w:r>
                </w:p>
              </w:tc>
              <w:tc>
                <w:tcPr>
                  <w:tcW w:w="2415" w:type="dxa"/>
                  <w:noWrap w:val="0"/>
                  <w:vAlign w:val="center"/>
                </w:tcPr>
                <w:p w14:paraId="15C61A8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类似项目业绩（如有）</w:t>
                  </w:r>
                </w:p>
              </w:tc>
              <w:tc>
                <w:tcPr>
                  <w:tcW w:w="1210" w:type="dxa"/>
                  <w:noWrap w:val="0"/>
                  <w:vAlign w:val="center"/>
                </w:tcPr>
                <w:p w14:paraId="2E26A5A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C7FA3E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A495AF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C04955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FEDAEA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F8D292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7DC39A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C5A44B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6B75C3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7ED0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38" w:type="dxa"/>
                  <w:noWrap w:val="0"/>
                  <w:vAlign w:val="center"/>
                </w:tcPr>
                <w:p w14:paraId="2575CEF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7</w:t>
                  </w:r>
                </w:p>
              </w:tc>
              <w:tc>
                <w:tcPr>
                  <w:tcW w:w="2415" w:type="dxa"/>
                  <w:noWrap w:val="0"/>
                  <w:vAlign w:val="center"/>
                </w:tcPr>
                <w:p w14:paraId="464FAC6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诚信</w:t>
                  </w:r>
                </w:p>
              </w:tc>
              <w:tc>
                <w:tcPr>
                  <w:tcW w:w="1210" w:type="dxa"/>
                  <w:noWrap w:val="0"/>
                  <w:vAlign w:val="center"/>
                </w:tcPr>
                <w:p w14:paraId="1B3381B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D7BD82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350807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972227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110A61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6EBC7C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F3BD04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38C464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E1D0DF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5AF7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6A4C52F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8</w:t>
                  </w:r>
                </w:p>
              </w:tc>
              <w:tc>
                <w:tcPr>
                  <w:tcW w:w="2415" w:type="dxa"/>
                  <w:noWrap w:val="0"/>
                  <w:vAlign w:val="center"/>
                </w:tcPr>
                <w:p w14:paraId="6A66DD2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项目经理</w:t>
                  </w:r>
                </w:p>
              </w:tc>
              <w:tc>
                <w:tcPr>
                  <w:tcW w:w="1210" w:type="dxa"/>
                  <w:noWrap w:val="0"/>
                  <w:vAlign w:val="center"/>
                </w:tcPr>
                <w:p w14:paraId="0822E36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E7A485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866F61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D9A5EB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B29F51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8BC689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E3FE27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7C0137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C6F010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0C87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3868A84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9</w:t>
                  </w:r>
                </w:p>
              </w:tc>
              <w:tc>
                <w:tcPr>
                  <w:tcW w:w="2415" w:type="dxa"/>
                  <w:noWrap w:val="0"/>
                  <w:vAlign w:val="center"/>
                </w:tcPr>
                <w:p w14:paraId="72B9840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专职安全生产管理人员</w:t>
                  </w:r>
                </w:p>
              </w:tc>
              <w:tc>
                <w:tcPr>
                  <w:tcW w:w="1210" w:type="dxa"/>
                  <w:noWrap w:val="0"/>
                  <w:vAlign w:val="center"/>
                </w:tcPr>
                <w:p w14:paraId="3150963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9073B8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D24B98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DA8CED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88E269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7A00B0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BE4139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D333CAF">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61A895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1775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0B895ED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10</w:t>
                  </w:r>
                </w:p>
              </w:tc>
              <w:tc>
                <w:tcPr>
                  <w:tcW w:w="2415" w:type="dxa"/>
                  <w:noWrap w:val="0"/>
                  <w:vAlign w:val="center"/>
                </w:tcPr>
                <w:p w14:paraId="7DBAB9D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联合体投标人（如有）</w:t>
                  </w:r>
                </w:p>
              </w:tc>
              <w:tc>
                <w:tcPr>
                  <w:tcW w:w="1210" w:type="dxa"/>
                  <w:noWrap w:val="0"/>
                  <w:vAlign w:val="center"/>
                </w:tcPr>
                <w:p w14:paraId="53DA186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5E6F47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A297CB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2D71DC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2646C98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DEBAF7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781D3A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0F81DC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449360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7461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8" w:type="dxa"/>
                  <w:noWrap w:val="0"/>
                  <w:vAlign w:val="center"/>
                </w:tcPr>
                <w:p w14:paraId="6D8310A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11</w:t>
                  </w:r>
                </w:p>
              </w:tc>
              <w:tc>
                <w:tcPr>
                  <w:tcW w:w="2415" w:type="dxa"/>
                  <w:noWrap w:val="0"/>
                  <w:vAlign w:val="center"/>
                </w:tcPr>
                <w:p w14:paraId="6319259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投标保证金</w:t>
                  </w:r>
                </w:p>
              </w:tc>
              <w:tc>
                <w:tcPr>
                  <w:tcW w:w="1210" w:type="dxa"/>
                  <w:noWrap w:val="0"/>
                  <w:vAlign w:val="center"/>
                </w:tcPr>
                <w:p w14:paraId="685763D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07D283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53AB49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1289446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A12FE4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78E44B1">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3EAFB5A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78E4A1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5DF855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3E6C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24E999E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12</w:t>
                  </w:r>
                </w:p>
              </w:tc>
              <w:tc>
                <w:tcPr>
                  <w:tcW w:w="2415" w:type="dxa"/>
                  <w:noWrap w:val="0"/>
                  <w:vAlign w:val="center"/>
                </w:tcPr>
                <w:p w14:paraId="7135C03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其他要求</w:t>
                  </w:r>
                </w:p>
              </w:tc>
              <w:tc>
                <w:tcPr>
                  <w:tcW w:w="1210" w:type="dxa"/>
                  <w:noWrap w:val="0"/>
                  <w:vAlign w:val="center"/>
                </w:tcPr>
                <w:p w14:paraId="193B6DE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2CBBF3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6DF10C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64E6A2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71BBEA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FF0DF7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0C86DDE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ABD4F9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06D035E2">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7AF1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 w:hRule="atLeast"/>
              </w:trPr>
              <w:tc>
                <w:tcPr>
                  <w:tcW w:w="738" w:type="dxa"/>
                  <w:noWrap w:val="0"/>
                  <w:vAlign w:val="center"/>
                </w:tcPr>
                <w:p w14:paraId="4F3E03A9">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13</w:t>
                  </w:r>
                </w:p>
              </w:tc>
              <w:tc>
                <w:tcPr>
                  <w:tcW w:w="2415" w:type="dxa"/>
                  <w:noWrap w:val="0"/>
                  <w:vAlign w:val="center"/>
                </w:tcPr>
                <w:p w14:paraId="1CFFFD13">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1210" w:type="dxa"/>
                  <w:noWrap w:val="0"/>
                  <w:vAlign w:val="center"/>
                </w:tcPr>
                <w:p w14:paraId="47A1E4A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DF652D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457442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0385EA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A6943CE">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126B51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5026E9F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7A360F6A">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BFDBB88">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r w14:paraId="63ECD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153" w:type="dxa"/>
                  <w:gridSpan w:val="2"/>
                  <w:noWrap w:val="0"/>
                  <w:vAlign w:val="top"/>
                </w:tcPr>
                <w:p w14:paraId="6E6C1226">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是否通过评审</w:t>
                  </w:r>
                </w:p>
              </w:tc>
              <w:tc>
                <w:tcPr>
                  <w:tcW w:w="1210" w:type="dxa"/>
                  <w:noWrap w:val="0"/>
                  <w:vAlign w:val="center"/>
                </w:tcPr>
                <w:p w14:paraId="70DB46C0">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3CC198F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121F7F7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6D9623B5">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706C78EC">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58A1F02D">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0" w:type="dxa"/>
                  <w:noWrap w:val="0"/>
                  <w:vAlign w:val="center"/>
                </w:tcPr>
                <w:p w14:paraId="645197D7">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437CE8FB">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c>
                <w:tcPr>
                  <w:tcW w:w="1211" w:type="dxa"/>
                  <w:noWrap w:val="0"/>
                  <w:vAlign w:val="center"/>
                </w:tcPr>
                <w:p w14:paraId="284EC6D4">
                  <w:pPr>
                    <w:keepNext w:val="0"/>
                    <w:keepLines w:val="0"/>
                    <w:suppressLineNumbers w:val="0"/>
                    <w:spacing w:before="0" w:beforeAutospacing="0" w:after="72" w:afterLines="30" w:afterAutospacing="0" w:line="320" w:lineRule="atLeast"/>
                    <w:ind w:left="0" w:right="0"/>
                    <w:jc w:val="center"/>
                    <w:rPr>
                      <w:rFonts w:hint="default" w:ascii="Calibri" w:hAnsi="Calibri" w:eastAsia="宋体" w:cs="Times New Roman"/>
                      <w:color w:val="auto"/>
                      <w:highlight w:val="none"/>
                    </w:rPr>
                  </w:pPr>
                </w:p>
              </w:tc>
            </w:tr>
          </w:tbl>
          <w:p w14:paraId="5A61A09A">
            <w:pPr>
              <w:keepNext w:val="0"/>
              <w:keepLines w:val="0"/>
              <w:suppressLineNumbers w:val="0"/>
              <w:spacing w:before="0" w:beforeAutospacing="0" w:after="0" w:afterAutospacing="0" w:line="440" w:lineRule="exact"/>
              <w:ind w:left="0" w:right="0"/>
              <w:rPr>
                <w:rFonts w:hint="default" w:ascii="Calibri" w:hAnsi="Calibri" w:eastAsia="宋体" w:cs="Times New Roman"/>
                <w:color w:val="auto"/>
                <w:highlight w:val="none"/>
              </w:rPr>
            </w:pPr>
            <w:r>
              <w:rPr>
                <w:rFonts w:hint="eastAsia" w:ascii="Calibri" w:hAnsi="Calibri" w:eastAsia="楷体_GB2312" w:cs="楷体_GB2312"/>
                <w:color w:val="auto"/>
                <w:highlight w:val="none"/>
              </w:rPr>
              <w:t>【备注：根据评分办法的资格审查标准调整本表】</w:t>
            </w:r>
          </w:p>
          <w:p w14:paraId="2EE29E54">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highlight w:val="none"/>
              </w:rPr>
            </w:pPr>
            <w:r>
              <w:rPr>
                <w:rFonts w:hint="eastAsia" w:ascii="Calibri" w:hAnsi="Calibri" w:eastAsia="宋体" w:cs="宋体"/>
                <w:color w:val="auto"/>
                <w:highlight w:val="none"/>
              </w:rPr>
              <w:t>评标委员会全体成员签名：</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日期：</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年</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月</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日</w:t>
            </w:r>
            <w:r>
              <w:rPr>
                <w:rFonts w:hint="default" w:ascii="Calibri" w:hAnsi="Calibri" w:eastAsia="宋体" w:cs="Times New Roman"/>
                <w:color w:val="auto"/>
                <w:kern w:val="0"/>
                <w:sz w:val="24"/>
                <w:highlight w:val="none"/>
              </w:rPr>
              <w:t xml:space="preserve">                                                                                                                                                                  </w:t>
            </w:r>
          </w:p>
        </w:tc>
      </w:tr>
      <w:tr w14:paraId="0CDEE50C">
        <w:tblPrEx>
          <w:tblCellMar>
            <w:top w:w="15" w:type="dxa"/>
            <w:left w:w="15" w:type="dxa"/>
            <w:bottom w:w="15" w:type="dxa"/>
            <w:right w:w="15" w:type="dxa"/>
          </w:tblCellMar>
        </w:tblPrEx>
        <w:trPr>
          <w:trHeight w:val="285" w:hRule="atLeast"/>
        </w:trPr>
        <w:tc>
          <w:tcPr>
            <w:tcW w:w="449" w:type="dxa"/>
            <w:noWrap w:val="0"/>
            <w:vAlign w:val="bottom"/>
          </w:tcPr>
          <w:p w14:paraId="1E6E70BF">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highlight w:val="none"/>
              </w:rPr>
            </w:pPr>
          </w:p>
        </w:tc>
        <w:tc>
          <w:tcPr>
            <w:tcW w:w="4575" w:type="dxa"/>
            <w:gridSpan w:val="2"/>
            <w:noWrap w:val="0"/>
            <w:vAlign w:val="bottom"/>
          </w:tcPr>
          <w:p w14:paraId="3A339B91">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780" w:type="dxa"/>
            <w:noWrap w:val="0"/>
            <w:vAlign w:val="bottom"/>
          </w:tcPr>
          <w:p w14:paraId="1ACD940C">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930" w:type="dxa"/>
            <w:noWrap w:val="0"/>
            <w:vAlign w:val="bottom"/>
          </w:tcPr>
          <w:p w14:paraId="73BBBA89">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10" w:type="dxa"/>
            <w:noWrap w:val="0"/>
            <w:vAlign w:val="bottom"/>
          </w:tcPr>
          <w:p w14:paraId="381AFCE5">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20" w:type="dxa"/>
            <w:noWrap w:val="0"/>
            <w:vAlign w:val="bottom"/>
          </w:tcPr>
          <w:p w14:paraId="6A80BB5B">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50" w:type="dxa"/>
            <w:noWrap w:val="0"/>
            <w:vAlign w:val="bottom"/>
          </w:tcPr>
          <w:p w14:paraId="2B01FBD3">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51" w:type="dxa"/>
            <w:noWrap w:val="0"/>
            <w:vAlign w:val="bottom"/>
          </w:tcPr>
          <w:p w14:paraId="0280F087">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992" w:type="dxa"/>
            <w:noWrap w:val="0"/>
            <w:vAlign w:val="bottom"/>
          </w:tcPr>
          <w:p w14:paraId="1D3E4239">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992" w:type="dxa"/>
            <w:noWrap w:val="0"/>
            <w:vAlign w:val="top"/>
          </w:tcPr>
          <w:p w14:paraId="1828F49D">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992" w:type="dxa"/>
            <w:noWrap w:val="0"/>
            <w:vAlign w:val="bottom"/>
          </w:tcPr>
          <w:p w14:paraId="1408F443">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51" w:type="dxa"/>
            <w:noWrap w:val="0"/>
            <w:vAlign w:val="bottom"/>
          </w:tcPr>
          <w:p w14:paraId="6ADD40C6">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c>
          <w:tcPr>
            <w:tcW w:w="865" w:type="dxa"/>
            <w:noWrap w:val="0"/>
            <w:vAlign w:val="bottom"/>
          </w:tcPr>
          <w:p w14:paraId="593DCDA5">
            <w:pPr>
              <w:keepNext w:val="0"/>
              <w:keepLines w:val="0"/>
              <w:widowControl/>
              <w:suppressLineNumbers w:val="0"/>
              <w:spacing w:before="0" w:beforeAutospacing="0" w:after="0" w:afterAutospacing="0"/>
              <w:ind w:left="0" w:right="0"/>
              <w:jc w:val="left"/>
              <w:rPr>
                <w:rFonts w:hint="default" w:ascii="Calibri" w:hAnsi="Calibri" w:eastAsia="Times New Roman" w:cs="Times New Roman"/>
                <w:color w:val="auto"/>
                <w:kern w:val="0"/>
                <w:sz w:val="20"/>
                <w:szCs w:val="20"/>
                <w:highlight w:val="none"/>
              </w:rPr>
            </w:pPr>
          </w:p>
        </w:tc>
      </w:tr>
    </w:tbl>
    <w:p w14:paraId="3AB25621">
      <w:pPr>
        <w:pStyle w:val="5"/>
        <w:spacing w:line="240" w:lineRule="auto"/>
        <w:rPr>
          <w:color w:val="auto"/>
          <w:sz w:val="28"/>
          <w:szCs w:val="28"/>
          <w:highlight w:val="none"/>
        </w:rPr>
      </w:pPr>
      <w:bookmarkStart w:id="608" w:name="_Toc78449762"/>
      <w:bookmarkStart w:id="609" w:name="_Toc262430124"/>
      <w:bookmarkStart w:id="610" w:name="_Toc12290"/>
      <w:bookmarkStart w:id="611" w:name="_Toc18052500"/>
      <w:bookmarkStart w:id="612" w:name="_Toc12567"/>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rFonts w:hint="eastAsia"/>
          <w:color w:val="auto"/>
          <w:sz w:val="28"/>
          <w:szCs w:val="28"/>
          <w:highlight w:val="none"/>
          <w:lang w:val="en-US" w:eastAsia="zh-CN"/>
        </w:rPr>
        <w:t>11</w:t>
      </w:r>
      <w:r>
        <w:rPr>
          <w:rFonts w:hint="eastAsia"/>
          <w:color w:val="auto"/>
          <w:sz w:val="28"/>
          <w:szCs w:val="28"/>
          <w:highlight w:val="none"/>
        </w:rPr>
        <w:t>：资格审查评审记录表</w:t>
      </w:r>
      <w:bookmarkEnd w:id="608"/>
      <w:r>
        <w:rPr>
          <w:rFonts w:hint="eastAsia"/>
          <w:color w:val="auto"/>
          <w:sz w:val="28"/>
          <w:szCs w:val="28"/>
          <w:highlight w:val="none"/>
        </w:rPr>
        <w:t>二</w:t>
      </w:r>
      <w:bookmarkEnd w:id="609"/>
      <w:bookmarkEnd w:id="610"/>
      <w:bookmarkEnd w:id="611"/>
      <w:bookmarkEnd w:id="612"/>
    </w:p>
    <w:p w14:paraId="1A10F8B7">
      <w:pPr>
        <w:spacing w:line="440" w:lineRule="exact"/>
        <w:jc w:val="center"/>
        <w:rPr>
          <w:color w:val="auto"/>
          <w:highlight w:val="none"/>
        </w:rPr>
      </w:pPr>
      <w:r>
        <w:rPr>
          <w:rFonts w:hint="eastAsia" w:eastAsia="黑体" w:cs="黑体"/>
          <w:color w:val="auto"/>
          <w:sz w:val="28"/>
          <w:szCs w:val="28"/>
          <w:highlight w:val="none"/>
        </w:rPr>
        <w:t>资格审查评审记录表二（有限数量制）</w:t>
      </w:r>
    </w:p>
    <w:p w14:paraId="60D7A8ED">
      <w:pPr>
        <w:spacing w:after="72" w:afterLines="30" w:line="440" w:lineRule="exact"/>
        <w:rPr>
          <w:color w:val="auto"/>
          <w:highlight w:val="none"/>
        </w:rPr>
      </w:pPr>
      <w:r>
        <w:rPr>
          <w:rFonts w:hint="eastAsia" w:ascii="Calibri" w:hAnsi="Calibri"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1"/>
        <w:tblW w:w="144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3360"/>
        <w:gridCol w:w="1005"/>
        <w:gridCol w:w="993"/>
        <w:gridCol w:w="992"/>
        <w:gridCol w:w="1134"/>
        <w:gridCol w:w="1134"/>
        <w:gridCol w:w="1134"/>
        <w:gridCol w:w="1134"/>
        <w:gridCol w:w="1134"/>
        <w:gridCol w:w="850"/>
        <w:gridCol w:w="851"/>
      </w:tblGrid>
      <w:tr w14:paraId="5D8F4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738" w:type="dxa"/>
            <w:noWrap w:val="0"/>
            <w:vAlign w:val="center"/>
          </w:tcPr>
          <w:p w14:paraId="2BCC9E42">
            <w:pPr>
              <w:keepNext w:val="0"/>
              <w:keepLines w:val="0"/>
              <w:suppressLineNumbers w:val="0"/>
              <w:spacing w:before="0" w:beforeAutospacing="0" w:after="0" w:afterAutospacing="0" w:line="44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360" w:type="dxa"/>
            <w:noWrap w:val="0"/>
            <w:vAlign w:val="center"/>
          </w:tcPr>
          <w:p w14:paraId="23DFA963">
            <w:pPr>
              <w:keepNext w:val="0"/>
              <w:keepLines w:val="0"/>
              <w:suppressLineNumbers w:val="0"/>
              <w:spacing w:before="0" w:beforeAutospacing="0" w:after="0" w:afterAutospacing="0" w:line="44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9510" w:type="dxa"/>
            <w:gridSpan w:val="9"/>
            <w:noWrap w:val="0"/>
            <w:vAlign w:val="center"/>
          </w:tcPr>
          <w:p w14:paraId="6AEEBEE3">
            <w:pPr>
              <w:keepNext w:val="0"/>
              <w:keepLines w:val="0"/>
              <w:suppressLineNumbers w:val="0"/>
              <w:spacing w:before="0" w:beforeAutospacing="0" w:after="0" w:afterAutospacing="0" w:line="440" w:lineRule="atLeast"/>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c>
          <w:tcPr>
            <w:tcW w:w="851" w:type="dxa"/>
            <w:noWrap w:val="0"/>
            <w:vAlign w:val="top"/>
          </w:tcPr>
          <w:p w14:paraId="455F4FE7">
            <w:pPr>
              <w:keepNext w:val="0"/>
              <w:keepLines w:val="0"/>
              <w:suppressLineNumbers w:val="0"/>
              <w:spacing w:before="0" w:beforeAutospacing="0" w:after="0" w:afterAutospacing="0" w:line="440" w:lineRule="atLeast"/>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备注</w:t>
            </w:r>
          </w:p>
        </w:tc>
      </w:tr>
      <w:tr w14:paraId="389A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38" w:type="dxa"/>
            <w:noWrap w:val="0"/>
            <w:vAlign w:val="center"/>
          </w:tcPr>
          <w:p w14:paraId="0FA2FB67">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u w:val="single"/>
              </w:rPr>
              <w:t>1</w:t>
            </w:r>
          </w:p>
        </w:tc>
        <w:tc>
          <w:tcPr>
            <w:tcW w:w="3360" w:type="dxa"/>
            <w:noWrap w:val="0"/>
            <w:vAlign w:val="top"/>
          </w:tcPr>
          <w:p w14:paraId="168317A6">
            <w:pPr>
              <w:keepNext w:val="0"/>
              <w:keepLines w:val="0"/>
              <w:suppressLineNumbers w:val="0"/>
              <w:spacing w:before="0" w:beforeAutospacing="0" w:after="0" w:afterAutospacing="0" w:line="380" w:lineRule="atLeast"/>
              <w:ind w:left="0" w:right="0"/>
              <w:jc w:val="left"/>
              <w:rPr>
                <w:rFonts w:hint="default" w:ascii="Calibri" w:hAnsi="Calibri" w:eastAsia="宋体" w:cs="宋体"/>
                <w:color w:val="auto"/>
                <w:highlight w:val="none"/>
              </w:rPr>
            </w:pPr>
            <w:r>
              <w:rPr>
                <w:rFonts w:hint="eastAsia" w:ascii="Calibri" w:hAnsi="Calibri" w:eastAsia="宋体" w:cs="宋体"/>
                <w:color w:val="auto"/>
                <w:highlight w:val="none"/>
              </w:rPr>
              <w:t>（一）企业基本情况</w:t>
            </w:r>
          </w:p>
          <w:p w14:paraId="74D89A7E">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u w:val="single"/>
              </w:rPr>
            </w:pPr>
            <w:r>
              <w:rPr>
                <w:rFonts w:hint="eastAsia" w:ascii="Calibri" w:hAnsi="Calibri" w:eastAsia="宋体" w:cs="宋体"/>
                <w:color w:val="auto"/>
                <w:highlight w:val="none"/>
              </w:rPr>
              <w:t>（满分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分）</w:t>
            </w:r>
          </w:p>
        </w:tc>
        <w:tc>
          <w:tcPr>
            <w:tcW w:w="1005" w:type="dxa"/>
            <w:noWrap w:val="0"/>
            <w:vAlign w:val="center"/>
          </w:tcPr>
          <w:p w14:paraId="498A9E6D">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3" w:type="dxa"/>
            <w:noWrap w:val="0"/>
            <w:vAlign w:val="center"/>
          </w:tcPr>
          <w:p w14:paraId="382072B0">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2" w:type="dxa"/>
            <w:noWrap w:val="0"/>
            <w:vAlign w:val="center"/>
          </w:tcPr>
          <w:p w14:paraId="542CC1ED">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1F4F6653">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09AAEB9F">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52745974">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3DEF2CED">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7CD87132">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0" w:type="dxa"/>
            <w:noWrap w:val="0"/>
            <w:vAlign w:val="center"/>
          </w:tcPr>
          <w:p w14:paraId="34C5AD98">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1" w:type="dxa"/>
            <w:noWrap w:val="0"/>
            <w:vAlign w:val="top"/>
          </w:tcPr>
          <w:p w14:paraId="15C93878">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r>
      <w:tr w14:paraId="2FA1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38" w:type="dxa"/>
            <w:noWrap w:val="0"/>
            <w:vAlign w:val="center"/>
          </w:tcPr>
          <w:p w14:paraId="21093875">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u w:val="single"/>
              </w:rPr>
              <w:t>2</w:t>
            </w:r>
          </w:p>
        </w:tc>
        <w:tc>
          <w:tcPr>
            <w:tcW w:w="3360" w:type="dxa"/>
            <w:noWrap w:val="0"/>
            <w:vAlign w:val="top"/>
          </w:tcPr>
          <w:p w14:paraId="06426B69">
            <w:pPr>
              <w:keepNext w:val="0"/>
              <w:keepLines w:val="0"/>
              <w:suppressLineNumbers w:val="0"/>
              <w:spacing w:before="0" w:beforeAutospacing="0" w:after="0" w:afterAutospacing="0" w:line="380" w:lineRule="atLeast"/>
              <w:ind w:left="0" w:right="0"/>
              <w:jc w:val="left"/>
              <w:rPr>
                <w:rFonts w:hint="default" w:ascii="Calibri" w:hAnsi="Calibri" w:eastAsia="宋体" w:cs="宋体"/>
                <w:color w:val="auto"/>
                <w:highlight w:val="none"/>
              </w:rPr>
            </w:pPr>
            <w:r>
              <w:rPr>
                <w:rFonts w:hint="eastAsia" w:ascii="Calibri" w:hAnsi="Calibri" w:eastAsia="宋体" w:cs="宋体"/>
                <w:color w:val="auto"/>
                <w:highlight w:val="none"/>
              </w:rPr>
              <w:t>（二）企业信誉实力分</w:t>
            </w:r>
          </w:p>
          <w:p w14:paraId="342A1CA4">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u w:val="single"/>
              </w:rPr>
            </w:pPr>
            <w:r>
              <w:rPr>
                <w:rFonts w:hint="eastAsia" w:ascii="Calibri" w:hAnsi="Calibri" w:eastAsia="宋体" w:cs="宋体"/>
                <w:color w:val="auto"/>
                <w:highlight w:val="none"/>
              </w:rPr>
              <w:t>（满分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分）</w:t>
            </w:r>
          </w:p>
        </w:tc>
        <w:tc>
          <w:tcPr>
            <w:tcW w:w="1005" w:type="dxa"/>
            <w:noWrap w:val="0"/>
            <w:vAlign w:val="center"/>
          </w:tcPr>
          <w:p w14:paraId="24823BD5">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3" w:type="dxa"/>
            <w:noWrap w:val="0"/>
            <w:vAlign w:val="center"/>
          </w:tcPr>
          <w:p w14:paraId="452CC602">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2" w:type="dxa"/>
            <w:noWrap w:val="0"/>
            <w:vAlign w:val="center"/>
          </w:tcPr>
          <w:p w14:paraId="326D1932">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5F72471D">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07DA9C0F">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1431096D">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177A60FE">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33C0DC38">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0" w:type="dxa"/>
            <w:noWrap w:val="0"/>
            <w:vAlign w:val="center"/>
          </w:tcPr>
          <w:p w14:paraId="61D237CB">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1" w:type="dxa"/>
            <w:noWrap w:val="0"/>
            <w:vAlign w:val="top"/>
          </w:tcPr>
          <w:p w14:paraId="0B3D4AB7">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r>
      <w:tr w14:paraId="0A70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116571B9">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u w:val="single"/>
              </w:rPr>
              <w:t>3</w:t>
            </w:r>
          </w:p>
        </w:tc>
        <w:tc>
          <w:tcPr>
            <w:tcW w:w="3360" w:type="dxa"/>
            <w:noWrap w:val="0"/>
            <w:vAlign w:val="top"/>
          </w:tcPr>
          <w:p w14:paraId="693735AB">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（三）项目经理情况</w:t>
            </w:r>
          </w:p>
          <w:p w14:paraId="580FE357">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u w:val="single"/>
              </w:rPr>
            </w:pPr>
            <w:r>
              <w:rPr>
                <w:rFonts w:hint="eastAsia" w:ascii="Calibri" w:hAnsi="Calibri" w:eastAsia="宋体" w:cs="宋体"/>
                <w:color w:val="auto"/>
                <w:highlight w:val="none"/>
              </w:rPr>
              <w:t>（满分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分）</w:t>
            </w:r>
          </w:p>
        </w:tc>
        <w:tc>
          <w:tcPr>
            <w:tcW w:w="1005" w:type="dxa"/>
            <w:noWrap w:val="0"/>
            <w:vAlign w:val="center"/>
          </w:tcPr>
          <w:p w14:paraId="52E470C2">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3" w:type="dxa"/>
            <w:noWrap w:val="0"/>
            <w:vAlign w:val="center"/>
          </w:tcPr>
          <w:p w14:paraId="1A5614BA">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2" w:type="dxa"/>
            <w:noWrap w:val="0"/>
            <w:vAlign w:val="center"/>
          </w:tcPr>
          <w:p w14:paraId="30FDBC3E">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03E2E28D">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48147E63">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5D1C1908">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154ADD02">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5DA5D664">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0" w:type="dxa"/>
            <w:noWrap w:val="0"/>
            <w:vAlign w:val="center"/>
          </w:tcPr>
          <w:p w14:paraId="07FF5885">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1" w:type="dxa"/>
            <w:noWrap w:val="0"/>
            <w:vAlign w:val="top"/>
          </w:tcPr>
          <w:p w14:paraId="02D9EAA7">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r>
      <w:tr w14:paraId="1EAC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54364D3B">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u w:val="single"/>
              </w:rPr>
              <w:t>4</w:t>
            </w:r>
          </w:p>
        </w:tc>
        <w:tc>
          <w:tcPr>
            <w:tcW w:w="3360" w:type="dxa"/>
            <w:noWrap w:val="0"/>
            <w:vAlign w:val="top"/>
          </w:tcPr>
          <w:p w14:paraId="2AD88D2B">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（四）技术负责人情况</w:t>
            </w:r>
          </w:p>
          <w:p w14:paraId="6D89B839">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u w:val="single"/>
              </w:rPr>
            </w:pPr>
            <w:r>
              <w:rPr>
                <w:rFonts w:hint="eastAsia" w:ascii="Calibri" w:hAnsi="Calibri" w:eastAsia="宋体" w:cs="宋体"/>
                <w:color w:val="auto"/>
                <w:highlight w:val="none"/>
              </w:rPr>
              <w:t>（满分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分）</w:t>
            </w:r>
          </w:p>
        </w:tc>
        <w:tc>
          <w:tcPr>
            <w:tcW w:w="1005" w:type="dxa"/>
            <w:noWrap w:val="0"/>
            <w:vAlign w:val="center"/>
          </w:tcPr>
          <w:p w14:paraId="535F5A97">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3" w:type="dxa"/>
            <w:noWrap w:val="0"/>
            <w:vAlign w:val="center"/>
          </w:tcPr>
          <w:p w14:paraId="076963CC">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2" w:type="dxa"/>
            <w:noWrap w:val="0"/>
            <w:vAlign w:val="center"/>
          </w:tcPr>
          <w:p w14:paraId="72FA7315">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357F1A4A">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3381BAFF">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6B584D13">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6FABB76E">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7023575B">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0" w:type="dxa"/>
            <w:noWrap w:val="0"/>
            <w:vAlign w:val="center"/>
          </w:tcPr>
          <w:p w14:paraId="450F290F">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1" w:type="dxa"/>
            <w:noWrap w:val="0"/>
            <w:vAlign w:val="top"/>
          </w:tcPr>
          <w:p w14:paraId="67D05FE0">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r>
      <w:tr w14:paraId="343D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42AC3D25">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u w:val="single"/>
              </w:rPr>
              <w:t>5</w:t>
            </w:r>
          </w:p>
        </w:tc>
        <w:tc>
          <w:tcPr>
            <w:tcW w:w="3360" w:type="dxa"/>
            <w:noWrap w:val="0"/>
            <w:vAlign w:val="top"/>
          </w:tcPr>
          <w:p w14:paraId="31570678">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u w:val="single"/>
              </w:rPr>
            </w:pPr>
            <w:r>
              <w:rPr>
                <w:rFonts w:hint="eastAsia" w:ascii="Calibri" w:hAnsi="Calibri" w:eastAsia="宋体" w:cs="宋体"/>
                <w:color w:val="auto"/>
                <w:highlight w:val="none"/>
              </w:rPr>
              <w:t>（五）拟投入本工程管理人员情况（满分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分）</w:t>
            </w:r>
          </w:p>
        </w:tc>
        <w:tc>
          <w:tcPr>
            <w:tcW w:w="1005" w:type="dxa"/>
            <w:noWrap w:val="0"/>
            <w:vAlign w:val="center"/>
          </w:tcPr>
          <w:p w14:paraId="24FB1065">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3" w:type="dxa"/>
            <w:noWrap w:val="0"/>
            <w:vAlign w:val="center"/>
          </w:tcPr>
          <w:p w14:paraId="64CCD562">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2" w:type="dxa"/>
            <w:noWrap w:val="0"/>
            <w:vAlign w:val="center"/>
          </w:tcPr>
          <w:p w14:paraId="72A02539">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7AFD4FC3">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154E531E">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08FB8227">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5A0763CC">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6CB8479F">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0" w:type="dxa"/>
            <w:noWrap w:val="0"/>
            <w:vAlign w:val="center"/>
          </w:tcPr>
          <w:p w14:paraId="0D2278E4">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1" w:type="dxa"/>
            <w:noWrap w:val="0"/>
            <w:vAlign w:val="top"/>
          </w:tcPr>
          <w:p w14:paraId="1A4C7DA4">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r>
      <w:tr w14:paraId="22EA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7D9554BC">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u w:val="single"/>
              </w:rPr>
              <w:t>6</w:t>
            </w:r>
          </w:p>
        </w:tc>
        <w:tc>
          <w:tcPr>
            <w:tcW w:w="3360" w:type="dxa"/>
            <w:noWrap w:val="0"/>
            <w:vAlign w:val="top"/>
          </w:tcPr>
          <w:p w14:paraId="2360A4CE">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（六）拟投入施工机械设备情况</w:t>
            </w:r>
          </w:p>
          <w:p w14:paraId="260608EA">
            <w:pPr>
              <w:keepNext w:val="0"/>
              <w:keepLines w:val="0"/>
              <w:suppressLineNumbers w:val="0"/>
              <w:spacing w:before="0" w:beforeAutospacing="0" w:after="0" w:afterAutospacing="0" w:line="380" w:lineRule="atLeast"/>
              <w:ind w:left="0" w:right="0"/>
              <w:jc w:val="left"/>
              <w:rPr>
                <w:rFonts w:hint="default" w:ascii="Calibri" w:hAnsi="Calibri" w:eastAsia="宋体" w:cs="Times New Roman"/>
                <w:color w:val="auto"/>
                <w:highlight w:val="none"/>
                <w:u w:val="single"/>
              </w:rPr>
            </w:pPr>
            <w:r>
              <w:rPr>
                <w:rFonts w:hint="eastAsia" w:ascii="Calibri" w:hAnsi="Calibri" w:eastAsia="宋体" w:cs="宋体"/>
                <w:color w:val="auto"/>
                <w:highlight w:val="none"/>
              </w:rPr>
              <w:t>（满分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分）</w:t>
            </w:r>
          </w:p>
        </w:tc>
        <w:tc>
          <w:tcPr>
            <w:tcW w:w="1005" w:type="dxa"/>
            <w:noWrap w:val="0"/>
            <w:vAlign w:val="center"/>
          </w:tcPr>
          <w:p w14:paraId="6FA81462">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3" w:type="dxa"/>
            <w:noWrap w:val="0"/>
            <w:vAlign w:val="center"/>
          </w:tcPr>
          <w:p w14:paraId="5B90E65D">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2" w:type="dxa"/>
            <w:noWrap w:val="0"/>
            <w:vAlign w:val="center"/>
          </w:tcPr>
          <w:p w14:paraId="718CC0D2">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192C9C08">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5056C0FE">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29A8778F">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406AF142">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6F01B2EC">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0" w:type="dxa"/>
            <w:noWrap w:val="0"/>
            <w:vAlign w:val="center"/>
          </w:tcPr>
          <w:p w14:paraId="2B76250F">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1" w:type="dxa"/>
            <w:noWrap w:val="0"/>
            <w:vAlign w:val="top"/>
          </w:tcPr>
          <w:p w14:paraId="6EBAF43C">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r>
      <w:tr w14:paraId="7538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trPr>
        <w:tc>
          <w:tcPr>
            <w:tcW w:w="738" w:type="dxa"/>
            <w:noWrap w:val="0"/>
            <w:vAlign w:val="center"/>
          </w:tcPr>
          <w:p w14:paraId="7F666491">
            <w:pPr>
              <w:keepNext w:val="0"/>
              <w:keepLines w:val="0"/>
              <w:suppressLineNumbers w:val="0"/>
              <w:spacing w:before="0" w:beforeAutospacing="0" w:after="0" w:afterAutospacing="0" w:line="380" w:lineRule="atLeast"/>
              <w:ind w:left="0" w:right="0"/>
              <w:jc w:val="center"/>
              <w:rPr>
                <w:rFonts w:hint="eastAsia" w:ascii="Calibri" w:hAnsi="Calibri" w:eastAsia="宋体" w:cs="Times New Roman"/>
                <w:color w:val="auto"/>
                <w:highlight w:val="none"/>
                <w:u w:val="single"/>
                <w:lang w:eastAsia="zh-CN"/>
              </w:rPr>
            </w:pPr>
            <w:r>
              <w:rPr>
                <w:rFonts w:hint="eastAsia" w:ascii="Calibri" w:hAnsi="Calibri" w:cs="Times New Roman"/>
                <w:color w:val="auto"/>
                <w:highlight w:val="none"/>
                <w:u w:val="single"/>
                <w:lang w:val="en-US" w:eastAsia="zh-CN"/>
              </w:rPr>
              <w:t>7</w:t>
            </w:r>
          </w:p>
        </w:tc>
        <w:tc>
          <w:tcPr>
            <w:tcW w:w="3360" w:type="dxa"/>
            <w:noWrap w:val="0"/>
            <w:vAlign w:val="top"/>
          </w:tcPr>
          <w:p w14:paraId="474C74EE">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rPr>
              <w:t>……</w:t>
            </w:r>
          </w:p>
        </w:tc>
        <w:tc>
          <w:tcPr>
            <w:tcW w:w="1005" w:type="dxa"/>
            <w:noWrap w:val="0"/>
            <w:vAlign w:val="center"/>
          </w:tcPr>
          <w:p w14:paraId="5EFAE379">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3" w:type="dxa"/>
            <w:noWrap w:val="0"/>
            <w:vAlign w:val="center"/>
          </w:tcPr>
          <w:p w14:paraId="0A4B603C">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992" w:type="dxa"/>
            <w:noWrap w:val="0"/>
            <w:vAlign w:val="center"/>
          </w:tcPr>
          <w:p w14:paraId="2DECACE3">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3145FEA5">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62A7F47A">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0221D63D">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7F071FFB">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1134" w:type="dxa"/>
            <w:noWrap w:val="0"/>
            <w:vAlign w:val="center"/>
          </w:tcPr>
          <w:p w14:paraId="32536068">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0" w:type="dxa"/>
            <w:noWrap w:val="0"/>
            <w:vAlign w:val="center"/>
          </w:tcPr>
          <w:p w14:paraId="65637C00">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c>
          <w:tcPr>
            <w:tcW w:w="851" w:type="dxa"/>
            <w:noWrap w:val="0"/>
            <w:vAlign w:val="top"/>
          </w:tcPr>
          <w:p w14:paraId="0EB7A3F5">
            <w:pPr>
              <w:keepNext w:val="0"/>
              <w:keepLines w:val="0"/>
              <w:suppressLineNumbers w:val="0"/>
              <w:spacing w:before="0" w:beforeAutospacing="0" w:after="0" w:afterAutospacing="0" w:line="380" w:lineRule="atLeast"/>
              <w:ind w:left="0" w:right="0"/>
              <w:jc w:val="center"/>
              <w:rPr>
                <w:rFonts w:hint="default" w:ascii="Calibri" w:hAnsi="Calibri" w:eastAsia="宋体" w:cs="Times New Roman"/>
                <w:color w:val="auto"/>
                <w:highlight w:val="none"/>
                <w:u w:val="single"/>
              </w:rPr>
            </w:pPr>
          </w:p>
        </w:tc>
      </w:tr>
    </w:tbl>
    <w:p w14:paraId="5A9C0D3E">
      <w:pPr>
        <w:spacing w:line="380" w:lineRule="atLeast"/>
        <w:rPr>
          <w:color w:val="auto"/>
          <w:highlight w:val="none"/>
        </w:rPr>
      </w:pPr>
      <w:r>
        <w:rPr>
          <w:rFonts w:hint="eastAsia" w:eastAsia="楷体_GB2312" w:cs="楷体_GB2312"/>
          <w:color w:val="auto"/>
          <w:highlight w:val="none"/>
        </w:rPr>
        <w:t>【备注：根据评分办法的资格审查标准调整本表】</w:t>
      </w:r>
    </w:p>
    <w:p w14:paraId="6A6A4BA6">
      <w:pPr>
        <w:spacing w:line="380" w:lineRule="atLeast"/>
        <w:rPr>
          <w:rFonts w:cs="宋体"/>
          <w:color w:val="auto"/>
          <w:highlight w:val="none"/>
        </w:rPr>
      </w:pPr>
      <w:r>
        <w:rPr>
          <w:rFonts w:hint="eastAsia" w:cs="宋体"/>
          <w:color w:val="auto"/>
          <w:highlight w:val="none"/>
        </w:rPr>
        <w:t>评标委员会全体成员签名：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1D4E2000">
      <w:pPr>
        <w:pStyle w:val="5"/>
        <w:spacing w:line="240" w:lineRule="auto"/>
        <w:rPr>
          <w:b w:val="0"/>
          <w:bCs w:val="0"/>
          <w:color w:val="auto"/>
          <w:highlight w:val="none"/>
        </w:rPr>
      </w:pPr>
      <w:r>
        <w:rPr>
          <w:color w:val="auto"/>
          <w:highlight w:val="none"/>
        </w:rPr>
        <w:br w:type="page"/>
      </w:r>
      <w:bookmarkStart w:id="613" w:name="_Toc10278"/>
      <w:bookmarkStart w:id="614" w:name="_Toc424088362"/>
      <w:bookmarkStart w:id="615" w:name="_Toc9577"/>
      <w:bookmarkStart w:id="616" w:name="_Toc78449767"/>
      <w:bookmarkStart w:id="617" w:name="_Toc1062921691"/>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color w:val="auto"/>
          <w:sz w:val="28"/>
          <w:szCs w:val="28"/>
          <w:highlight w:val="none"/>
        </w:rPr>
        <w:t>1</w:t>
      </w:r>
      <w:r>
        <w:rPr>
          <w:rFonts w:hint="eastAsia"/>
          <w:color w:val="auto"/>
          <w:sz w:val="28"/>
          <w:szCs w:val="28"/>
          <w:highlight w:val="none"/>
          <w:lang w:val="en-US" w:eastAsia="zh-CN"/>
        </w:rPr>
        <w:t>2</w:t>
      </w:r>
      <w:r>
        <w:rPr>
          <w:rFonts w:hint="eastAsia"/>
          <w:color w:val="auto"/>
          <w:sz w:val="28"/>
          <w:szCs w:val="28"/>
          <w:highlight w:val="none"/>
        </w:rPr>
        <w:t>：技术标评分记录表</w:t>
      </w:r>
      <w:bookmarkEnd w:id="613"/>
      <w:bookmarkEnd w:id="614"/>
      <w:bookmarkEnd w:id="615"/>
      <w:bookmarkEnd w:id="616"/>
      <w:bookmarkEnd w:id="617"/>
    </w:p>
    <w:p w14:paraId="4603E092">
      <w:pPr>
        <w:spacing w:line="440" w:lineRule="exact"/>
        <w:jc w:val="center"/>
        <w:rPr>
          <w:rFonts w:eastAsia="黑体" w:cs="黑体"/>
          <w:color w:val="auto"/>
          <w:sz w:val="28"/>
          <w:szCs w:val="28"/>
          <w:highlight w:val="none"/>
        </w:rPr>
      </w:pPr>
      <w:r>
        <w:rPr>
          <w:rFonts w:hint="eastAsia" w:eastAsia="黑体" w:cs="黑体"/>
          <w:color w:val="auto"/>
          <w:sz w:val="28"/>
          <w:szCs w:val="28"/>
          <w:highlight w:val="none"/>
        </w:rPr>
        <w:t>技术标评分记录表</w:t>
      </w:r>
    </w:p>
    <w:p w14:paraId="12F12215">
      <w:pPr>
        <w:spacing w:after="72" w:afterLines="30" w:line="440" w:lineRule="exact"/>
        <w:rPr>
          <w:color w:val="auto"/>
          <w:highlight w:val="none"/>
        </w:rPr>
      </w:pPr>
      <w:r>
        <w:rPr>
          <w:rFonts w:hint="eastAsia" w:ascii="Calibri" w:hAnsi="Calibri"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rFonts w:cs="宋体"/>
          <w:color w:val="auto"/>
          <w:highlight w:val="none"/>
        </w:rPr>
        <w:t xml:space="preserve"> </w:t>
      </w:r>
      <w:r>
        <w:rPr>
          <w:rFonts w:cs="宋体"/>
          <w:color w:val="auto"/>
          <w:highlight w:val="none"/>
          <w:u w:val="single"/>
        </w:rPr>
        <w:t xml:space="preserve">                                           </w:t>
      </w:r>
      <w:r>
        <w:rPr>
          <w:rFonts w:cs="宋体"/>
          <w:color w:val="auto"/>
          <w:highlight w:val="non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3375"/>
        <w:gridCol w:w="851"/>
        <w:gridCol w:w="992"/>
        <w:gridCol w:w="1134"/>
        <w:gridCol w:w="1134"/>
        <w:gridCol w:w="992"/>
        <w:gridCol w:w="992"/>
        <w:gridCol w:w="993"/>
        <w:gridCol w:w="1275"/>
        <w:gridCol w:w="1305"/>
      </w:tblGrid>
      <w:tr w14:paraId="07DED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jc w:val="center"/>
        </w:trPr>
        <w:tc>
          <w:tcPr>
            <w:tcW w:w="912" w:type="dxa"/>
            <w:vMerge w:val="restart"/>
            <w:noWrap w:val="0"/>
            <w:vAlign w:val="center"/>
          </w:tcPr>
          <w:p w14:paraId="183E33D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375" w:type="dxa"/>
            <w:vMerge w:val="restart"/>
            <w:noWrap w:val="0"/>
            <w:vAlign w:val="center"/>
          </w:tcPr>
          <w:p w14:paraId="3121E76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评审因素</w:t>
            </w:r>
          </w:p>
        </w:tc>
        <w:tc>
          <w:tcPr>
            <w:tcW w:w="9668" w:type="dxa"/>
            <w:gridSpan w:val="9"/>
            <w:noWrap w:val="0"/>
            <w:vAlign w:val="center"/>
          </w:tcPr>
          <w:p w14:paraId="6854BD5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投标人名称及评审意见</w:t>
            </w:r>
          </w:p>
        </w:tc>
      </w:tr>
      <w:tr w14:paraId="5D39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2" w:type="dxa"/>
            <w:vMerge w:val="continue"/>
            <w:noWrap w:val="0"/>
            <w:vAlign w:val="center"/>
          </w:tcPr>
          <w:p w14:paraId="3D3C3934">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vMerge w:val="continue"/>
            <w:noWrap w:val="0"/>
            <w:vAlign w:val="center"/>
          </w:tcPr>
          <w:p w14:paraId="148812D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c>
          <w:tcPr>
            <w:tcW w:w="851" w:type="dxa"/>
            <w:noWrap w:val="0"/>
            <w:vAlign w:val="center"/>
          </w:tcPr>
          <w:p w14:paraId="605E686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5AFECA4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63627A4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7435E70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341010F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378211B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2BE36BC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72D349C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23192FD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447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4" w:hRule="atLeast"/>
          <w:jc w:val="center"/>
        </w:trPr>
        <w:tc>
          <w:tcPr>
            <w:tcW w:w="912" w:type="dxa"/>
            <w:vMerge w:val="restart"/>
            <w:noWrap w:val="0"/>
            <w:vAlign w:val="center"/>
          </w:tcPr>
          <w:p w14:paraId="0AB0E877">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r>
              <w:rPr>
                <w:rFonts w:hint="eastAsia" w:ascii="Calibri" w:hAnsi="Calibri" w:eastAsia="黑体" w:cs="Times New Roman"/>
                <w:color w:val="auto"/>
                <w:highlight w:val="none"/>
                <w:lang w:eastAsia="zh-CN"/>
              </w:rPr>
              <w:t>1.</w:t>
            </w:r>
            <w:r>
              <w:rPr>
                <w:rFonts w:hint="eastAsia" w:ascii="Calibri" w:hAnsi="Calibri" w:eastAsia="宋体" w:cs="宋体"/>
                <w:color w:val="auto"/>
                <w:highlight w:val="none"/>
              </w:rPr>
              <w:t>项目管理机构（</w:t>
            </w:r>
            <w:r>
              <w:rPr>
                <w:rFonts w:hint="default" w:ascii="Calibri" w:hAnsi="Calibri" w:eastAsia="宋体" w:cs="宋体"/>
                <w:color w:val="auto"/>
                <w:highlight w:val="none"/>
              </w:rPr>
              <w:t>明标）</w:t>
            </w:r>
            <w:r>
              <w:rPr>
                <w:rFonts w:hint="eastAsia" w:ascii="Calibri" w:hAnsi="Calibri" w:eastAsia="宋体" w:cs="宋体"/>
                <w:color w:val="auto"/>
                <w:highlight w:val="none"/>
              </w:rPr>
              <w:t>（满分</w:t>
            </w:r>
            <w:r>
              <w:rPr>
                <w:rFonts w:hint="default" w:ascii="Calibri" w:hAnsi="Calibri" w:eastAsia="宋体" w:cs="Times New Roman"/>
                <w:color w:val="auto"/>
                <w:highlight w:val="none"/>
              </w:rPr>
              <w:t>20</w:t>
            </w:r>
            <w:r>
              <w:rPr>
                <w:rFonts w:hint="eastAsia" w:ascii="Calibri" w:hAnsi="Calibri" w:eastAsia="宋体" w:cs="宋体"/>
                <w:color w:val="auto"/>
                <w:highlight w:val="none"/>
              </w:rPr>
              <w:t>）</w:t>
            </w:r>
          </w:p>
        </w:tc>
        <w:tc>
          <w:tcPr>
            <w:tcW w:w="3375" w:type="dxa"/>
            <w:noWrap w:val="0"/>
            <w:vAlign w:val="center"/>
          </w:tcPr>
          <w:p w14:paraId="4E667772">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w:t>
            </w:r>
            <w:r>
              <w:rPr>
                <w:rFonts w:hint="eastAsia" w:ascii="Calibri" w:hAnsi="Calibri" w:eastAsia="宋体" w:cs="宋体"/>
                <w:color w:val="auto"/>
                <w:kern w:val="0"/>
                <w:highlight w:val="none"/>
              </w:rPr>
              <w:t>）项目经理任职资格与业绩、工作经历等</w:t>
            </w:r>
          </w:p>
        </w:tc>
        <w:tc>
          <w:tcPr>
            <w:tcW w:w="851" w:type="dxa"/>
            <w:noWrap w:val="0"/>
            <w:vAlign w:val="center"/>
          </w:tcPr>
          <w:p w14:paraId="7FC5BBF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4B3FA8D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731CB8A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52BF69D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06E9539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0B9B130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7987B97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37E3872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079A309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689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3" w:hRule="atLeast"/>
          <w:jc w:val="center"/>
        </w:trPr>
        <w:tc>
          <w:tcPr>
            <w:tcW w:w="912" w:type="dxa"/>
            <w:vMerge w:val="continue"/>
            <w:noWrap w:val="0"/>
            <w:vAlign w:val="center"/>
          </w:tcPr>
          <w:p w14:paraId="104796B0">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1CAB6D49">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2</w:t>
            </w:r>
            <w:r>
              <w:rPr>
                <w:rFonts w:hint="eastAsia" w:ascii="Calibri" w:hAnsi="Calibri" w:eastAsia="宋体" w:cs="宋体"/>
                <w:color w:val="auto"/>
                <w:kern w:val="0"/>
                <w:highlight w:val="none"/>
              </w:rPr>
              <w:t>）其他主要人员</w:t>
            </w:r>
          </w:p>
        </w:tc>
        <w:tc>
          <w:tcPr>
            <w:tcW w:w="851" w:type="dxa"/>
            <w:noWrap w:val="0"/>
            <w:vAlign w:val="center"/>
          </w:tcPr>
          <w:p w14:paraId="6A3DA55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43454D9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2A49108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EA44FC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5621D2B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5F93EB7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1E0B326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0E113EF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54A4085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8616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restart"/>
            <w:noWrap w:val="0"/>
            <w:vAlign w:val="center"/>
          </w:tcPr>
          <w:p w14:paraId="2EC6FB15">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r>
              <w:rPr>
                <w:rFonts w:hint="eastAsia" w:ascii="Calibri" w:hAnsi="Calibri" w:cs="Times New Roman"/>
                <w:color w:val="auto"/>
                <w:highlight w:val="none"/>
                <w:lang w:eastAsia="zh-CN"/>
              </w:rPr>
              <w:t>2.</w:t>
            </w:r>
            <w:r>
              <w:rPr>
                <w:rFonts w:hint="eastAsia" w:ascii="Calibri" w:hAnsi="Calibri" w:eastAsia="宋体" w:cs="宋体"/>
                <w:color w:val="auto"/>
                <w:highlight w:val="none"/>
              </w:rPr>
              <w:t>施工组织设计（</w:t>
            </w:r>
            <w:r>
              <w:rPr>
                <w:rFonts w:hint="default" w:ascii="Calibri" w:hAnsi="Calibri" w:eastAsia="宋体" w:cs="宋体"/>
                <w:color w:val="auto"/>
                <w:highlight w:val="none"/>
              </w:rPr>
              <w:t>暗标）</w:t>
            </w:r>
            <w:r>
              <w:rPr>
                <w:rFonts w:hint="eastAsia" w:ascii="Calibri" w:hAnsi="Calibri" w:eastAsia="宋体" w:cs="宋体"/>
                <w:color w:val="auto"/>
                <w:highlight w:val="none"/>
              </w:rPr>
              <w:t>（满分</w:t>
            </w:r>
            <w:r>
              <w:rPr>
                <w:rFonts w:hint="default" w:ascii="Calibri" w:hAnsi="Calibri" w:eastAsia="宋体" w:cs="Times New Roman"/>
                <w:color w:val="auto"/>
                <w:highlight w:val="none"/>
              </w:rPr>
              <w:t>80</w:t>
            </w:r>
            <w:r>
              <w:rPr>
                <w:rFonts w:hint="eastAsia" w:ascii="Calibri" w:hAnsi="Calibri" w:eastAsia="宋体" w:cs="宋体"/>
                <w:color w:val="auto"/>
                <w:highlight w:val="none"/>
              </w:rPr>
              <w:t>）</w:t>
            </w:r>
          </w:p>
        </w:tc>
        <w:tc>
          <w:tcPr>
            <w:tcW w:w="3375" w:type="dxa"/>
            <w:noWrap w:val="0"/>
            <w:vAlign w:val="center"/>
          </w:tcPr>
          <w:p w14:paraId="67022E82">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w:t>
            </w:r>
            <w:r>
              <w:rPr>
                <w:rFonts w:hint="eastAsia" w:ascii="Calibri" w:hAnsi="Calibri" w:eastAsia="宋体" w:cs="宋体"/>
                <w:color w:val="auto"/>
                <w:kern w:val="0"/>
                <w:highlight w:val="none"/>
              </w:rPr>
              <w:t>）主要施工方法</w:t>
            </w:r>
          </w:p>
        </w:tc>
        <w:tc>
          <w:tcPr>
            <w:tcW w:w="851" w:type="dxa"/>
            <w:noWrap w:val="0"/>
            <w:vAlign w:val="center"/>
          </w:tcPr>
          <w:p w14:paraId="4665CF8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878513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5450B0F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3E158E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3C7859F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55FF64C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0E952F5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4CDA91F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0C32AD4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522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3161DF44">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4E5A9B9A">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2</w:t>
            </w:r>
            <w:r>
              <w:rPr>
                <w:rFonts w:hint="eastAsia" w:ascii="Calibri" w:hAnsi="Calibri" w:eastAsia="宋体" w:cs="宋体"/>
                <w:color w:val="auto"/>
                <w:kern w:val="0"/>
                <w:highlight w:val="none"/>
              </w:rPr>
              <w:t>）拟投入的主要物资计划</w:t>
            </w:r>
          </w:p>
        </w:tc>
        <w:tc>
          <w:tcPr>
            <w:tcW w:w="851" w:type="dxa"/>
            <w:noWrap w:val="0"/>
            <w:vAlign w:val="center"/>
          </w:tcPr>
          <w:p w14:paraId="2E03414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72A81D0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7DD37D0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7C43DE7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53962D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00CD4B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1E144A0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37979AC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4C18FFA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FD1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0FD8CF98">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7673608E">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3</w:t>
            </w:r>
            <w:r>
              <w:rPr>
                <w:rFonts w:hint="eastAsia" w:ascii="Calibri" w:hAnsi="Calibri" w:eastAsia="宋体" w:cs="宋体"/>
                <w:color w:val="auto"/>
                <w:kern w:val="0"/>
                <w:highlight w:val="none"/>
              </w:rPr>
              <w:t>）劳动力安排计划</w:t>
            </w:r>
          </w:p>
        </w:tc>
        <w:tc>
          <w:tcPr>
            <w:tcW w:w="851" w:type="dxa"/>
            <w:noWrap w:val="0"/>
            <w:vAlign w:val="center"/>
          </w:tcPr>
          <w:p w14:paraId="562F94D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725C9C6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662D62A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7EA5CD9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326EFFE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4972DAD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1F927DD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136528A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501D0EC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74A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3F659276">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50242F5C">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4</w:t>
            </w:r>
            <w:r>
              <w:rPr>
                <w:rFonts w:hint="eastAsia" w:ascii="Calibri" w:hAnsi="Calibri" w:eastAsia="宋体" w:cs="宋体"/>
                <w:color w:val="auto"/>
                <w:kern w:val="0"/>
                <w:highlight w:val="none"/>
              </w:rPr>
              <w:t>）确保工程质量的技术组织措施</w:t>
            </w:r>
          </w:p>
        </w:tc>
        <w:tc>
          <w:tcPr>
            <w:tcW w:w="851" w:type="dxa"/>
            <w:noWrap w:val="0"/>
            <w:vAlign w:val="center"/>
          </w:tcPr>
          <w:p w14:paraId="5D035BE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5F8276B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BA435C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4CD5905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48A2ECB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7FD8121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25C2927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77BC8D9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39EEA47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3C6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vMerge w:val="continue"/>
            <w:noWrap w:val="0"/>
            <w:vAlign w:val="center"/>
          </w:tcPr>
          <w:p w14:paraId="53793288">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0B199466">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5</w:t>
            </w:r>
            <w:r>
              <w:rPr>
                <w:rFonts w:hint="eastAsia" w:ascii="Calibri" w:hAnsi="Calibri" w:eastAsia="宋体" w:cs="宋体"/>
                <w:color w:val="auto"/>
                <w:kern w:val="0"/>
                <w:highlight w:val="none"/>
              </w:rPr>
              <w:t>）确保安全生产的技术组织措施</w:t>
            </w:r>
          </w:p>
        </w:tc>
        <w:tc>
          <w:tcPr>
            <w:tcW w:w="851" w:type="dxa"/>
            <w:noWrap w:val="0"/>
            <w:vAlign w:val="center"/>
          </w:tcPr>
          <w:p w14:paraId="4CA4234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56167E6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517AC20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5F52D15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424978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068251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31CFD6B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1D613E1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514E9AD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41F1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603E69FE">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60C70F62">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6</w:t>
            </w:r>
            <w:r>
              <w:rPr>
                <w:rFonts w:hint="eastAsia" w:ascii="Calibri" w:hAnsi="Calibri" w:eastAsia="宋体" w:cs="宋体"/>
                <w:color w:val="auto"/>
                <w:kern w:val="0"/>
                <w:highlight w:val="none"/>
              </w:rPr>
              <w:t>）确保工期的技术组织措施</w:t>
            </w:r>
          </w:p>
        </w:tc>
        <w:tc>
          <w:tcPr>
            <w:tcW w:w="851" w:type="dxa"/>
            <w:noWrap w:val="0"/>
            <w:vAlign w:val="center"/>
          </w:tcPr>
          <w:p w14:paraId="664FEA0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3186E54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6C9DD2D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725FA3C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03D98D5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7C17ED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0467DED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09F5FC5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22B012E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755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4EF2CE94">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0869BB07">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）确保文明施工的技术组织措施</w:t>
            </w:r>
          </w:p>
        </w:tc>
        <w:tc>
          <w:tcPr>
            <w:tcW w:w="851" w:type="dxa"/>
            <w:noWrap w:val="0"/>
            <w:vAlign w:val="center"/>
          </w:tcPr>
          <w:p w14:paraId="0B1F90D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7D24911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0DBCDC6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8F3206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30F8E07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416893A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555361A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526E3BD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4CCA03F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352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vMerge w:val="continue"/>
            <w:noWrap w:val="0"/>
            <w:vAlign w:val="center"/>
          </w:tcPr>
          <w:p w14:paraId="6D7161EE">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32F58D5D">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8</w:t>
            </w:r>
            <w:r>
              <w:rPr>
                <w:rFonts w:hint="eastAsia" w:ascii="Calibri" w:hAnsi="Calibri" w:eastAsia="宋体" w:cs="宋体"/>
                <w:color w:val="auto"/>
                <w:kern w:val="0"/>
                <w:highlight w:val="none"/>
              </w:rPr>
              <w:t>）工程施工的重点和难点及保证措施</w:t>
            </w:r>
          </w:p>
        </w:tc>
        <w:tc>
          <w:tcPr>
            <w:tcW w:w="851" w:type="dxa"/>
            <w:noWrap w:val="0"/>
            <w:vAlign w:val="center"/>
          </w:tcPr>
          <w:p w14:paraId="4BC8A23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783F681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7C6E2CE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163ECCA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A40640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47F122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7D14AC5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3F2F7FE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0633324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18D9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5A73BF26">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62BDA822">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9</w:t>
            </w:r>
            <w:r>
              <w:rPr>
                <w:rFonts w:hint="eastAsia" w:ascii="Calibri" w:hAnsi="Calibri" w:eastAsia="宋体" w:cs="宋体"/>
                <w:color w:val="auto"/>
                <w:kern w:val="0"/>
                <w:highlight w:val="none"/>
              </w:rPr>
              <w:t>）施工总平面布置图</w:t>
            </w:r>
          </w:p>
        </w:tc>
        <w:tc>
          <w:tcPr>
            <w:tcW w:w="851" w:type="dxa"/>
            <w:noWrap w:val="0"/>
            <w:vAlign w:val="center"/>
          </w:tcPr>
          <w:p w14:paraId="78D251B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E5838F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27C6BA7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1C7DCE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5D4F0CA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788A5B7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087108A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49DBD97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53D459C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BC6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3C4A0E0B">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3BBB83C7">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10</w:t>
            </w:r>
            <w:r>
              <w:rPr>
                <w:rFonts w:hint="eastAsia" w:ascii="Calibri" w:hAnsi="Calibri" w:eastAsia="宋体" w:cs="宋体"/>
                <w:color w:val="auto"/>
                <w:kern w:val="0"/>
                <w:highlight w:val="none"/>
              </w:rPr>
              <w:t>）其他</w:t>
            </w:r>
          </w:p>
        </w:tc>
        <w:tc>
          <w:tcPr>
            <w:tcW w:w="851" w:type="dxa"/>
            <w:noWrap w:val="0"/>
            <w:vAlign w:val="center"/>
          </w:tcPr>
          <w:p w14:paraId="5F1E5FA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408F31C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8BE70A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0503972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E52F17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F890F8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1455941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4CAC4C4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3A472EF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794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vMerge w:val="continue"/>
            <w:noWrap w:val="0"/>
            <w:vAlign w:val="center"/>
          </w:tcPr>
          <w:p w14:paraId="2D9FBFE4">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3375" w:type="dxa"/>
            <w:noWrap w:val="0"/>
            <w:vAlign w:val="center"/>
          </w:tcPr>
          <w:p w14:paraId="703FA4BC">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default" w:ascii="Calibri" w:hAnsi="Calibri" w:eastAsia="宋体" w:cs="Times New Roman"/>
                <w:color w:val="auto"/>
                <w:kern w:val="0"/>
                <w:highlight w:val="none"/>
              </w:rPr>
              <w:t>.........</w:t>
            </w:r>
          </w:p>
        </w:tc>
        <w:tc>
          <w:tcPr>
            <w:tcW w:w="851" w:type="dxa"/>
            <w:noWrap w:val="0"/>
            <w:vAlign w:val="center"/>
          </w:tcPr>
          <w:p w14:paraId="6CB7C92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B39739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307D3F6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1582365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BC79A9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71D4785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6C79A48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078B965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7846014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A58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4287" w:type="dxa"/>
            <w:gridSpan w:val="2"/>
            <w:noWrap w:val="0"/>
            <w:vAlign w:val="center"/>
          </w:tcPr>
          <w:p w14:paraId="2D7E5D1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技术标得分（满分100分）合计</w:t>
            </w:r>
          </w:p>
        </w:tc>
        <w:tc>
          <w:tcPr>
            <w:tcW w:w="851" w:type="dxa"/>
            <w:noWrap w:val="0"/>
            <w:vAlign w:val="center"/>
          </w:tcPr>
          <w:p w14:paraId="68E6AFC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271CDCF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7BD6407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64943B6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0A2141A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4206A1C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458C18B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3916A55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15234BC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ABA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287" w:type="dxa"/>
            <w:gridSpan w:val="2"/>
            <w:noWrap w:val="0"/>
            <w:vAlign w:val="center"/>
          </w:tcPr>
          <w:p w14:paraId="4D69F2E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技术标加权得分合计（满分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tc>
        <w:tc>
          <w:tcPr>
            <w:tcW w:w="851" w:type="dxa"/>
            <w:noWrap w:val="0"/>
            <w:vAlign w:val="center"/>
          </w:tcPr>
          <w:p w14:paraId="55E955A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34D82AE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46AE45E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4811D5F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7C8331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D3C84B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54A21DD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5301530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1B65CE6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4A0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287" w:type="dxa"/>
            <w:gridSpan w:val="2"/>
            <w:noWrap w:val="0"/>
            <w:vAlign w:val="center"/>
          </w:tcPr>
          <w:p w14:paraId="21EEFE2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技术标是否合格（技术标加权得分低于</w:t>
            </w:r>
            <w:r>
              <w:rPr>
                <w:rFonts w:hint="eastAsia" w:ascii="Calibri" w:hAnsi="Calibri" w:eastAsia="宋体" w:cs="Times New Roman"/>
                <w:color w:val="auto"/>
                <w:highlight w:val="none"/>
              </w:rPr>
              <w:t>技术标加权满分的60%的，技术标不合格</w:t>
            </w:r>
            <w:r>
              <w:rPr>
                <w:rFonts w:hint="eastAsia" w:ascii="Calibri" w:hAnsi="Calibri" w:eastAsia="宋体" w:cs="宋体"/>
                <w:color w:val="auto"/>
                <w:highlight w:val="none"/>
              </w:rPr>
              <w:t>）</w:t>
            </w:r>
          </w:p>
        </w:tc>
        <w:tc>
          <w:tcPr>
            <w:tcW w:w="851" w:type="dxa"/>
            <w:noWrap w:val="0"/>
            <w:vAlign w:val="center"/>
          </w:tcPr>
          <w:p w14:paraId="2AEDE41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1FE4800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2E9A87A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34" w:type="dxa"/>
            <w:noWrap w:val="0"/>
            <w:vAlign w:val="center"/>
          </w:tcPr>
          <w:p w14:paraId="605C86B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67A2283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2" w:type="dxa"/>
            <w:noWrap w:val="0"/>
            <w:vAlign w:val="center"/>
          </w:tcPr>
          <w:p w14:paraId="796B526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75947AE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center"/>
          </w:tcPr>
          <w:p w14:paraId="3BE7DEB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05" w:type="dxa"/>
            <w:noWrap w:val="0"/>
            <w:vAlign w:val="center"/>
          </w:tcPr>
          <w:p w14:paraId="60CE660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bl>
    <w:p w14:paraId="7083F5A3">
      <w:pPr>
        <w:rPr>
          <w:color w:val="auto"/>
          <w:highlight w:val="none"/>
        </w:rPr>
      </w:pPr>
      <w:r>
        <w:rPr>
          <w:rFonts w:hint="eastAsia" w:eastAsia="楷体_GB2312" w:cs="楷体_GB2312"/>
          <w:color w:val="auto"/>
          <w:highlight w:val="none"/>
        </w:rPr>
        <w:t>【备注：本表可根据评分办法的需要进行调整】</w:t>
      </w:r>
    </w:p>
    <w:p w14:paraId="4FA368BE">
      <w:pPr>
        <w:spacing w:line="440" w:lineRule="exact"/>
        <w:rPr>
          <w:rFonts w:cs="宋体"/>
          <w:color w:val="auto"/>
          <w:highlight w:val="none"/>
        </w:rPr>
      </w:pPr>
      <w:r>
        <w:rPr>
          <w:rFonts w:hint="eastAsia" w:cs="宋体"/>
          <w:color w:val="auto"/>
          <w:highlight w:val="none"/>
        </w:rPr>
        <w:t>评标委员会技术评委签名：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5166CA48">
      <w:pPr>
        <w:spacing w:line="440" w:lineRule="exact"/>
        <w:rPr>
          <w:rFonts w:cs="宋体"/>
          <w:color w:val="auto"/>
          <w:highlight w:val="none"/>
        </w:rPr>
      </w:pPr>
    </w:p>
    <w:p w14:paraId="3CD2F70C">
      <w:pPr>
        <w:spacing w:line="440" w:lineRule="exact"/>
        <w:rPr>
          <w:rFonts w:cs="宋体"/>
          <w:color w:val="auto"/>
          <w:highlight w:val="none"/>
        </w:rPr>
      </w:pPr>
    </w:p>
    <w:p w14:paraId="22AA6DDF">
      <w:pPr>
        <w:spacing w:line="440" w:lineRule="exact"/>
        <w:rPr>
          <w:rFonts w:cs="宋体"/>
          <w:color w:val="auto"/>
          <w:highlight w:val="none"/>
        </w:rPr>
      </w:pPr>
    </w:p>
    <w:p w14:paraId="218E87EF">
      <w:pPr>
        <w:spacing w:line="440" w:lineRule="exact"/>
        <w:rPr>
          <w:rFonts w:cs="宋体"/>
          <w:color w:val="auto"/>
          <w:highlight w:val="none"/>
        </w:rPr>
      </w:pPr>
    </w:p>
    <w:p w14:paraId="55E7BB34">
      <w:pPr>
        <w:spacing w:line="440" w:lineRule="exact"/>
        <w:rPr>
          <w:rFonts w:hint="eastAsia" w:cs="宋体"/>
          <w:color w:val="auto"/>
          <w:highlight w:val="none"/>
        </w:rPr>
      </w:pPr>
    </w:p>
    <w:p w14:paraId="2CFE1E79">
      <w:pPr>
        <w:spacing w:line="440" w:lineRule="exact"/>
        <w:rPr>
          <w:rFonts w:cs="宋体"/>
          <w:color w:val="auto"/>
          <w:highlight w:val="none"/>
        </w:rPr>
      </w:pPr>
    </w:p>
    <w:p w14:paraId="7A2B5179">
      <w:pPr>
        <w:rPr>
          <w:rFonts w:hint="eastAsia" w:eastAsia="黑体"/>
          <w:color w:val="auto"/>
          <w:highlight w:val="none"/>
        </w:rPr>
      </w:pPr>
    </w:p>
    <w:p w14:paraId="6DA0FBF3">
      <w:pPr>
        <w:pStyle w:val="5"/>
        <w:spacing w:line="240" w:lineRule="auto"/>
        <w:rPr>
          <w:color w:val="auto"/>
          <w:highlight w:val="none"/>
        </w:rPr>
      </w:pPr>
      <w:bookmarkStart w:id="618" w:name="_Toc22818"/>
      <w:bookmarkStart w:id="619" w:name="_Toc589771419"/>
      <w:bookmarkStart w:id="620" w:name="_Toc1703071691"/>
      <w:bookmarkStart w:id="621" w:name="_Toc17029"/>
      <w:bookmarkStart w:id="622" w:name="_Toc78449768"/>
      <w:r>
        <w:rPr>
          <w:color w:val="auto"/>
          <w:sz w:val="28"/>
          <w:szCs w:val="28"/>
          <w:highlight w:val="none"/>
        </w:rPr>
        <w:t>附表A</w:t>
      </w:r>
      <w:r>
        <w:rPr>
          <w:rFonts w:hint="eastAsia"/>
          <w:color w:val="auto"/>
          <w:sz w:val="28"/>
          <w:szCs w:val="28"/>
          <w:highlight w:val="none"/>
        </w:rPr>
        <w:t>－</w:t>
      </w:r>
      <w:r>
        <w:rPr>
          <w:color w:val="auto"/>
          <w:sz w:val="28"/>
          <w:szCs w:val="28"/>
          <w:highlight w:val="none"/>
        </w:rPr>
        <w:t>1</w:t>
      </w:r>
      <w:r>
        <w:rPr>
          <w:rFonts w:hint="eastAsia"/>
          <w:color w:val="auto"/>
          <w:sz w:val="28"/>
          <w:szCs w:val="28"/>
          <w:highlight w:val="none"/>
          <w:lang w:val="en-US" w:eastAsia="zh-CN"/>
        </w:rPr>
        <w:t>3</w:t>
      </w:r>
      <w:r>
        <w:rPr>
          <w:color w:val="auto"/>
          <w:sz w:val="28"/>
          <w:szCs w:val="28"/>
          <w:highlight w:val="none"/>
        </w:rPr>
        <w:t>：</w:t>
      </w:r>
      <w:r>
        <w:rPr>
          <w:rFonts w:hint="eastAsia"/>
          <w:color w:val="auto"/>
          <w:sz w:val="28"/>
          <w:szCs w:val="28"/>
          <w:highlight w:val="none"/>
        </w:rPr>
        <w:t>投标</w:t>
      </w:r>
      <w:r>
        <w:rPr>
          <w:color w:val="auto"/>
          <w:sz w:val="28"/>
          <w:szCs w:val="28"/>
          <w:highlight w:val="none"/>
        </w:rPr>
        <w:t>人</w:t>
      </w:r>
      <w:r>
        <w:rPr>
          <w:rFonts w:hint="eastAsia"/>
          <w:color w:val="auto"/>
          <w:sz w:val="28"/>
          <w:szCs w:val="28"/>
          <w:highlight w:val="none"/>
        </w:rPr>
        <w:t>施工组织设计评分计算</w:t>
      </w:r>
      <w:r>
        <w:rPr>
          <w:color w:val="auto"/>
          <w:sz w:val="28"/>
          <w:szCs w:val="28"/>
          <w:highlight w:val="none"/>
        </w:rPr>
        <w:t>表</w:t>
      </w:r>
      <w:bookmarkEnd w:id="618"/>
      <w:bookmarkEnd w:id="619"/>
      <w:bookmarkEnd w:id="620"/>
      <w:bookmarkEnd w:id="621"/>
      <w:bookmarkEnd w:id="622"/>
    </w:p>
    <w:p w14:paraId="33B9A778">
      <w:pPr>
        <w:spacing w:line="440" w:lineRule="exact"/>
        <w:jc w:val="center"/>
        <w:rPr>
          <w:rFonts w:eastAsia="黑体"/>
          <w:color w:val="auto"/>
          <w:sz w:val="28"/>
          <w:szCs w:val="28"/>
          <w:highlight w:val="none"/>
        </w:rPr>
      </w:pPr>
      <w:r>
        <w:rPr>
          <w:rFonts w:eastAsia="黑体"/>
          <w:color w:val="auto"/>
          <w:sz w:val="28"/>
          <w:szCs w:val="28"/>
          <w:highlight w:val="none"/>
          <w:u w:val="single"/>
        </w:rPr>
        <w:t>投标人名称</w:t>
      </w:r>
      <w:r>
        <w:rPr>
          <w:rFonts w:hint="eastAsia" w:eastAsia="黑体"/>
          <w:color w:val="auto"/>
          <w:sz w:val="28"/>
          <w:szCs w:val="28"/>
          <w:highlight w:val="none"/>
          <w:u w:val="single"/>
        </w:rPr>
        <w:t xml:space="preserve">（或代码） </w:t>
      </w:r>
      <w:r>
        <w:rPr>
          <w:rFonts w:hint="eastAsia" w:eastAsia="黑体"/>
          <w:color w:val="auto"/>
          <w:sz w:val="28"/>
          <w:szCs w:val="28"/>
          <w:highlight w:val="none"/>
        </w:rPr>
        <w:t>施工组织设计评分计算</w:t>
      </w:r>
      <w:r>
        <w:rPr>
          <w:rFonts w:eastAsia="黑体"/>
          <w:color w:val="auto"/>
          <w:sz w:val="28"/>
          <w:szCs w:val="28"/>
          <w:highlight w:val="none"/>
        </w:rPr>
        <w:t>表</w:t>
      </w:r>
    </w:p>
    <w:p w14:paraId="751A02D1">
      <w:pPr>
        <w:spacing w:after="72" w:afterLines="30" w:line="440" w:lineRule="exact"/>
        <w:ind w:firstLine="630" w:firstLineChars="300"/>
        <w:rPr>
          <w:rFonts w:hint="eastAsia"/>
          <w:color w:val="auto"/>
          <w:highlight w:val="none"/>
        </w:rPr>
      </w:pPr>
      <w:r>
        <w:rPr>
          <w:rFonts w:hint="eastAsia" w:ascii="Calibri" w:hAnsi="Calibri" w:cs="宋体"/>
          <w:color w:val="auto"/>
          <w:highlight w:val="none"/>
          <w:lang w:val="en-US" w:eastAsia="zh-CN"/>
        </w:rPr>
        <w:t>招标</w:t>
      </w:r>
      <w:r>
        <w:rPr>
          <w:rFonts w:hint="eastAsia"/>
          <w:color w:val="auto"/>
          <w:highlight w:val="none"/>
        </w:rPr>
        <w:t>项目</w:t>
      </w:r>
      <w:r>
        <w:rPr>
          <w:color w:val="auto"/>
          <w:highlight w:val="none"/>
        </w:rPr>
        <w:t>名称</w:t>
      </w:r>
      <w:r>
        <w:rPr>
          <w:rFonts w:hint="eastAsia"/>
          <w:color w:val="auto"/>
          <w:highlight w:val="none"/>
        </w:rPr>
        <w:t>及</w:t>
      </w:r>
      <w:r>
        <w:rPr>
          <w:rFonts w:hint="eastAsia"/>
          <w:color w:val="auto"/>
          <w:highlight w:val="none"/>
          <w:lang w:eastAsia="zh-CN"/>
        </w:rPr>
        <w:t>招标项目编号</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时间：      年      月      日</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938"/>
        <w:gridCol w:w="1012"/>
        <w:gridCol w:w="1088"/>
        <w:gridCol w:w="1187"/>
        <w:gridCol w:w="1175"/>
        <w:gridCol w:w="1175"/>
        <w:gridCol w:w="1317"/>
        <w:gridCol w:w="993"/>
        <w:gridCol w:w="1275"/>
        <w:gridCol w:w="962"/>
      </w:tblGrid>
      <w:tr w14:paraId="78D97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05" w:type="dxa"/>
            <w:vMerge w:val="restart"/>
            <w:noWrap w:val="0"/>
            <w:vAlign w:val="center"/>
          </w:tcPr>
          <w:p w14:paraId="76329776">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r>
              <w:rPr>
                <w:rFonts w:hint="default" w:ascii="Calibri" w:hAnsi="Calibri" w:eastAsia="宋体" w:cs="Times New Roman"/>
                <w:color w:val="auto"/>
                <w:highlight w:val="none"/>
              </w:rPr>
              <w:t>序号</w:t>
            </w:r>
          </w:p>
        </w:tc>
        <w:tc>
          <w:tcPr>
            <w:tcW w:w="1938" w:type="dxa"/>
            <w:vMerge w:val="restart"/>
            <w:noWrap w:val="0"/>
            <w:vAlign w:val="center"/>
          </w:tcPr>
          <w:p w14:paraId="69E8025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default" w:ascii="Calibri" w:hAnsi="Calibri" w:eastAsia="宋体" w:cs="Times New Roman"/>
                <w:color w:val="auto"/>
                <w:highlight w:val="none"/>
              </w:rPr>
              <w:t>评审因素</w:t>
            </w:r>
          </w:p>
        </w:tc>
        <w:tc>
          <w:tcPr>
            <w:tcW w:w="5637" w:type="dxa"/>
            <w:gridSpan w:val="5"/>
            <w:noWrap w:val="0"/>
            <w:vAlign w:val="center"/>
          </w:tcPr>
          <w:p w14:paraId="6E7B43B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bidi="ar"/>
              </w:rPr>
              <w:t>评委姓名</w:t>
            </w:r>
          </w:p>
        </w:tc>
        <w:tc>
          <w:tcPr>
            <w:tcW w:w="1317" w:type="dxa"/>
            <w:vMerge w:val="restart"/>
            <w:noWrap w:val="0"/>
            <w:vAlign w:val="center"/>
          </w:tcPr>
          <w:p w14:paraId="477DE77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bidi="ar"/>
              </w:rPr>
              <w:t>评分基准值</w:t>
            </w:r>
          </w:p>
        </w:tc>
        <w:tc>
          <w:tcPr>
            <w:tcW w:w="993" w:type="dxa"/>
            <w:vMerge w:val="restart"/>
            <w:noWrap w:val="0"/>
            <w:vAlign w:val="center"/>
          </w:tcPr>
          <w:p w14:paraId="31AB409C">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lang w:bidi="ar"/>
              </w:rPr>
            </w:pPr>
            <w:r>
              <w:rPr>
                <w:rFonts w:hint="eastAsia" w:ascii="Calibri" w:hAnsi="Calibri" w:eastAsia="宋体" w:cs="宋体"/>
                <w:color w:val="auto"/>
                <w:highlight w:val="none"/>
                <w:lang w:bidi="ar"/>
              </w:rPr>
              <w:t>各评委</w:t>
            </w:r>
            <w:r>
              <w:rPr>
                <w:rStyle w:val="48"/>
                <w:rFonts w:hint="eastAsia" w:ascii="Calibri" w:hAnsi="Calibri" w:eastAsia="宋体" w:cs="Times New Roman"/>
                <w:color w:val="auto"/>
                <w:highlight w:val="none"/>
              </w:rPr>
              <w:t>有效</w:t>
            </w:r>
            <w:r>
              <w:rPr>
                <w:rFonts w:hint="eastAsia" w:ascii="Calibri" w:hAnsi="Calibri" w:eastAsia="宋体" w:cs="宋体"/>
                <w:color w:val="auto"/>
                <w:highlight w:val="none"/>
                <w:lang w:bidi="ar"/>
              </w:rPr>
              <w:t>评分合计</w:t>
            </w:r>
          </w:p>
        </w:tc>
        <w:tc>
          <w:tcPr>
            <w:tcW w:w="1275" w:type="dxa"/>
            <w:vMerge w:val="restart"/>
            <w:noWrap w:val="0"/>
            <w:vAlign w:val="top"/>
          </w:tcPr>
          <w:p w14:paraId="5C88C6F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Style w:val="48"/>
                <w:rFonts w:hint="eastAsia" w:ascii="Calibri" w:hAnsi="Calibri" w:eastAsia="宋体" w:cs="Times New Roman"/>
                <w:color w:val="auto"/>
                <w:highlight w:val="none"/>
              </w:rPr>
              <w:t>有效</w:t>
            </w:r>
            <w:r>
              <w:rPr>
                <w:rFonts w:hint="eastAsia" w:ascii="Calibri" w:hAnsi="Calibri" w:eastAsia="宋体" w:cs="宋体"/>
                <w:color w:val="auto"/>
                <w:highlight w:val="none"/>
                <w:lang w:bidi="ar"/>
              </w:rPr>
              <w:t>评分人数</w:t>
            </w:r>
          </w:p>
        </w:tc>
        <w:tc>
          <w:tcPr>
            <w:tcW w:w="962" w:type="dxa"/>
            <w:vMerge w:val="restart"/>
            <w:noWrap w:val="0"/>
            <w:vAlign w:val="top"/>
          </w:tcPr>
          <w:p w14:paraId="09BEDA1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楷体_GB2312" w:cs="Times New Roman"/>
                <w:color w:val="auto"/>
                <w:highlight w:val="none"/>
              </w:rPr>
              <w:t>该单</w:t>
            </w:r>
            <w:r>
              <w:rPr>
                <w:rFonts w:hint="default" w:ascii="Calibri" w:hAnsi="Calibri" w:eastAsia="楷体_GB2312" w:cs="Times New Roman"/>
                <w:color w:val="auto"/>
                <w:highlight w:val="none"/>
              </w:rPr>
              <w:t>项</w:t>
            </w:r>
            <w:r>
              <w:rPr>
                <w:rFonts w:hint="eastAsia" w:ascii="Calibri" w:hAnsi="Calibri" w:eastAsia="楷体_GB2312" w:cs="Times New Roman"/>
                <w:color w:val="auto"/>
                <w:highlight w:val="none"/>
              </w:rPr>
              <w:t>最终得分</w:t>
            </w:r>
          </w:p>
        </w:tc>
      </w:tr>
      <w:tr w14:paraId="53C7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05" w:type="dxa"/>
            <w:vMerge w:val="continue"/>
            <w:noWrap w:val="0"/>
            <w:vAlign w:val="center"/>
          </w:tcPr>
          <w:p w14:paraId="41EC53ED">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continue"/>
            <w:noWrap w:val="0"/>
            <w:vAlign w:val="center"/>
          </w:tcPr>
          <w:p w14:paraId="7560497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c>
          <w:tcPr>
            <w:tcW w:w="1012" w:type="dxa"/>
            <w:noWrap w:val="0"/>
            <w:vAlign w:val="center"/>
          </w:tcPr>
          <w:p w14:paraId="378A080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lang w:eastAsia="zh-CN"/>
              </w:rPr>
            </w:pPr>
            <w:r>
              <w:rPr>
                <w:rFonts w:hint="eastAsia" w:ascii="Calibri" w:hAnsi="Calibri" w:cs="Times New Roman"/>
                <w:color w:val="auto"/>
                <w:highlight w:val="none"/>
                <w:lang w:eastAsia="zh-CN"/>
              </w:rPr>
              <w:t>1</w:t>
            </w:r>
          </w:p>
        </w:tc>
        <w:tc>
          <w:tcPr>
            <w:tcW w:w="1088" w:type="dxa"/>
            <w:noWrap w:val="0"/>
            <w:vAlign w:val="center"/>
          </w:tcPr>
          <w:p w14:paraId="1606183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2</w:t>
            </w:r>
          </w:p>
        </w:tc>
        <w:tc>
          <w:tcPr>
            <w:tcW w:w="1187" w:type="dxa"/>
            <w:noWrap w:val="0"/>
            <w:vAlign w:val="center"/>
          </w:tcPr>
          <w:p w14:paraId="0A32CE7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3</w:t>
            </w:r>
          </w:p>
        </w:tc>
        <w:tc>
          <w:tcPr>
            <w:tcW w:w="1175" w:type="dxa"/>
            <w:noWrap w:val="0"/>
            <w:vAlign w:val="center"/>
          </w:tcPr>
          <w:p w14:paraId="1546D59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4</w:t>
            </w:r>
          </w:p>
        </w:tc>
        <w:tc>
          <w:tcPr>
            <w:tcW w:w="1175" w:type="dxa"/>
            <w:noWrap w:val="0"/>
            <w:vAlign w:val="center"/>
          </w:tcPr>
          <w:p w14:paraId="348AC3E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5</w:t>
            </w:r>
          </w:p>
        </w:tc>
        <w:tc>
          <w:tcPr>
            <w:tcW w:w="1317" w:type="dxa"/>
            <w:vMerge w:val="continue"/>
            <w:noWrap w:val="0"/>
            <w:vAlign w:val="center"/>
          </w:tcPr>
          <w:p w14:paraId="0387E96A">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lang w:bidi="ar"/>
              </w:rPr>
            </w:pPr>
          </w:p>
        </w:tc>
        <w:tc>
          <w:tcPr>
            <w:tcW w:w="993" w:type="dxa"/>
            <w:vMerge w:val="continue"/>
            <w:noWrap w:val="0"/>
            <w:vAlign w:val="center"/>
          </w:tcPr>
          <w:p w14:paraId="1F9F49F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275" w:type="dxa"/>
            <w:vMerge w:val="continue"/>
            <w:noWrap w:val="0"/>
            <w:vAlign w:val="top"/>
          </w:tcPr>
          <w:p w14:paraId="01F6BCF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4FFCBF4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8FEA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05" w:type="dxa"/>
            <w:vMerge w:val="restart"/>
            <w:noWrap w:val="0"/>
            <w:vAlign w:val="center"/>
          </w:tcPr>
          <w:p w14:paraId="7242AAFB">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r>
              <w:rPr>
                <w:rFonts w:hint="eastAsia" w:ascii="Calibri" w:hAnsi="Calibri" w:eastAsia="宋体" w:cs="宋体"/>
                <w:color w:val="auto"/>
                <w:highlight w:val="none"/>
              </w:rPr>
              <w:t>施工组织设计（</w:t>
            </w:r>
            <w:r>
              <w:rPr>
                <w:rFonts w:hint="default" w:ascii="Calibri" w:hAnsi="Calibri" w:eastAsia="宋体" w:cs="宋体"/>
                <w:color w:val="auto"/>
                <w:highlight w:val="none"/>
              </w:rPr>
              <w:t>暗标）</w:t>
            </w:r>
          </w:p>
        </w:tc>
        <w:tc>
          <w:tcPr>
            <w:tcW w:w="1938" w:type="dxa"/>
            <w:vMerge w:val="restart"/>
            <w:noWrap w:val="0"/>
            <w:vAlign w:val="center"/>
          </w:tcPr>
          <w:p w14:paraId="09C4CBF3">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w:t>
            </w:r>
            <w:r>
              <w:rPr>
                <w:rFonts w:hint="eastAsia" w:ascii="Calibri" w:hAnsi="Calibri" w:eastAsia="宋体" w:cs="宋体"/>
                <w:color w:val="auto"/>
                <w:kern w:val="0"/>
                <w:highlight w:val="none"/>
              </w:rPr>
              <w:t>）主要施工方法</w:t>
            </w:r>
          </w:p>
        </w:tc>
        <w:tc>
          <w:tcPr>
            <w:tcW w:w="1012" w:type="dxa"/>
            <w:noWrap w:val="0"/>
            <w:vAlign w:val="center"/>
          </w:tcPr>
          <w:p w14:paraId="0DE9755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88" w:type="dxa"/>
            <w:noWrap w:val="0"/>
            <w:vAlign w:val="center"/>
          </w:tcPr>
          <w:p w14:paraId="3A6546E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87" w:type="dxa"/>
            <w:noWrap w:val="0"/>
            <w:vAlign w:val="center"/>
          </w:tcPr>
          <w:p w14:paraId="7C4ACB6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4EF6C3D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6B6E620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317" w:type="dxa"/>
            <w:vMerge w:val="restart"/>
            <w:noWrap w:val="0"/>
            <w:vAlign w:val="center"/>
          </w:tcPr>
          <w:p w14:paraId="270DB48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3FFFA9B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3A6ED9A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29DD60B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EC5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05" w:type="dxa"/>
            <w:vMerge w:val="continue"/>
            <w:noWrap w:val="0"/>
            <w:vAlign w:val="center"/>
          </w:tcPr>
          <w:p w14:paraId="0FC5CF2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938" w:type="dxa"/>
            <w:vMerge w:val="continue"/>
            <w:noWrap w:val="0"/>
            <w:vAlign w:val="center"/>
          </w:tcPr>
          <w:p w14:paraId="0E3413AA">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1012" w:type="dxa"/>
            <w:noWrap w:val="0"/>
            <w:vAlign w:val="center"/>
          </w:tcPr>
          <w:p w14:paraId="2D700A1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88" w:type="dxa"/>
            <w:noWrap w:val="0"/>
            <w:vAlign w:val="center"/>
          </w:tcPr>
          <w:p w14:paraId="0FCE142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87" w:type="dxa"/>
            <w:noWrap w:val="0"/>
            <w:vAlign w:val="center"/>
          </w:tcPr>
          <w:p w14:paraId="7063B42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47C8BCC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2E54B61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317" w:type="dxa"/>
            <w:vMerge w:val="continue"/>
            <w:noWrap w:val="0"/>
            <w:vAlign w:val="center"/>
          </w:tcPr>
          <w:p w14:paraId="43FCE3D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4EB6F09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28B4D00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0E34730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C4E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76065A83">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restart"/>
            <w:noWrap w:val="0"/>
            <w:vAlign w:val="center"/>
          </w:tcPr>
          <w:p w14:paraId="08A1C4C0">
            <w:pPr>
              <w:keepNext w:val="0"/>
              <w:keepLines w:val="0"/>
              <w:suppressLineNumbers w:val="0"/>
              <w:spacing w:before="0" w:beforeAutospacing="0" w:after="0" w:afterAutospacing="0" w:line="360" w:lineRule="auto"/>
              <w:ind w:left="0" w:right="0"/>
              <w:jc w:val="left"/>
              <w:rPr>
                <w:rFonts w:hint="default" w:ascii="Calibri" w:hAnsi="Calibri"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2</w:t>
            </w:r>
            <w:r>
              <w:rPr>
                <w:rFonts w:hint="eastAsia" w:ascii="Calibri" w:hAnsi="Calibri" w:eastAsia="宋体" w:cs="宋体"/>
                <w:color w:val="auto"/>
                <w:kern w:val="0"/>
                <w:highlight w:val="none"/>
              </w:rPr>
              <w:t>）拟投入的主要物资计划</w:t>
            </w:r>
          </w:p>
        </w:tc>
        <w:tc>
          <w:tcPr>
            <w:tcW w:w="1012" w:type="dxa"/>
            <w:noWrap w:val="0"/>
            <w:vAlign w:val="center"/>
          </w:tcPr>
          <w:p w14:paraId="7655D1E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88" w:type="dxa"/>
            <w:noWrap w:val="0"/>
            <w:vAlign w:val="center"/>
          </w:tcPr>
          <w:p w14:paraId="5B99D59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87" w:type="dxa"/>
            <w:noWrap w:val="0"/>
            <w:vAlign w:val="center"/>
          </w:tcPr>
          <w:p w14:paraId="52ADFB1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1B5A8D4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338308F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317" w:type="dxa"/>
            <w:vMerge w:val="restart"/>
            <w:noWrap w:val="0"/>
            <w:vAlign w:val="center"/>
          </w:tcPr>
          <w:p w14:paraId="098C1D2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6929C89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7424B43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4A37004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2EF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37D3A44D">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continue"/>
            <w:noWrap w:val="0"/>
            <w:vAlign w:val="center"/>
          </w:tcPr>
          <w:p w14:paraId="04BF7DF7">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1012" w:type="dxa"/>
            <w:noWrap w:val="0"/>
            <w:vAlign w:val="center"/>
          </w:tcPr>
          <w:p w14:paraId="0215218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88" w:type="dxa"/>
            <w:noWrap w:val="0"/>
            <w:vAlign w:val="center"/>
          </w:tcPr>
          <w:p w14:paraId="279B1A1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87" w:type="dxa"/>
            <w:noWrap w:val="0"/>
            <w:vAlign w:val="center"/>
          </w:tcPr>
          <w:p w14:paraId="25E3356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10D9395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6A757E3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317" w:type="dxa"/>
            <w:vMerge w:val="continue"/>
            <w:noWrap w:val="0"/>
            <w:vAlign w:val="center"/>
          </w:tcPr>
          <w:p w14:paraId="78046C1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30CDE1C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4885E41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447B54D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86E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3AC6AA2E">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restart"/>
            <w:noWrap w:val="0"/>
            <w:vAlign w:val="center"/>
          </w:tcPr>
          <w:p w14:paraId="7E72DAC5">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3</w:t>
            </w:r>
            <w:r>
              <w:rPr>
                <w:rFonts w:hint="eastAsia" w:ascii="Calibri" w:hAnsi="Calibri" w:eastAsia="宋体" w:cs="宋体"/>
                <w:color w:val="auto"/>
                <w:kern w:val="0"/>
                <w:highlight w:val="none"/>
              </w:rPr>
              <w:t>）劳动力安排计划</w:t>
            </w:r>
          </w:p>
        </w:tc>
        <w:tc>
          <w:tcPr>
            <w:tcW w:w="1012" w:type="dxa"/>
            <w:noWrap w:val="0"/>
            <w:vAlign w:val="center"/>
          </w:tcPr>
          <w:p w14:paraId="27D463A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88" w:type="dxa"/>
            <w:noWrap w:val="0"/>
            <w:vAlign w:val="center"/>
          </w:tcPr>
          <w:p w14:paraId="32EA1C2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87" w:type="dxa"/>
            <w:noWrap w:val="0"/>
            <w:vAlign w:val="center"/>
          </w:tcPr>
          <w:p w14:paraId="72BA15E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5C22D63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4F72718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317" w:type="dxa"/>
            <w:vMerge w:val="restart"/>
            <w:noWrap w:val="0"/>
            <w:vAlign w:val="center"/>
          </w:tcPr>
          <w:p w14:paraId="21AD2D5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5C342E8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40A81F0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457F62A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B77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6EAA2E0C">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continue"/>
            <w:noWrap w:val="0"/>
            <w:vAlign w:val="center"/>
          </w:tcPr>
          <w:p w14:paraId="244D4837">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1012" w:type="dxa"/>
            <w:noWrap w:val="0"/>
            <w:vAlign w:val="center"/>
          </w:tcPr>
          <w:p w14:paraId="2EE3A03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88" w:type="dxa"/>
            <w:noWrap w:val="0"/>
            <w:vAlign w:val="center"/>
          </w:tcPr>
          <w:p w14:paraId="6BA78FE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87" w:type="dxa"/>
            <w:noWrap w:val="0"/>
            <w:vAlign w:val="center"/>
          </w:tcPr>
          <w:p w14:paraId="331F208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4775125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709DF35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317" w:type="dxa"/>
            <w:vMerge w:val="continue"/>
            <w:noWrap w:val="0"/>
            <w:vAlign w:val="center"/>
          </w:tcPr>
          <w:p w14:paraId="05D2A12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37A7153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04B6F18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578EC2E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293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1AA98D9A">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restart"/>
            <w:noWrap w:val="0"/>
            <w:vAlign w:val="center"/>
          </w:tcPr>
          <w:p w14:paraId="61765A4C">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4</w:t>
            </w:r>
            <w:r>
              <w:rPr>
                <w:rFonts w:hint="eastAsia" w:ascii="Calibri" w:hAnsi="Calibri" w:eastAsia="宋体" w:cs="宋体"/>
                <w:color w:val="auto"/>
                <w:kern w:val="0"/>
                <w:highlight w:val="none"/>
              </w:rPr>
              <w:t>）确保工程质量的技术组织措施</w:t>
            </w:r>
          </w:p>
        </w:tc>
        <w:tc>
          <w:tcPr>
            <w:tcW w:w="1012" w:type="dxa"/>
            <w:noWrap w:val="0"/>
            <w:vAlign w:val="center"/>
          </w:tcPr>
          <w:p w14:paraId="210FCD8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88" w:type="dxa"/>
            <w:noWrap w:val="0"/>
            <w:vAlign w:val="center"/>
          </w:tcPr>
          <w:p w14:paraId="246B99F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87" w:type="dxa"/>
            <w:noWrap w:val="0"/>
            <w:vAlign w:val="center"/>
          </w:tcPr>
          <w:p w14:paraId="359B266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5E4CD0E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35E4CBF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317" w:type="dxa"/>
            <w:vMerge w:val="restart"/>
            <w:noWrap w:val="0"/>
            <w:vAlign w:val="center"/>
          </w:tcPr>
          <w:p w14:paraId="48478ED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38E01AE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363E540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4D0803E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A5B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05" w:type="dxa"/>
            <w:vMerge w:val="continue"/>
            <w:noWrap w:val="0"/>
            <w:vAlign w:val="center"/>
          </w:tcPr>
          <w:p w14:paraId="0ECE6F0D">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continue"/>
            <w:noWrap w:val="0"/>
            <w:vAlign w:val="center"/>
          </w:tcPr>
          <w:p w14:paraId="57143C50">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1012" w:type="dxa"/>
            <w:noWrap w:val="0"/>
            <w:vAlign w:val="center"/>
          </w:tcPr>
          <w:p w14:paraId="3C218E7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88" w:type="dxa"/>
            <w:noWrap w:val="0"/>
            <w:vAlign w:val="center"/>
          </w:tcPr>
          <w:p w14:paraId="3B569AB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87" w:type="dxa"/>
            <w:noWrap w:val="0"/>
            <w:vAlign w:val="center"/>
          </w:tcPr>
          <w:p w14:paraId="46CA7CB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3882052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7112C48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317" w:type="dxa"/>
            <w:vMerge w:val="continue"/>
            <w:noWrap w:val="0"/>
            <w:vAlign w:val="center"/>
          </w:tcPr>
          <w:p w14:paraId="0E7AACC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6B0930C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5B957C8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12BA532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19B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3299A015">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restart"/>
            <w:noWrap w:val="0"/>
            <w:vAlign w:val="center"/>
          </w:tcPr>
          <w:p w14:paraId="6140FC1F">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5</w:t>
            </w:r>
            <w:r>
              <w:rPr>
                <w:rFonts w:hint="eastAsia" w:ascii="Calibri" w:hAnsi="Calibri" w:eastAsia="宋体" w:cs="宋体"/>
                <w:color w:val="auto"/>
                <w:kern w:val="0"/>
                <w:highlight w:val="none"/>
              </w:rPr>
              <w:t>）确保安全生产的技术组织措施</w:t>
            </w:r>
          </w:p>
        </w:tc>
        <w:tc>
          <w:tcPr>
            <w:tcW w:w="1012" w:type="dxa"/>
            <w:noWrap w:val="0"/>
            <w:vAlign w:val="center"/>
          </w:tcPr>
          <w:p w14:paraId="1B2D589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88" w:type="dxa"/>
            <w:noWrap w:val="0"/>
            <w:vAlign w:val="center"/>
          </w:tcPr>
          <w:p w14:paraId="6B85B62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87" w:type="dxa"/>
            <w:noWrap w:val="0"/>
            <w:vAlign w:val="center"/>
          </w:tcPr>
          <w:p w14:paraId="1019157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77FF3D5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3935B2A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317" w:type="dxa"/>
            <w:vMerge w:val="restart"/>
            <w:noWrap w:val="0"/>
            <w:vAlign w:val="center"/>
          </w:tcPr>
          <w:p w14:paraId="464DF75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45558A7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7DD0F60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0754D4F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3E2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6EEA8AAF">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continue"/>
            <w:noWrap w:val="0"/>
            <w:vAlign w:val="center"/>
          </w:tcPr>
          <w:p w14:paraId="717EF7C7">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1012" w:type="dxa"/>
            <w:noWrap w:val="0"/>
            <w:vAlign w:val="center"/>
          </w:tcPr>
          <w:p w14:paraId="059639F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88" w:type="dxa"/>
            <w:noWrap w:val="0"/>
            <w:vAlign w:val="center"/>
          </w:tcPr>
          <w:p w14:paraId="58A16C1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87" w:type="dxa"/>
            <w:noWrap w:val="0"/>
            <w:vAlign w:val="center"/>
          </w:tcPr>
          <w:p w14:paraId="34810ED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299C7D7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3A66618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317" w:type="dxa"/>
            <w:vMerge w:val="continue"/>
            <w:noWrap w:val="0"/>
            <w:vAlign w:val="center"/>
          </w:tcPr>
          <w:p w14:paraId="1501539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50942E8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6633F88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226D533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961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5" w:type="dxa"/>
            <w:vMerge w:val="continue"/>
            <w:noWrap w:val="0"/>
            <w:vAlign w:val="center"/>
          </w:tcPr>
          <w:p w14:paraId="47AE2EC7">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restart"/>
            <w:noWrap w:val="0"/>
            <w:vAlign w:val="center"/>
          </w:tcPr>
          <w:p w14:paraId="3220E581">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6</w:t>
            </w:r>
            <w:r>
              <w:rPr>
                <w:rFonts w:hint="eastAsia" w:ascii="Calibri" w:hAnsi="Calibri" w:eastAsia="宋体" w:cs="宋体"/>
                <w:color w:val="auto"/>
                <w:kern w:val="0"/>
                <w:highlight w:val="none"/>
              </w:rPr>
              <w:t>）确保工期的技术组织措施</w:t>
            </w:r>
          </w:p>
        </w:tc>
        <w:tc>
          <w:tcPr>
            <w:tcW w:w="1012" w:type="dxa"/>
            <w:noWrap w:val="0"/>
            <w:vAlign w:val="center"/>
          </w:tcPr>
          <w:p w14:paraId="7F5F840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88" w:type="dxa"/>
            <w:noWrap w:val="0"/>
            <w:vAlign w:val="center"/>
          </w:tcPr>
          <w:p w14:paraId="0D0408C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87" w:type="dxa"/>
            <w:noWrap w:val="0"/>
            <w:vAlign w:val="center"/>
          </w:tcPr>
          <w:p w14:paraId="699889D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43B9E08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087097A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317" w:type="dxa"/>
            <w:vMerge w:val="restart"/>
            <w:noWrap w:val="0"/>
            <w:vAlign w:val="center"/>
          </w:tcPr>
          <w:p w14:paraId="3C20582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5F7A6E2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4CBACCF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0789E8A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EF1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05" w:type="dxa"/>
            <w:vMerge w:val="continue"/>
            <w:noWrap w:val="0"/>
            <w:vAlign w:val="center"/>
          </w:tcPr>
          <w:p w14:paraId="02B0ACC4">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continue"/>
            <w:noWrap w:val="0"/>
            <w:vAlign w:val="center"/>
          </w:tcPr>
          <w:p w14:paraId="67B415F6">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1012" w:type="dxa"/>
            <w:noWrap w:val="0"/>
            <w:vAlign w:val="center"/>
          </w:tcPr>
          <w:p w14:paraId="3E6A4F0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88" w:type="dxa"/>
            <w:noWrap w:val="0"/>
            <w:vAlign w:val="center"/>
          </w:tcPr>
          <w:p w14:paraId="246DFD2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87" w:type="dxa"/>
            <w:noWrap w:val="0"/>
            <w:vAlign w:val="center"/>
          </w:tcPr>
          <w:p w14:paraId="2A65F76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576A01C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55498CD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317" w:type="dxa"/>
            <w:vMerge w:val="continue"/>
            <w:noWrap w:val="0"/>
            <w:vAlign w:val="center"/>
          </w:tcPr>
          <w:p w14:paraId="11979D8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745E5AA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3895C8A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437DF30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6D5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381B7105">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restart"/>
            <w:noWrap w:val="0"/>
            <w:vAlign w:val="center"/>
          </w:tcPr>
          <w:p w14:paraId="5F587D7E">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7</w:t>
            </w:r>
            <w:r>
              <w:rPr>
                <w:rFonts w:hint="eastAsia" w:ascii="Calibri" w:hAnsi="Calibri" w:eastAsia="宋体" w:cs="宋体"/>
                <w:color w:val="auto"/>
                <w:kern w:val="0"/>
                <w:highlight w:val="none"/>
              </w:rPr>
              <w:t>）确保文明施工的技术组织措施</w:t>
            </w:r>
          </w:p>
        </w:tc>
        <w:tc>
          <w:tcPr>
            <w:tcW w:w="1012" w:type="dxa"/>
            <w:noWrap w:val="0"/>
            <w:vAlign w:val="center"/>
          </w:tcPr>
          <w:p w14:paraId="2781914C">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88" w:type="dxa"/>
            <w:noWrap w:val="0"/>
            <w:vAlign w:val="center"/>
          </w:tcPr>
          <w:p w14:paraId="5175B4E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87" w:type="dxa"/>
            <w:noWrap w:val="0"/>
            <w:vAlign w:val="center"/>
          </w:tcPr>
          <w:p w14:paraId="733B986F">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6174180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3376215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317" w:type="dxa"/>
            <w:vMerge w:val="restart"/>
            <w:noWrap w:val="0"/>
            <w:vAlign w:val="center"/>
          </w:tcPr>
          <w:p w14:paraId="38936F4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2CDF84E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78EE9D8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782B22E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BBB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6EF43DC0">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continue"/>
            <w:noWrap w:val="0"/>
            <w:vAlign w:val="center"/>
          </w:tcPr>
          <w:p w14:paraId="371A4F28">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1012" w:type="dxa"/>
            <w:noWrap w:val="0"/>
            <w:vAlign w:val="center"/>
          </w:tcPr>
          <w:p w14:paraId="5CAB940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88" w:type="dxa"/>
            <w:noWrap w:val="0"/>
            <w:vAlign w:val="center"/>
          </w:tcPr>
          <w:p w14:paraId="2858A1C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87" w:type="dxa"/>
            <w:noWrap w:val="0"/>
            <w:vAlign w:val="center"/>
          </w:tcPr>
          <w:p w14:paraId="66C5089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727CF47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45186516">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317" w:type="dxa"/>
            <w:vMerge w:val="continue"/>
            <w:noWrap w:val="0"/>
            <w:vAlign w:val="center"/>
          </w:tcPr>
          <w:p w14:paraId="3F24F5F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3A68A96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2B9DDAC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4CF5080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619C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7D552EC5">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restart"/>
            <w:noWrap w:val="0"/>
            <w:vAlign w:val="center"/>
          </w:tcPr>
          <w:p w14:paraId="572D4480">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8</w:t>
            </w:r>
            <w:r>
              <w:rPr>
                <w:rFonts w:hint="eastAsia" w:ascii="Calibri" w:hAnsi="Calibri" w:eastAsia="宋体" w:cs="宋体"/>
                <w:color w:val="auto"/>
                <w:kern w:val="0"/>
                <w:highlight w:val="none"/>
              </w:rPr>
              <w:t>）工程施工的重点和难点及保证措施</w:t>
            </w:r>
          </w:p>
        </w:tc>
        <w:tc>
          <w:tcPr>
            <w:tcW w:w="1012" w:type="dxa"/>
            <w:noWrap w:val="0"/>
            <w:vAlign w:val="center"/>
          </w:tcPr>
          <w:p w14:paraId="3772974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88" w:type="dxa"/>
            <w:noWrap w:val="0"/>
            <w:vAlign w:val="center"/>
          </w:tcPr>
          <w:p w14:paraId="5DFA222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87" w:type="dxa"/>
            <w:noWrap w:val="0"/>
            <w:vAlign w:val="center"/>
          </w:tcPr>
          <w:p w14:paraId="59A00A5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40AEDF6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1C92BEB8">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317" w:type="dxa"/>
            <w:vMerge w:val="restart"/>
            <w:noWrap w:val="0"/>
            <w:vAlign w:val="center"/>
          </w:tcPr>
          <w:p w14:paraId="5C04924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3D8CFA1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757909F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5763C64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7152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6236F02B">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continue"/>
            <w:noWrap w:val="0"/>
            <w:vAlign w:val="center"/>
          </w:tcPr>
          <w:p w14:paraId="2AB5FAE0">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p>
        </w:tc>
        <w:tc>
          <w:tcPr>
            <w:tcW w:w="1012" w:type="dxa"/>
            <w:noWrap w:val="0"/>
            <w:vAlign w:val="center"/>
          </w:tcPr>
          <w:p w14:paraId="382BCFA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88" w:type="dxa"/>
            <w:noWrap w:val="0"/>
            <w:vAlign w:val="center"/>
          </w:tcPr>
          <w:p w14:paraId="6D87B2A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87" w:type="dxa"/>
            <w:noWrap w:val="0"/>
            <w:vAlign w:val="center"/>
          </w:tcPr>
          <w:p w14:paraId="451514F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459A25D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37977684">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317" w:type="dxa"/>
            <w:vMerge w:val="continue"/>
            <w:noWrap w:val="0"/>
            <w:vAlign w:val="center"/>
          </w:tcPr>
          <w:p w14:paraId="585143C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7CB5FB1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203B3F6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0020335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905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570869B2">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restart"/>
            <w:noWrap w:val="0"/>
            <w:vAlign w:val="center"/>
          </w:tcPr>
          <w:p w14:paraId="32C07143">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9</w:t>
            </w:r>
            <w:r>
              <w:rPr>
                <w:rFonts w:hint="eastAsia" w:ascii="Calibri" w:hAnsi="Calibri" w:eastAsia="宋体" w:cs="宋体"/>
                <w:color w:val="auto"/>
                <w:kern w:val="0"/>
                <w:highlight w:val="none"/>
              </w:rPr>
              <w:t>）施工总平面布置图</w:t>
            </w:r>
          </w:p>
        </w:tc>
        <w:tc>
          <w:tcPr>
            <w:tcW w:w="1012" w:type="dxa"/>
            <w:noWrap w:val="0"/>
            <w:vAlign w:val="center"/>
          </w:tcPr>
          <w:p w14:paraId="266A59D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088" w:type="dxa"/>
            <w:noWrap w:val="0"/>
            <w:vAlign w:val="center"/>
          </w:tcPr>
          <w:p w14:paraId="2ABAB91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87" w:type="dxa"/>
            <w:noWrap w:val="0"/>
            <w:vAlign w:val="center"/>
          </w:tcPr>
          <w:p w14:paraId="65652C91">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7645AD9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175" w:type="dxa"/>
            <w:noWrap w:val="0"/>
            <w:vAlign w:val="center"/>
          </w:tcPr>
          <w:p w14:paraId="33609B2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分值</w:t>
            </w:r>
          </w:p>
        </w:tc>
        <w:tc>
          <w:tcPr>
            <w:tcW w:w="1317" w:type="dxa"/>
            <w:vMerge w:val="restart"/>
            <w:noWrap w:val="0"/>
            <w:vAlign w:val="center"/>
          </w:tcPr>
          <w:p w14:paraId="7EB3CF7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restart"/>
            <w:noWrap w:val="0"/>
            <w:vAlign w:val="center"/>
          </w:tcPr>
          <w:p w14:paraId="09DA397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restart"/>
            <w:noWrap w:val="0"/>
            <w:vAlign w:val="top"/>
          </w:tcPr>
          <w:p w14:paraId="130BC03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restart"/>
            <w:noWrap w:val="0"/>
            <w:vAlign w:val="top"/>
          </w:tcPr>
          <w:p w14:paraId="7D1DE74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2445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33CBA445">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vMerge w:val="continue"/>
            <w:noWrap w:val="0"/>
            <w:vAlign w:val="center"/>
          </w:tcPr>
          <w:p w14:paraId="2CA5B258">
            <w:pPr>
              <w:keepNext w:val="0"/>
              <w:keepLines w:val="0"/>
              <w:suppressLineNumbers w:val="0"/>
              <w:spacing w:before="0" w:beforeAutospacing="0" w:after="0" w:afterAutospacing="0" w:line="360" w:lineRule="auto"/>
              <w:ind w:left="0" w:right="0"/>
              <w:jc w:val="left"/>
              <w:rPr>
                <w:rFonts w:hint="eastAsia" w:ascii="Calibri" w:hAnsi="宋体" w:eastAsia="宋体" w:cs="Times New Roman"/>
                <w:color w:val="auto"/>
                <w:highlight w:val="none"/>
              </w:rPr>
            </w:pPr>
          </w:p>
        </w:tc>
        <w:tc>
          <w:tcPr>
            <w:tcW w:w="1012" w:type="dxa"/>
            <w:noWrap w:val="0"/>
            <w:vAlign w:val="center"/>
          </w:tcPr>
          <w:p w14:paraId="036A9E13">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088" w:type="dxa"/>
            <w:noWrap w:val="0"/>
            <w:vAlign w:val="center"/>
          </w:tcPr>
          <w:p w14:paraId="4FE8D63B">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87" w:type="dxa"/>
            <w:noWrap w:val="0"/>
            <w:vAlign w:val="center"/>
          </w:tcPr>
          <w:p w14:paraId="6BB95865">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79F3E9BA">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175" w:type="dxa"/>
            <w:noWrap w:val="0"/>
            <w:vAlign w:val="center"/>
          </w:tcPr>
          <w:p w14:paraId="112382AE">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偏差率%</w:t>
            </w:r>
          </w:p>
        </w:tc>
        <w:tc>
          <w:tcPr>
            <w:tcW w:w="1317" w:type="dxa"/>
            <w:vMerge w:val="continue"/>
            <w:noWrap w:val="0"/>
            <w:vAlign w:val="center"/>
          </w:tcPr>
          <w:p w14:paraId="569A8EB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vMerge w:val="continue"/>
            <w:noWrap w:val="0"/>
            <w:vAlign w:val="center"/>
          </w:tcPr>
          <w:p w14:paraId="6697538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vMerge w:val="continue"/>
            <w:noWrap w:val="0"/>
            <w:vAlign w:val="top"/>
          </w:tcPr>
          <w:p w14:paraId="7D056E9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vMerge w:val="continue"/>
            <w:noWrap w:val="0"/>
            <w:vAlign w:val="top"/>
          </w:tcPr>
          <w:p w14:paraId="4D8EF29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1A0BD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5" w:type="dxa"/>
            <w:vMerge w:val="continue"/>
            <w:noWrap w:val="0"/>
            <w:vAlign w:val="center"/>
          </w:tcPr>
          <w:p w14:paraId="1BA96D0D">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noWrap w:val="0"/>
            <w:vAlign w:val="center"/>
          </w:tcPr>
          <w:p w14:paraId="210CFC2C">
            <w:pPr>
              <w:keepNext w:val="0"/>
              <w:keepLines w:val="0"/>
              <w:suppressLineNumbers w:val="0"/>
              <w:spacing w:before="0" w:beforeAutospacing="0" w:after="0" w:afterAutospacing="0" w:line="360" w:lineRule="auto"/>
              <w:ind w:left="0" w:right="0"/>
              <w:jc w:val="left"/>
              <w:rPr>
                <w:rFonts w:hint="eastAsia" w:ascii="Calibri" w:hAnsi="宋体" w:eastAsia="宋体" w:cs="Times New Roman"/>
                <w:color w:val="auto"/>
                <w:highlight w:val="none"/>
              </w:rPr>
            </w:pPr>
            <w:r>
              <w:rPr>
                <w:rFonts w:hint="eastAsia" w:ascii="Calibri" w:hAnsi="Calibri" w:eastAsia="宋体" w:cs="宋体"/>
                <w:color w:val="auto"/>
                <w:kern w:val="0"/>
                <w:highlight w:val="none"/>
              </w:rPr>
              <w:t>（</w:t>
            </w:r>
            <w:r>
              <w:rPr>
                <w:rFonts w:hint="default" w:ascii="Calibri" w:hAnsi="Calibri" w:eastAsia="宋体" w:cs="Times New Roman"/>
                <w:color w:val="auto"/>
                <w:kern w:val="0"/>
                <w:highlight w:val="none"/>
              </w:rPr>
              <w:t>10</w:t>
            </w:r>
            <w:r>
              <w:rPr>
                <w:rFonts w:hint="eastAsia" w:ascii="Calibri" w:hAnsi="Calibri" w:eastAsia="宋体" w:cs="宋体"/>
                <w:color w:val="auto"/>
                <w:kern w:val="0"/>
                <w:highlight w:val="none"/>
              </w:rPr>
              <w:t>）其他</w:t>
            </w:r>
          </w:p>
        </w:tc>
        <w:tc>
          <w:tcPr>
            <w:tcW w:w="1012" w:type="dxa"/>
            <w:noWrap w:val="0"/>
            <w:vAlign w:val="center"/>
          </w:tcPr>
          <w:p w14:paraId="018E85F7">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088" w:type="dxa"/>
            <w:noWrap w:val="0"/>
            <w:vAlign w:val="center"/>
          </w:tcPr>
          <w:p w14:paraId="671D930D">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187" w:type="dxa"/>
            <w:noWrap w:val="0"/>
            <w:vAlign w:val="center"/>
          </w:tcPr>
          <w:p w14:paraId="48DA8389">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175" w:type="dxa"/>
            <w:noWrap w:val="0"/>
            <w:vAlign w:val="center"/>
          </w:tcPr>
          <w:p w14:paraId="597E5B80">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175" w:type="dxa"/>
            <w:noWrap w:val="0"/>
            <w:vAlign w:val="center"/>
          </w:tcPr>
          <w:p w14:paraId="4F96DE12">
            <w:pPr>
              <w:keepNext w:val="0"/>
              <w:keepLines w:val="0"/>
              <w:suppressLineNumbers w:val="0"/>
              <w:spacing w:before="0" w:beforeAutospacing="0" w:after="0" w:afterAutospacing="0" w:line="360" w:lineRule="auto"/>
              <w:ind w:left="0" w:right="0"/>
              <w:jc w:val="center"/>
              <w:rPr>
                <w:rFonts w:hint="eastAsia" w:ascii="Calibri" w:hAnsi="Calibri" w:eastAsia="宋体" w:cs="Times New Roman"/>
                <w:color w:val="auto"/>
                <w:highlight w:val="none"/>
              </w:rPr>
            </w:pPr>
          </w:p>
        </w:tc>
        <w:tc>
          <w:tcPr>
            <w:tcW w:w="1317" w:type="dxa"/>
            <w:noWrap w:val="0"/>
            <w:vAlign w:val="center"/>
          </w:tcPr>
          <w:p w14:paraId="68FEF54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323420F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top"/>
          </w:tcPr>
          <w:p w14:paraId="3B236EC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noWrap w:val="0"/>
            <w:vAlign w:val="top"/>
          </w:tcPr>
          <w:p w14:paraId="21CD430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1F3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705" w:type="dxa"/>
            <w:vMerge w:val="continue"/>
            <w:noWrap w:val="0"/>
            <w:vAlign w:val="center"/>
          </w:tcPr>
          <w:p w14:paraId="5CF07374">
            <w:pPr>
              <w:keepNext w:val="0"/>
              <w:keepLines w:val="0"/>
              <w:suppressLineNumbers w:val="0"/>
              <w:spacing w:before="0" w:beforeAutospacing="0" w:after="0" w:afterAutospacing="0" w:line="360" w:lineRule="auto"/>
              <w:ind w:left="0" w:right="0"/>
              <w:jc w:val="center"/>
              <w:rPr>
                <w:rFonts w:hint="default" w:ascii="Calibri" w:hAnsi="Calibri" w:eastAsia="黑体" w:cs="Times New Roman"/>
                <w:color w:val="auto"/>
                <w:highlight w:val="none"/>
              </w:rPr>
            </w:pPr>
          </w:p>
        </w:tc>
        <w:tc>
          <w:tcPr>
            <w:tcW w:w="1938" w:type="dxa"/>
            <w:noWrap w:val="0"/>
            <w:vAlign w:val="center"/>
          </w:tcPr>
          <w:p w14:paraId="0E4BCA69">
            <w:pPr>
              <w:keepNext w:val="0"/>
              <w:keepLines w:val="0"/>
              <w:suppressLineNumbers w:val="0"/>
              <w:spacing w:before="0" w:beforeAutospacing="0" w:after="0" w:afterAutospacing="0" w:line="360" w:lineRule="auto"/>
              <w:ind w:left="0" w:right="0"/>
              <w:jc w:val="left"/>
              <w:rPr>
                <w:rFonts w:hint="eastAsia" w:ascii="Calibri" w:hAnsi="Calibri" w:eastAsia="宋体" w:cs="Times New Roman"/>
                <w:color w:val="auto"/>
                <w:kern w:val="0"/>
                <w:highlight w:val="none"/>
              </w:rPr>
            </w:pPr>
            <w:r>
              <w:rPr>
                <w:rFonts w:hint="default" w:ascii="Calibri" w:hAnsi="Calibri" w:eastAsia="宋体" w:cs="Times New Roman"/>
                <w:color w:val="auto"/>
                <w:kern w:val="0"/>
                <w:highlight w:val="none"/>
              </w:rPr>
              <w:t>.........</w:t>
            </w:r>
          </w:p>
        </w:tc>
        <w:tc>
          <w:tcPr>
            <w:tcW w:w="1012" w:type="dxa"/>
            <w:noWrap w:val="0"/>
            <w:vAlign w:val="center"/>
          </w:tcPr>
          <w:p w14:paraId="51EC2A9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088" w:type="dxa"/>
            <w:noWrap w:val="0"/>
            <w:vAlign w:val="center"/>
          </w:tcPr>
          <w:p w14:paraId="5C4E19D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87" w:type="dxa"/>
            <w:noWrap w:val="0"/>
            <w:vAlign w:val="center"/>
          </w:tcPr>
          <w:p w14:paraId="1EC15C9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75" w:type="dxa"/>
            <w:noWrap w:val="0"/>
            <w:vAlign w:val="center"/>
          </w:tcPr>
          <w:p w14:paraId="26647C6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175" w:type="dxa"/>
            <w:noWrap w:val="0"/>
            <w:vAlign w:val="center"/>
          </w:tcPr>
          <w:p w14:paraId="6EA7005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17" w:type="dxa"/>
            <w:noWrap w:val="0"/>
            <w:vAlign w:val="center"/>
          </w:tcPr>
          <w:p w14:paraId="4F76AAD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93" w:type="dxa"/>
            <w:noWrap w:val="0"/>
            <w:vAlign w:val="center"/>
          </w:tcPr>
          <w:p w14:paraId="6165D3A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75" w:type="dxa"/>
            <w:noWrap w:val="0"/>
            <w:vAlign w:val="top"/>
          </w:tcPr>
          <w:p w14:paraId="47589FF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2" w:type="dxa"/>
            <w:noWrap w:val="0"/>
            <w:vAlign w:val="top"/>
          </w:tcPr>
          <w:p w14:paraId="1ADADB1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990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43" w:type="dxa"/>
            <w:gridSpan w:val="2"/>
            <w:noWrap w:val="0"/>
            <w:vAlign w:val="center"/>
          </w:tcPr>
          <w:p w14:paraId="7E55CA0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bidi="ar"/>
              </w:rPr>
              <w:t>投标人技术建议书</w:t>
            </w:r>
          </w:p>
          <w:p w14:paraId="3F59D3A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总评分</w:t>
            </w:r>
            <w:r>
              <w:rPr>
                <w:rFonts w:hint="default" w:ascii="Calibri" w:hAnsi="Calibri" w:eastAsia="宋体" w:cs="Times New Roman"/>
                <w:color w:val="auto"/>
                <w:highlight w:val="none"/>
              </w:rPr>
              <w:t>结果</w:t>
            </w:r>
          </w:p>
        </w:tc>
        <w:tc>
          <w:tcPr>
            <w:tcW w:w="5637" w:type="dxa"/>
            <w:gridSpan w:val="5"/>
            <w:noWrap w:val="0"/>
            <w:vAlign w:val="center"/>
          </w:tcPr>
          <w:p w14:paraId="05C8F78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17" w:type="dxa"/>
            <w:noWrap w:val="0"/>
            <w:vAlign w:val="center"/>
          </w:tcPr>
          <w:p w14:paraId="6F286D4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lang w:bidi="ar"/>
              </w:rPr>
              <w:t>是否通过评审</w:t>
            </w:r>
          </w:p>
        </w:tc>
        <w:tc>
          <w:tcPr>
            <w:tcW w:w="3230" w:type="dxa"/>
            <w:gridSpan w:val="3"/>
            <w:noWrap w:val="0"/>
            <w:vAlign w:val="center"/>
          </w:tcPr>
          <w:p w14:paraId="2248490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239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643" w:type="dxa"/>
            <w:gridSpan w:val="2"/>
            <w:noWrap w:val="0"/>
            <w:vAlign w:val="center"/>
          </w:tcPr>
          <w:p w14:paraId="0B99B62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lang w:bidi="ar"/>
              </w:rPr>
            </w:pPr>
            <w:r>
              <w:rPr>
                <w:rFonts w:hint="eastAsia" w:ascii="Calibri" w:hAnsi="Calibri" w:eastAsia="宋体" w:cs="宋体"/>
                <w:color w:val="auto"/>
                <w:sz w:val="18"/>
                <w:szCs w:val="18"/>
                <w:highlight w:val="none"/>
              </w:rPr>
              <w:t>投标人技术标加权平均得分</w:t>
            </w:r>
          </w:p>
        </w:tc>
        <w:tc>
          <w:tcPr>
            <w:tcW w:w="5637" w:type="dxa"/>
            <w:gridSpan w:val="5"/>
            <w:noWrap w:val="0"/>
            <w:vAlign w:val="center"/>
          </w:tcPr>
          <w:p w14:paraId="14694DB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317" w:type="dxa"/>
            <w:noWrap w:val="0"/>
            <w:vAlign w:val="center"/>
          </w:tcPr>
          <w:p w14:paraId="294EC8C8">
            <w:pPr>
              <w:keepNext w:val="0"/>
              <w:keepLines w:val="0"/>
              <w:suppressLineNumbers w:val="0"/>
              <w:spacing w:before="0" w:beforeAutospacing="0" w:after="0" w:afterAutospacing="0" w:line="360" w:lineRule="auto"/>
              <w:ind w:left="0" w:right="0"/>
              <w:jc w:val="center"/>
              <w:rPr>
                <w:rFonts w:hint="eastAsia" w:ascii="Calibri" w:hAnsi="Calibri" w:eastAsia="宋体" w:cs="宋体"/>
                <w:color w:val="auto"/>
                <w:highlight w:val="none"/>
                <w:lang w:bidi="ar"/>
              </w:rPr>
            </w:pPr>
          </w:p>
        </w:tc>
        <w:tc>
          <w:tcPr>
            <w:tcW w:w="3230" w:type="dxa"/>
            <w:gridSpan w:val="3"/>
            <w:noWrap w:val="0"/>
            <w:vAlign w:val="center"/>
          </w:tcPr>
          <w:p w14:paraId="723A910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bl>
    <w:p w14:paraId="1BDAD2E1">
      <w:pPr>
        <w:rPr>
          <w:rFonts w:hint="eastAsia" w:eastAsia="楷体_GB2312"/>
          <w:color w:val="auto"/>
          <w:highlight w:val="none"/>
        </w:rPr>
      </w:pPr>
    </w:p>
    <w:p w14:paraId="418D0E67">
      <w:pPr>
        <w:spacing w:after="240" w:afterLines="100"/>
        <w:rPr>
          <w:color w:val="auto"/>
          <w:highlight w:val="none"/>
        </w:rPr>
      </w:pPr>
      <w:r>
        <w:rPr>
          <w:rFonts w:hint="eastAsia" w:eastAsia="楷体_GB2312"/>
          <w:color w:val="auto"/>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r>
        <w:rPr>
          <w:rFonts w:hint="eastAsia" w:eastAsia="楷体_GB2312"/>
          <w:color w:val="auto"/>
          <w:highlight w:val="none"/>
          <w:lang w:eastAsia="zh-CN"/>
        </w:rPr>
        <w:t>】</w:t>
      </w:r>
    </w:p>
    <w:p w14:paraId="5CB92F3B">
      <w:pPr>
        <w:rPr>
          <w:rFonts w:eastAsia="楷体_GB2312"/>
          <w:color w:val="auto"/>
          <w:highlight w:val="none"/>
        </w:rPr>
      </w:pPr>
    </w:p>
    <w:p w14:paraId="187501D9">
      <w:pPr>
        <w:spacing w:line="440" w:lineRule="exact"/>
        <w:rPr>
          <w:color w:val="auto"/>
          <w:highlight w:val="none"/>
        </w:rPr>
      </w:pPr>
    </w:p>
    <w:p w14:paraId="1E467D2E">
      <w:pPr>
        <w:spacing w:line="440" w:lineRule="exact"/>
        <w:rPr>
          <w:color w:val="auto"/>
          <w:highlight w:val="none"/>
        </w:rPr>
      </w:pPr>
      <w:r>
        <w:rPr>
          <w:color w:val="auto"/>
          <w:highlight w:val="none"/>
        </w:rPr>
        <w:t>评标委员会全体</w:t>
      </w:r>
      <w:r>
        <w:rPr>
          <w:rFonts w:hint="eastAsia"/>
          <w:color w:val="auto"/>
          <w:highlight w:val="none"/>
        </w:rPr>
        <w:t>技术标评委</w:t>
      </w:r>
      <w:r>
        <w:rPr>
          <w:color w:val="auto"/>
          <w:highlight w:val="none"/>
        </w:rPr>
        <w:t>签名：                                                                       日期：        年     月     日</w:t>
      </w:r>
    </w:p>
    <w:p w14:paraId="7409ECB6">
      <w:pPr>
        <w:spacing w:line="440" w:lineRule="exact"/>
        <w:rPr>
          <w:color w:val="auto"/>
          <w:highlight w:val="none"/>
        </w:rPr>
      </w:pPr>
    </w:p>
    <w:p w14:paraId="3D157964">
      <w:pPr>
        <w:spacing w:line="440" w:lineRule="exact"/>
        <w:rPr>
          <w:rFonts w:hint="eastAsia"/>
          <w:color w:val="auto"/>
          <w:highlight w:val="none"/>
        </w:rPr>
      </w:pPr>
    </w:p>
    <w:p w14:paraId="60C64183">
      <w:pPr>
        <w:pStyle w:val="5"/>
        <w:spacing w:line="240" w:lineRule="auto"/>
        <w:rPr>
          <w:color w:val="auto"/>
          <w:sz w:val="28"/>
          <w:szCs w:val="28"/>
          <w:highlight w:val="none"/>
        </w:rPr>
      </w:pPr>
      <w:bookmarkStart w:id="623" w:name="_Toc9370"/>
      <w:bookmarkStart w:id="624" w:name="_Toc902006463"/>
      <w:bookmarkStart w:id="625" w:name="_Toc886"/>
      <w:bookmarkStart w:id="626" w:name="_Toc78449769"/>
      <w:bookmarkStart w:id="627" w:name="_Toc1745702597"/>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rPr>
        <w:t>－</w:t>
      </w:r>
      <w:r>
        <w:rPr>
          <w:color w:val="auto"/>
          <w:sz w:val="28"/>
          <w:szCs w:val="28"/>
          <w:highlight w:val="none"/>
        </w:rPr>
        <w:t>1</w:t>
      </w:r>
      <w:r>
        <w:rPr>
          <w:rFonts w:hint="eastAsia"/>
          <w:color w:val="auto"/>
          <w:sz w:val="28"/>
          <w:szCs w:val="28"/>
          <w:highlight w:val="none"/>
          <w:lang w:val="en-US" w:eastAsia="zh-CN"/>
        </w:rPr>
        <w:t>4</w:t>
      </w:r>
      <w:r>
        <w:rPr>
          <w:rFonts w:hint="eastAsia"/>
          <w:color w:val="auto"/>
          <w:sz w:val="28"/>
          <w:szCs w:val="28"/>
          <w:highlight w:val="none"/>
        </w:rPr>
        <w:t>：报价</w:t>
      </w:r>
      <w:r>
        <w:rPr>
          <w:color w:val="auto"/>
          <w:sz w:val="28"/>
          <w:szCs w:val="28"/>
          <w:highlight w:val="none"/>
        </w:rPr>
        <w:t>分</w:t>
      </w:r>
      <w:r>
        <w:rPr>
          <w:rFonts w:hint="eastAsia"/>
          <w:color w:val="auto"/>
          <w:sz w:val="28"/>
          <w:szCs w:val="28"/>
          <w:highlight w:val="none"/>
        </w:rPr>
        <w:t>评分记录表</w:t>
      </w:r>
      <w:bookmarkEnd w:id="623"/>
      <w:bookmarkEnd w:id="624"/>
      <w:bookmarkEnd w:id="625"/>
      <w:bookmarkEnd w:id="626"/>
      <w:bookmarkEnd w:id="627"/>
    </w:p>
    <w:p w14:paraId="51B5FAF5">
      <w:pPr>
        <w:jc w:val="center"/>
        <w:rPr>
          <w:color w:val="auto"/>
          <w:highlight w:val="none"/>
        </w:rPr>
      </w:pPr>
      <w:r>
        <w:rPr>
          <w:rFonts w:hint="eastAsia" w:eastAsia="黑体" w:cs="黑体"/>
          <w:color w:val="auto"/>
          <w:sz w:val="28"/>
          <w:szCs w:val="28"/>
          <w:highlight w:val="none"/>
        </w:rPr>
        <w:t>报价分评分记录表</w:t>
      </w:r>
    </w:p>
    <w:p w14:paraId="7310931B">
      <w:pPr>
        <w:spacing w:after="72" w:afterLines="30" w:line="440" w:lineRule="exact"/>
        <w:rPr>
          <w:color w:val="auto"/>
          <w:highlight w:val="none"/>
        </w:rPr>
      </w:pPr>
      <w:r>
        <w:rPr>
          <w:rFonts w:hint="eastAsia" w:ascii="Calibri" w:hAnsi="Calibri"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1"/>
        <w:tblW w:w="1419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8"/>
        <w:gridCol w:w="919"/>
        <w:gridCol w:w="1116"/>
        <w:gridCol w:w="1272"/>
        <w:gridCol w:w="1278"/>
        <w:gridCol w:w="1290"/>
        <w:gridCol w:w="1584"/>
        <w:gridCol w:w="1524"/>
      </w:tblGrid>
      <w:tr w14:paraId="499A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208" w:type="dxa"/>
            <w:vMerge w:val="restart"/>
            <w:noWrap w:val="0"/>
            <w:vAlign w:val="center"/>
          </w:tcPr>
          <w:p w14:paraId="33775D2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w:t>
            </w:r>
          </w:p>
        </w:tc>
        <w:tc>
          <w:tcPr>
            <w:tcW w:w="8983" w:type="dxa"/>
            <w:gridSpan w:val="7"/>
            <w:noWrap w:val="0"/>
            <w:vAlign w:val="center"/>
          </w:tcPr>
          <w:p w14:paraId="523FBA8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w:t>
            </w:r>
          </w:p>
        </w:tc>
      </w:tr>
      <w:tr w14:paraId="563A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208" w:type="dxa"/>
            <w:vMerge w:val="continue"/>
            <w:noWrap w:val="0"/>
            <w:vAlign w:val="center"/>
          </w:tcPr>
          <w:p w14:paraId="5C4B2C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19" w:type="dxa"/>
            <w:noWrap w:val="0"/>
            <w:vAlign w:val="center"/>
          </w:tcPr>
          <w:p w14:paraId="15EF77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585E8E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3181FD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0D98C4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666E555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42EA9E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7C97CD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FC5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685CB678">
            <w:pPr>
              <w:keepNext w:val="0"/>
              <w:keepLines w:val="0"/>
              <w:suppressLineNumbers w:val="0"/>
              <w:spacing w:before="0" w:beforeAutospacing="0" w:after="0" w:afterAutospacing="0"/>
              <w:ind w:left="0" w:right="0"/>
              <w:jc w:val="left"/>
              <w:rPr>
                <w:rFonts w:hint="eastAsia" w:ascii="Calibri" w:hAnsi="Calibri" w:eastAsia="宋体" w:cs="Times New Roman"/>
                <w:color w:val="auto"/>
                <w:highlight w:val="none"/>
                <w:lang w:eastAsia="zh-CN"/>
              </w:rPr>
            </w:pPr>
            <w:r>
              <w:rPr>
                <w:rFonts w:hint="eastAsia" w:ascii="Calibri" w:hAnsi="Calibri" w:eastAsia="宋体" w:cs="宋体"/>
                <w:color w:val="auto"/>
                <w:highlight w:val="none"/>
              </w:rPr>
              <w:t>投标</w:t>
            </w:r>
            <w:r>
              <w:rPr>
                <w:rFonts w:hint="eastAsia" w:ascii="Calibri" w:hAnsi="Calibri" w:eastAsia="宋体" w:cs="宋体"/>
                <w:color w:val="auto"/>
                <w:highlight w:val="none"/>
                <w:lang w:eastAsia="zh-CN"/>
              </w:rPr>
              <w:t>报</w:t>
            </w:r>
            <w:r>
              <w:rPr>
                <w:rFonts w:hint="eastAsia" w:ascii="Calibri" w:hAnsi="Calibri" w:eastAsia="宋体" w:cs="宋体"/>
                <w:color w:val="auto"/>
                <w:highlight w:val="none"/>
              </w:rPr>
              <w:t>价</w:t>
            </w:r>
            <w:r>
              <w:rPr>
                <w:rFonts w:hint="eastAsia" w:ascii="Calibri" w:hAnsi="Calibri" w:eastAsia="宋体" w:cs="宋体"/>
                <w:color w:val="auto"/>
                <w:highlight w:val="none"/>
                <w:lang w:eastAsia="zh-CN"/>
              </w:rPr>
              <w:t>（万元）</w:t>
            </w:r>
          </w:p>
        </w:tc>
        <w:tc>
          <w:tcPr>
            <w:tcW w:w="919" w:type="dxa"/>
            <w:noWrap w:val="0"/>
            <w:vAlign w:val="center"/>
          </w:tcPr>
          <w:p w14:paraId="36774A8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6B2D58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5394667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702CDF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05CB568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3DB812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581BF6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F02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25EE2488">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rPr>
              <w:t>投标</w:t>
            </w:r>
            <w:r>
              <w:rPr>
                <w:rFonts w:hint="eastAsia" w:ascii="Calibri" w:hAnsi="Calibri" w:eastAsia="宋体" w:cs="宋体"/>
                <w:color w:val="auto"/>
                <w:highlight w:val="none"/>
                <w:lang w:eastAsia="zh-CN"/>
              </w:rPr>
              <w:t>报</w:t>
            </w:r>
            <w:r>
              <w:rPr>
                <w:rFonts w:hint="eastAsia" w:ascii="Calibri" w:hAnsi="Calibri" w:eastAsia="宋体" w:cs="宋体"/>
                <w:color w:val="auto"/>
                <w:highlight w:val="none"/>
              </w:rPr>
              <w:t>价是否有效</w:t>
            </w:r>
          </w:p>
        </w:tc>
        <w:tc>
          <w:tcPr>
            <w:tcW w:w="919" w:type="dxa"/>
            <w:noWrap w:val="0"/>
            <w:vAlign w:val="center"/>
          </w:tcPr>
          <w:p w14:paraId="09BBAF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7407DD2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68D13B5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0F4CD4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5120B6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0F42AE2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18D75FF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C9B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1C3EA7D2">
            <w:pPr>
              <w:keepNext w:val="0"/>
              <w:keepLines w:val="0"/>
              <w:suppressLineNumbers w:val="0"/>
              <w:spacing w:before="0" w:beforeAutospacing="0" w:after="0" w:afterAutospacing="0"/>
              <w:ind w:left="0" w:right="0"/>
              <w:jc w:val="left"/>
              <w:rPr>
                <w:rFonts w:hint="eastAsia" w:ascii="Calibri" w:hAnsi="Calibri" w:eastAsia="宋体" w:cs="宋体"/>
                <w:color w:val="auto"/>
                <w:highlight w:val="none"/>
              </w:rPr>
            </w:pPr>
            <w:r>
              <w:rPr>
                <w:rFonts w:hint="eastAsia" w:ascii="Calibri" w:hAnsi="Calibri" w:eastAsia="宋体" w:cs="宋体"/>
                <w:color w:val="auto"/>
                <w:highlight w:val="none"/>
              </w:rPr>
              <w:t>已标价工程量清单评审是否合格</w:t>
            </w:r>
          </w:p>
        </w:tc>
        <w:tc>
          <w:tcPr>
            <w:tcW w:w="919" w:type="dxa"/>
            <w:noWrap w:val="0"/>
            <w:vAlign w:val="center"/>
          </w:tcPr>
          <w:p w14:paraId="5B0D149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5523669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22C6B4A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436398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13C4984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303412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0CFB4E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85F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70D08025">
            <w:pPr>
              <w:keepNext w:val="0"/>
              <w:keepLines w:val="0"/>
              <w:suppressLineNumbers w:val="0"/>
              <w:spacing w:before="0" w:beforeAutospacing="0" w:after="0" w:afterAutospacing="0"/>
              <w:ind w:left="0" w:right="0"/>
              <w:jc w:val="left"/>
              <w:rPr>
                <w:rFonts w:hint="eastAsia" w:ascii="Times New Roman" w:hAnsi="Times New Roman" w:eastAsia="宋体" w:cs="宋体"/>
                <w:color w:val="auto"/>
                <w:highlight w:val="none"/>
                <w:shd w:val="clear" w:color="auto" w:fill="auto"/>
                <w:lang w:eastAsia="zh-CN"/>
              </w:rPr>
            </w:pPr>
            <w:r>
              <w:rPr>
                <w:rFonts w:hint="eastAsia" w:ascii="Calibri" w:hAnsi="Calibri" w:cs="宋体"/>
                <w:color w:val="auto"/>
                <w:highlight w:val="none"/>
                <w:lang w:eastAsia="zh-CN"/>
              </w:rPr>
              <w:t>投标报价是否低于成本</w:t>
            </w:r>
          </w:p>
        </w:tc>
        <w:tc>
          <w:tcPr>
            <w:tcW w:w="919" w:type="dxa"/>
            <w:noWrap w:val="0"/>
            <w:vAlign w:val="center"/>
          </w:tcPr>
          <w:p w14:paraId="4CC68C6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50D6D02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1B496A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5A2ADA1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3CDCE6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0118FD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250F49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E8C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1D703607">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Times New Roman" w:hAnsi="Times New Roman" w:eastAsia="宋体" w:cs="宋体"/>
                <w:color w:val="auto"/>
                <w:highlight w:val="none"/>
                <w:shd w:val="clear" w:color="auto" w:fill="auto"/>
                <w:lang w:eastAsia="zh-CN"/>
              </w:rPr>
              <w:t>是否</w:t>
            </w:r>
            <w:r>
              <w:rPr>
                <w:rFonts w:hint="eastAsia" w:ascii="Times New Roman" w:hAnsi="Times New Roman" w:eastAsia="宋体" w:cs="宋体"/>
                <w:color w:val="auto"/>
                <w:highlight w:val="none"/>
                <w:shd w:val="clear" w:color="auto" w:fill="auto"/>
              </w:rPr>
              <w:t>参与评标基准价计算</w:t>
            </w:r>
            <w:r>
              <w:rPr>
                <w:rFonts w:hint="eastAsia" w:ascii="Times New Roman" w:hAnsi="Times New Roman" w:eastAsia="宋体" w:cs="宋体"/>
                <w:color w:val="auto"/>
                <w:highlight w:val="none"/>
                <w:shd w:val="clear" w:color="auto" w:fill="auto"/>
                <w:lang w:eastAsia="zh-CN"/>
              </w:rPr>
              <w:t>（</w:t>
            </w:r>
            <w:r>
              <w:rPr>
                <w:rFonts w:hint="eastAsia" w:ascii="Times New Roman" w:hAnsi="Times New Roman" w:eastAsia="宋体" w:cs="宋体"/>
                <w:color w:val="auto"/>
                <w:highlight w:val="none"/>
                <w:shd w:val="clear" w:color="auto" w:fill="auto"/>
              </w:rPr>
              <w:t>取大于</w:t>
            </w:r>
            <w:r>
              <w:rPr>
                <w:rFonts w:hint="eastAsia" w:ascii="Times New Roman" w:hAnsi="Times New Roman" w:eastAsia="宋体" w:cs="宋体"/>
                <w:color w:val="auto"/>
                <w:highlight w:val="none"/>
                <w:shd w:val="clear" w:color="auto" w:fill="auto"/>
                <w:lang w:eastAsia="zh-CN"/>
              </w:rPr>
              <w:t>最高投标限价</w:t>
            </w:r>
            <w:r>
              <w:rPr>
                <w:rFonts w:hint="eastAsia" w:ascii="Times New Roman" w:hAnsi="Times New Roman" w:eastAsia="宋体" w:cs="宋体"/>
                <w:color w:val="auto"/>
                <w:highlight w:val="none"/>
                <w:shd w:val="clear" w:color="auto" w:fill="auto"/>
              </w:rPr>
              <w:t>的□85%□</w:t>
            </w:r>
            <w:r>
              <w:rPr>
                <w:rFonts w:hint="eastAsia" w:ascii="Times New Roman" w:hAnsi="Times New Roman" w:eastAsia="宋体" w:cs="宋体"/>
                <w:color w:val="auto"/>
                <w:highlight w:val="none"/>
                <w:shd w:val="clear" w:color="auto" w:fill="auto"/>
                <w:lang w:val="en-US" w:eastAsia="zh-CN"/>
              </w:rPr>
              <w:t>80</w:t>
            </w:r>
            <w:r>
              <w:rPr>
                <w:rFonts w:hint="eastAsia" w:ascii="Times New Roman" w:hAnsi="Times New Roman" w:eastAsia="宋体" w:cs="宋体"/>
                <w:color w:val="auto"/>
                <w:highlight w:val="none"/>
                <w:shd w:val="clear" w:color="auto" w:fill="auto"/>
              </w:rPr>
              <w:t>%的有效报价</w:t>
            </w:r>
            <w:r>
              <w:rPr>
                <w:rFonts w:hint="eastAsia" w:ascii="Times New Roman" w:hAnsi="Times New Roman" w:eastAsia="宋体" w:cs="宋体"/>
                <w:color w:val="auto"/>
                <w:highlight w:val="none"/>
                <w:shd w:val="clear" w:color="auto" w:fill="auto"/>
                <w:lang w:eastAsia="zh-CN"/>
              </w:rPr>
              <w:t>）</w:t>
            </w:r>
          </w:p>
        </w:tc>
        <w:tc>
          <w:tcPr>
            <w:tcW w:w="919" w:type="dxa"/>
            <w:noWrap w:val="0"/>
            <w:vAlign w:val="center"/>
          </w:tcPr>
          <w:p w14:paraId="3051739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3EAC71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16E7CFF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2DA56D1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2C7B4AA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7FADC3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32E3F1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01C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0428CDB5">
            <w:pPr>
              <w:keepNext w:val="0"/>
              <w:keepLines w:val="0"/>
              <w:suppressLineNumbers w:val="0"/>
              <w:spacing w:before="0" w:beforeAutospacing="0" w:after="0" w:afterAutospacing="0"/>
              <w:ind w:left="0" w:right="0"/>
              <w:jc w:val="left"/>
              <w:rPr>
                <w:rFonts w:hint="eastAsia" w:ascii="Calibri" w:hAnsi="Calibri" w:eastAsia="宋体" w:cs="宋体"/>
                <w:color w:val="auto"/>
                <w:highlight w:val="none"/>
              </w:rPr>
            </w:pPr>
            <w:r>
              <w:rPr>
                <w:rFonts w:hint="default" w:ascii="Times New Roman" w:hAnsi="Times New Roman" w:eastAsia="宋体" w:cs="宋体"/>
                <w:color w:val="auto"/>
                <w:highlight w:val="none"/>
                <w:shd w:val="clear" w:color="auto" w:fill="auto"/>
              </w:rPr>
              <w:t>评标基准价P</w:t>
            </w:r>
          </w:p>
        </w:tc>
        <w:tc>
          <w:tcPr>
            <w:tcW w:w="919" w:type="dxa"/>
            <w:noWrap w:val="0"/>
            <w:vAlign w:val="center"/>
          </w:tcPr>
          <w:p w14:paraId="032410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03556B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6BD0271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3CC281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42AB1B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03652D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32EB93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872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01915AC5">
            <w:pPr>
              <w:keepNext w:val="0"/>
              <w:keepLines w:val="0"/>
              <w:suppressLineNumbers w:val="0"/>
              <w:spacing w:before="0" w:beforeAutospacing="0" w:after="0" w:afterAutospacing="0"/>
              <w:ind w:left="0" w:right="0"/>
              <w:jc w:val="left"/>
              <w:rPr>
                <w:rFonts w:hint="eastAsia" w:ascii="Calibri" w:hAnsi="Calibri" w:eastAsia="宋体" w:cs="宋体"/>
                <w:color w:val="auto"/>
                <w:highlight w:val="none"/>
              </w:rPr>
            </w:pPr>
            <w:r>
              <w:rPr>
                <w:rFonts w:hint="eastAsia" w:ascii="Calibri" w:hAnsi="Calibri" w:cs="宋体"/>
                <w:color w:val="auto"/>
                <w:highlight w:val="none"/>
                <w:shd w:val="clear" w:color="auto" w:fill="auto"/>
                <w:lang w:val="en-US" w:eastAsia="zh-CN"/>
              </w:rPr>
              <w:t>1.</w:t>
            </w:r>
            <w:r>
              <w:rPr>
                <w:rFonts w:hint="default" w:ascii="Calibri" w:hAnsi="Calibri" w:eastAsia="宋体" w:cs="宋体"/>
                <w:color w:val="auto"/>
                <w:highlight w:val="none"/>
                <w:shd w:val="clear" w:color="auto" w:fill="auto"/>
              </w:rPr>
              <w:t>总报价得分</w:t>
            </w:r>
            <w:r>
              <w:rPr>
                <w:rFonts w:hint="eastAsia" w:ascii="Times New Roman" w:hAnsi="Times New Roman" w:eastAsia="宋体" w:cs="宋体"/>
                <w:b w:val="0"/>
                <w:color w:val="auto"/>
                <w:sz w:val="21"/>
                <w:highlight w:val="none"/>
                <w:shd w:val="clear" w:color="auto" w:fill="auto"/>
              </w:rPr>
              <w:t>（满分</w:t>
            </w:r>
            <w:r>
              <w:rPr>
                <w:rFonts w:hint="eastAsia" w:ascii="Calibri" w:hAnsi="Calibri" w:eastAsia="宋体" w:cs="宋体"/>
                <w:color w:val="auto"/>
                <w:highlight w:val="none"/>
                <w:shd w:val="clear" w:color="auto" w:fill="auto"/>
              </w:rPr>
              <w:t>85</w:t>
            </w:r>
            <w:r>
              <w:rPr>
                <w:rFonts w:hint="eastAsia" w:ascii="Times New Roman" w:hAnsi="Times New Roman" w:eastAsia="宋体" w:cs="宋体"/>
                <w:b w:val="0"/>
                <w:color w:val="auto"/>
                <w:sz w:val="21"/>
                <w:highlight w:val="none"/>
                <w:shd w:val="clear" w:color="auto" w:fill="auto"/>
              </w:rPr>
              <w:t>分）</w:t>
            </w:r>
            <w:r>
              <w:rPr>
                <w:rFonts w:hint="eastAsia" w:ascii="Times New Roman" w:hAnsi="Times New Roman" w:eastAsia="宋体" w:cs="宋体"/>
                <w:b w:val="0"/>
                <w:color w:val="auto"/>
                <w:sz w:val="21"/>
                <w:highlight w:val="none"/>
                <w:shd w:val="clear" w:color="auto" w:fill="auto"/>
                <w:lang w:eastAsia="zh-CN"/>
              </w:rPr>
              <w:t>（</w:t>
            </w:r>
            <w:r>
              <w:rPr>
                <w:rFonts w:hint="eastAsia" w:ascii="Times New Roman" w:hAnsi="Times New Roman" w:eastAsia="宋体" w:cs="宋体"/>
                <w:b w:val="0"/>
                <w:color w:val="auto"/>
                <w:sz w:val="21"/>
                <w:highlight w:val="none"/>
                <w:shd w:val="clear" w:color="auto" w:fill="auto"/>
                <w:lang w:val="en-US" w:eastAsia="zh-CN"/>
              </w:rPr>
              <w:t>1=85分-1.1-1.2）</w:t>
            </w:r>
          </w:p>
        </w:tc>
        <w:tc>
          <w:tcPr>
            <w:tcW w:w="919" w:type="dxa"/>
            <w:noWrap w:val="0"/>
            <w:vAlign w:val="center"/>
          </w:tcPr>
          <w:p w14:paraId="18D18A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1DAFCCA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41AC42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34AD5FB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54ED8F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4C9E7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5F3C54D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0BC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2CD4EB1E">
            <w:pPr>
              <w:keepNext w:val="0"/>
              <w:keepLines w:val="0"/>
              <w:suppressLineNumbers w:val="0"/>
              <w:spacing w:before="0" w:beforeAutospacing="0" w:after="0" w:afterAutospacing="0"/>
              <w:ind w:left="0" w:right="0"/>
              <w:jc w:val="left"/>
              <w:rPr>
                <w:rFonts w:hint="eastAsia" w:ascii="Calibri" w:hAnsi="Calibri" w:eastAsia="宋体" w:cs="宋体"/>
                <w:color w:val="auto"/>
                <w:highlight w:val="none"/>
                <w:shd w:val="clear" w:color="auto" w:fill="auto"/>
                <w:lang w:eastAsia="zh-CN"/>
              </w:rPr>
            </w:pPr>
            <w:r>
              <w:rPr>
                <w:rFonts w:hint="eastAsia" w:ascii="Calibri" w:hAnsi="Calibri" w:eastAsia="宋体" w:cs="宋体"/>
                <w:color w:val="auto"/>
                <w:highlight w:val="none"/>
                <w:shd w:val="clear" w:color="auto" w:fill="auto"/>
                <w:lang w:val="en-US" w:eastAsia="zh-CN"/>
              </w:rPr>
              <w:t>1.1</w:t>
            </w:r>
            <w:r>
              <w:rPr>
                <w:rFonts w:hint="eastAsia" w:ascii="Calibri" w:hAnsi="Calibri" w:eastAsia="宋体" w:cs="宋体"/>
                <w:color w:val="auto"/>
                <w:highlight w:val="none"/>
                <w:shd w:val="clear" w:color="auto" w:fill="auto"/>
                <w:lang w:eastAsia="zh-CN"/>
              </w:rPr>
              <w:t>总报价</w:t>
            </w:r>
            <w:r>
              <w:rPr>
                <w:rFonts w:hint="eastAsia" w:ascii="Times New Roman" w:hAnsi="Times New Roman" w:eastAsia="宋体" w:cs="宋体"/>
                <w:color w:val="auto"/>
                <w:highlight w:val="none"/>
                <w:shd w:val="clear" w:color="auto" w:fill="auto"/>
                <w:lang w:eastAsia="zh-CN"/>
              </w:rPr>
              <w:t>扣分</w:t>
            </w:r>
          </w:p>
        </w:tc>
        <w:tc>
          <w:tcPr>
            <w:tcW w:w="919" w:type="dxa"/>
            <w:noWrap w:val="0"/>
            <w:vAlign w:val="center"/>
          </w:tcPr>
          <w:p w14:paraId="7EC9CC1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364873B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3CE2AE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76DE8B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0E19DF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4A13546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0DC6D5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688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4595081A">
            <w:pPr>
              <w:keepNext w:val="0"/>
              <w:keepLines w:val="0"/>
              <w:suppressLineNumbers w:val="0"/>
              <w:spacing w:before="0" w:beforeAutospacing="0" w:after="0" w:afterAutospacing="0"/>
              <w:ind w:left="0" w:right="0"/>
              <w:jc w:val="left"/>
              <w:rPr>
                <w:rFonts w:hint="eastAsia" w:ascii="Calibri" w:hAnsi="Calibri" w:eastAsia="宋体" w:cs="宋体"/>
                <w:color w:val="auto"/>
                <w:highlight w:val="none"/>
                <w:shd w:val="clear" w:color="auto" w:fill="auto"/>
                <w:lang w:eastAsia="zh-CN"/>
              </w:rPr>
            </w:pPr>
            <w:r>
              <w:rPr>
                <w:rFonts w:hint="eastAsia" w:ascii="Calibri" w:hAnsi="Calibri" w:eastAsia="宋体" w:cs="宋体"/>
                <w:color w:val="auto"/>
                <w:highlight w:val="none"/>
                <w:shd w:val="clear" w:color="auto" w:fill="auto"/>
                <w:lang w:val="en-US" w:eastAsia="zh-CN"/>
              </w:rPr>
              <w:t>1.2</w:t>
            </w:r>
            <w:r>
              <w:rPr>
                <w:rFonts w:hint="eastAsia" w:ascii="Calibri" w:hAnsi="Calibri" w:eastAsia="宋体" w:cs="宋体"/>
                <w:color w:val="auto"/>
                <w:highlight w:val="none"/>
                <w:shd w:val="clear" w:color="auto" w:fill="auto"/>
              </w:rPr>
              <w:t>算术错误</w:t>
            </w:r>
            <w:r>
              <w:rPr>
                <w:rFonts w:hint="eastAsia" w:ascii="Calibri" w:hAnsi="Calibri" w:eastAsia="宋体" w:cs="宋体"/>
                <w:color w:val="auto"/>
                <w:highlight w:val="none"/>
                <w:shd w:val="clear" w:color="auto" w:fill="auto"/>
                <w:lang w:eastAsia="zh-CN"/>
              </w:rPr>
              <w:t>扣分</w:t>
            </w:r>
          </w:p>
        </w:tc>
        <w:tc>
          <w:tcPr>
            <w:tcW w:w="919" w:type="dxa"/>
            <w:noWrap w:val="0"/>
            <w:vAlign w:val="center"/>
          </w:tcPr>
          <w:p w14:paraId="367907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78EEEF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7466D0A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3A41D4F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316D7C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5E81169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479FFC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8E3F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32ECA25E">
            <w:pPr>
              <w:keepNext w:val="0"/>
              <w:keepLines w:val="0"/>
              <w:suppressLineNumbers w:val="0"/>
              <w:spacing w:before="0" w:beforeAutospacing="0" w:after="0" w:afterAutospacing="0"/>
              <w:ind w:left="0" w:right="0"/>
              <w:jc w:val="left"/>
              <w:rPr>
                <w:rFonts w:hint="eastAsia" w:ascii="Calibri" w:hAnsi="Calibri" w:eastAsia="宋体" w:cs="宋体"/>
                <w:color w:val="auto"/>
                <w:highlight w:val="none"/>
                <w:shd w:val="clear" w:color="auto" w:fill="auto"/>
                <w:lang w:val="en-US" w:eastAsia="zh-CN"/>
              </w:rPr>
            </w:pPr>
            <w:r>
              <w:rPr>
                <w:rFonts w:hint="eastAsia" w:ascii="Calibri" w:hAnsi="Calibri" w:cs="宋体"/>
                <w:color w:val="auto"/>
                <w:highlight w:val="none"/>
                <w:shd w:val="clear" w:color="auto" w:fill="auto"/>
                <w:lang w:val="en-US" w:eastAsia="zh-CN"/>
              </w:rPr>
              <w:t>2.</w:t>
            </w:r>
            <w:r>
              <w:rPr>
                <w:rFonts w:hint="eastAsia" w:ascii="Calibri" w:hAnsi="Calibri" w:eastAsia="宋体" w:cs="宋体"/>
                <w:color w:val="auto"/>
                <w:highlight w:val="none"/>
                <w:shd w:val="clear" w:color="auto" w:fill="auto"/>
              </w:rPr>
              <w:t>单</w:t>
            </w:r>
            <w:r>
              <w:rPr>
                <w:rFonts w:hint="default" w:ascii="Calibri" w:hAnsi="Calibri" w:eastAsia="宋体" w:cs="宋体"/>
                <w:color w:val="auto"/>
                <w:highlight w:val="none"/>
                <w:shd w:val="clear" w:color="auto" w:fill="auto"/>
              </w:rPr>
              <w:t>价得分</w:t>
            </w:r>
            <w:r>
              <w:rPr>
                <w:rFonts w:hint="eastAsia" w:ascii="Times New Roman" w:hAnsi="Times New Roman" w:eastAsia="宋体" w:cs="宋体"/>
                <w:b w:val="0"/>
                <w:color w:val="auto"/>
                <w:sz w:val="21"/>
                <w:highlight w:val="none"/>
                <w:shd w:val="clear" w:color="auto" w:fill="auto"/>
              </w:rPr>
              <w:t>（满分</w:t>
            </w:r>
            <w:r>
              <w:rPr>
                <w:rFonts w:hint="eastAsia" w:ascii="Calibri" w:hAnsi="Calibri" w:eastAsia="宋体" w:cs="宋体"/>
                <w:color w:val="auto"/>
                <w:highlight w:val="none"/>
                <w:shd w:val="clear" w:color="auto" w:fill="auto"/>
                <w:lang w:val="en-US" w:eastAsia="zh-CN"/>
              </w:rPr>
              <w:t>1</w:t>
            </w:r>
            <w:r>
              <w:rPr>
                <w:rFonts w:hint="eastAsia" w:ascii="Calibri" w:hAnsi="Calibri" w:eastAsia="宋体" w:cs="宋体"/>
                <w:color w:val="auto"/>
                <w:highlight w:val="none"/>
                <w:shd w:val="clear" w:color="auto" w:fill="auto"/>
              </w:rPr>
              <w:t>5</w:t>
            </w:r>
            <w:r>
              <w:rPr>
                <w:rFonts w:hint="eastAsia" w:ascii="Times New Roman" w:hAnsi="Times New Roman" w:eastAsia="宋体" w:cs="宋体"/>
                <w:b w:val="0"/>
                <w:color w:val="auto"/>
                <w:sz w:val="21"/>
                <w:highlight w:val="none"/>
                <w:shd w:val="clear" w:color="auto" w:fill="auto"/>
              </w:rPr>
              <w:t>分）</w:t>
            </w:r>
            <w:r>
              <w:rPr>
                <w:rFonts w:hint="eastAsia" w:ascii="Times New Roman" w:hAnsi="Times New Roman" w:eastAsia="宋体" w:cs="宋体"/>
                <w:b w:val="0"/>
                <w:color w:val="auto"/>
                <w:sz w:val="21"/>
                <w:highlight w:val="none"/>
                <w:shd w:val="clear" w:color="auto" w:fill="auto"/>
                <w:lang w:eastAsia="zh-CN"/>
              </w:rPr>
              <w:t>（</w:t>
            </w:r>
            <w:r>
              <w:rPr>
                <w:rFonts w:hint="eastAsia" w:ascii="Times New Roman" w:hAnsi="Times New Roman" w:eastAsia="宋体" w:cs="宋体"/>
                <w:b w:val="0"/>
                <w:color w:val="auto"/>
                <w:sz w:val="21"/>
                <w:highlight w:val="none"/>
                <w:shd w:val="clear" w:color="auto" w:fill="auto"/>
                <w:lang w:val="en-US" w:eastAsia="zh-CN"/>
              </w:rPr>
              <w:t>2=15分-2.1-2.2-2.3）</w:t>
            </w:r>
          </w:p>
        </w:tc>
        <w:tc>
          <w:tcPr>
            <w:tcW w:w="919" w:type="dxa"/>
            <w:noWrap w:val="0"/>
            <w:vAlign w:val="center"/>
          </w:tcPr>
          <w:p w14:paraId="7E7DFB6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6A5669F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2ED9D1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5CBEBC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74B3306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1256B0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79CBCF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2C8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64D0A236">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Times New Roman"/>
                <w:color w:val="auto"/>
                <w:highlight w:val="none"/>
                <w:lang w:val="en-US" w:eastAsia="zh-CN"/>
              </w:rPr>
              <w:t>2.1</w:t>
            </w:r>
            <w:r>
              <w:rPr>
                <w:rFonts w:hint="eastAsia" w:ascii="Calibri" w:hAnsi="Calibri" w:eastAsia="宋体" w:cs="宋体"/>
                <w:color w:val="auto"/>
                <w:highlight w:val="none"/>
                <w:shd w:val="clear" w:color="auto" w:fill="auto"/>
              </w:rPr>
              <w:t>工程量清单中主要项目</w:t>
            </w:r>
            <w:r>
              <w:rPr>
                <w:rFonts w:hint="eastAsia" w:ascii="Calibri" w:hAnsi="Calibri" w:eastAsia="宋体" w:cs="宋体"/>
                <w:color w:val="auto"/>
                <w:highlight w:val="none"/>
                <w:shd w:val="clear" w:color="auto" w:fill="auto"/>
                <w:lang w:eastAsia="zh-CN"/>
              </w:rPr>
              <w:t>扣分</w:t>
            </w:r>
          </w:p>
        </w:tc>
        <w:tc>
          <w:tcPr>
            <w:tcW w:w="919" w:type="dxa"/>
            <w:noWrap w:val="0"/>
            <w:vAlign w:val="center"/>
          </w:tcPr>
          <w:p w14:paraId="6AF761B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210A3D6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0A6F25D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448C904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359DE7E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36A90B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791835B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450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208" w:type="dxa"/>
            <w:noWrap w:val="0"/>
            <w:vAlign w:val="center"/>
          </w:tcPr>
          <w:p w14:paraId="3B671074">
            <w:pPr>
              <w:keepNext w:val="0"/>
              <w:keepLines w:val="0"/>
              <w:suppressLineNumbers w:val="0"/>
              <w:spacing w:before="0" w:beforeAutospacing="0" w:after="0" w:afterAutospacing="0"/>
              <w:ind w:left="0" w:right="0"/>
              <w:jc w:val="left"/>
              <w:rPr>
                <w:rFonts w:hint="eastAsia" w:ascii="Calibri" w:hAnsi="Calibri" w:eastAsia="宋体" w:cs="宋体"/>
                <w:color w:val="auto"/>
                <w:highlight w:val="none"/>
                <w:shd w:val="clear" w:color="auto" w:fill="auto"/>
                <w:lang w:eastAsia="zh-CN"/>
              </w:rPr>
            </w:pPr>
            <w:r>
              <w:rPr>
                <w:rFonts w:hint="eastAsia" w:ascii="Calibri" w:hAnsi="Calibri" w:eastAsia="宋体" w:cs="宋体"/>
                <w:color w:val="auto"/>
                <w:highlight w:val="none"/>
                <w:lang w:val="en-US" w:eastAsia="zh-CN"/>
              </w:rPr>
              <w:t>2.</w:t>
            </w:r>
            <w:r>
              <w:rPr>
                <w:rFonts w:hint="eastAsia" w:ascii="Calibri" w:hAnsi="Calibri" w:cs="宋体"/>
                <w:color w:val="auto"/>
                <w:highlight w:val="none"/>
                <w:lang w:val="en-US" w:eastAsia="zh-CN"/>
              </w:rPr>
              <w:t>2</w:t>
            </w:r>
            <w:r>
              <w:rPr>
                <w:rFonts w:hint="eastAsia" w:ascii="Calibri" w:hAnsi="Calibri" w:eastAsia="宋体" w:cs="宋体"/>
                <w:color w:val="auto"/>
                <w:highlight w:val="none"/>
                <w:shd w:val="clear" w:color="auto" w:fill="auto"/>
              </w:rPr>
              <w:t>已标价的《工程量清</w:t>
            </w:r>
            <w:r>
              <w:rPr>
                <w:rFonts w:hint="eastAsia" w:ascii="Calibri" w:hAnsi="Calibri" w:cs="宋体"/>
                <w:color w:val="auto"/>
                <w:highlight w:val="none"/>
                <w:shd w:val="clear" w:color="auto" w:fill="auto"/>
                <w:lang w:val="en-US" w:eastAsia="zh-CN"/>
              </w:rPr>
              <w:t>计</w:t>
            </w:r>
            <w:r>
              <w:rPr>
                <w:rFonts w:hint="eastAsia" w:ascii="Calibri" w:hAnsi="Calibri" w:eastAsia="宋体" w:cs="宋体"/>
                <w:color w:val="auto"/>
                <w:highlight w:val="none"/>
                <w:shd w:val="clear" w:color="auto" w:fill="auto"/>
              </w:rPr>
              <w:t>价表》中引用的单价与单价分析表不符</w:t>
            </w:r>
            <w:r>
              <w:rPr>
                <w:rFonts w:hint="eastAsia" w:ascii="Calibri" w:hAnsi="Calibri" w:eastAsia="宋体" w:cs="宋体"/>
                <w:color w:val="auto"/>
                <w:highlight w:val="none"/>
                <w:shd w:val="clear" w:color="auto" w:fill="auto"/>
                <w:lang w:eastAsia="zh-CN"/>
              </w:rPr>
              <w:t>扣分</w:t>
            </w:r>
          </w:p>
        </w:tc>
        <w:tc>
          <w:tcPr>
            <w:tcW w:w="919" w:type="dxa"/>
            <w:noWrap w:val="0"/>
            <w:vAlign w:val="center"/>
          </w:tcPr>
          <w:p w14:paraId="35A7929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72D97DE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3454CAA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22EA4BF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4E9996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55ADE44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28B695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76B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208" w:type="dxa"/>
            <w:noWrap w:val="0"/>
            <w:vAlign w:val="center"/>
          </w:tcPr>
          <w:p w14:paraId="31B3D822">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lang w:val="en-US" w:eastAsia="zh-CN"/>
              </w:rPr>
            </w:pPr>
            <w:r>
              <w:rPr>
                <w:rFonts w:hint="eastAsia" w:ascii="Calibri" w:hAnsi="Calibri" w:cs="Times New Roman"/>
                <w:color w:val="auto"/>
                <w:highlight w:val="none"/>
                <w:lang w:eastAsia="zh-CN"/>
              </w:rPr>
              <w:t>3.</w:t>
            </w:r>
            <w:r>
              <w:rPr>
                <w:rFonts w:hint="eastAsia" w:ascii="Calibri" w:hAnsi="Calibri" w:eastAsia="宋体" w:cs="宋体"/>
                <w:b w:val="0"/>
                <w:bCs w:val="0"/>
                <w:color w:val="auto"/>
                <w:highlight w:val="none"/>
                <w:shd w:val="clear" w:color="auto" w:fill="auto"/>
              </w:rPr>
              <w:t>价格得分</w:t>
            </w:r>
            <w:r>
              <w:rPr>
                <w:rFonts w:hint="eastAsia" w:ascii="Calibri" w:hAnsi="Calibri" w:eastAsia="宋体" w:cs="宋体"/>
                <w:color w:val="auto"/>
                <w:highlight w:val="none"/>
              </w:rPr>
              <w:t>（满分100分）</w:t>
            </w:r>
            <w:r>
              <w:rPr>
                <w:rFonts w:hint="eastAsia" w:ascii="Calibri" w:hAnsi="Calibri" w:eastAsia="宋体" w:cs="宋体"/>
                <w:color w:val="auto"/>
                <w:highlight w:val="none"/>
                <w:lang w:val="en-US" w:eastAsia="zh-CN"/>
              </w:rPr>
              <w:t>=1+2</w:t>
            </w:r>
          </w:p>
        </w:tc>
        <w:tc>
          <w:tcPr>
            <w:tcW w:w="919" w:type="dxa"/>
            <w:noWrap w:val="0"/>
            <w:vAlign w:val="center"/>
          </w:tcPr>
          <w:p w14:paraId="2F9C8F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5768B10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0E859D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03435F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063FAC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457116E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147200E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00C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208" w:type="dxa"/>
            <w:noWrap w:val="0"/>
            <w:vAlign w:val="center"/>
          </w:tcPr>
          <w:p w14:paraId="77F4CD3E">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lang w:val="en" w:eastAsia="zh-CN"/>
              </w:rPr>
            </w:pPr>
            <w:r>
              <w:rPr>
                <w:rFonts w:hint="eastAsia" w:ascii="Calibri" w:hAnsi="Calibri" w:cs="Times New Roman"/>
                <w:color w:val="auto"/>
                <w:highlight w:val="none"/>
                <w:lang w:eastAsia="zh-CN"/>
              </w:rPr>
              <w:t>4.</w:t>
            </w:r>
            <w:r>
              <w:rPr>
                <w:rFonts w:hint="eastAsia" w:ascii="Calibri" w:hAnsi="Calibri" w:eastAsia="宋体" w:cs="Times New Roman"/>
                <w:color w:val="auto"/>
                <w:highlight w:val="none"/>
              </w:rPr>
              <w:t>报价分加权得分</w:t>
            </w:r>
            <w:r>
              <w:rPr>
                <w:rFonts w:hint="eastAsia" w:ascii="Calibri" w:hAnsi="Calibri" w:eastAsia="宋体" w:cs="Times New Roman"/>
                <w:color w:val="auto"/>
                <w:highlight w:val="none"/>
                <w:lang w:val="en-US" w:eastAsia="zh-CN"/>
              </w:rPr>
              <w:t>=3</w:t>
            </w:r>
            <w:r>
              <w:rPr>
                <w:rFonts w:hint="default" w:ascii="Calibri" w:hAnsi="Calibri" w:eastAsia="宋体" w:cs="Times New Roman"/>
                <w:color w:val="auto"/>
                <w:highlight w:val="none"/>
                <w:lang w:val="en" w:eastAsia="zh-CN"/>
              </w:rPr>
              <w:t>x</w:t>
            </w:r>
            <w:r>
              <w:rPr>
                <w:rFonts w:hint="eastAsia" w:ascii="Calibri" w:hAnsi="Calibri" w:eastAsia="宋体" w:cs="Times New Roman"/>
                <w:color w:val="auto"/>
                <w:highlight w:val="none"/>
                <w:lang w:val="en" w:eastAsia="zh-CN"/>
              </w:rPr>
              <w:t>权重</w:t>
            </w:r>
          </w:p>
        </w:tc>
        <w:tc>
          <w:tcPr>
            <w:tcW w:w="919" w:type="dxa"/>
            <w:noWrap w:val="0"/>
            <w:vAlign w:val="center"/>
          </w:tcPr>
          <w:p w14:paraId="7D1CFCE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1F2081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3ABE55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62E75A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095EB35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4DF9B8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235B277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8E6D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208" w:type="dxa"/>
            <w:noWrap w:val="0"/>
            <w:vAlign w:val="center"/>
          </w:tcPr>
          <w:p w14:paraId="6F7A844E">
            <w:pPr>
              <w:keepNext w:val="0"/>
              <w:keepLines w:val="0"/>
              <w:suppressLineNumbers w:val="0"/>
              <w:spacing w:before="0" w:beforeAutospacing="0" w:after="0" w:afterAutospacing="0"/>
              <w:ind w:left="0" w:right="0"/>
              <w:jc w:val="left"/>
              <w:rPr>
                <w:rFonts w:hint="eastAsia" w:ascii="Calibri" w:hAnsi="Calibri" w:eastAsia="宋体" w:cs="Times New Roman"/>
                <w:color w:val="auto"/>
                <w:highlight w:val="none"/>
              </w:rPr>
            </w:pPr>
            <w:r>
              <w:rPr>
                <w:rFonts w:hint="eastAsia" w:ascii="Calibri" w:hAnsi="Calibri" w:cs="Times New Roman"/>
                <w:color w:val="auto"/>
                <w:highlight w:val="none"/>
                <w:lang w:eastAsia="zh-CN"/>
              </w:rPr>
              <w:t>5.</w:t>
            </w:r>
            <w:r>
              <w:rPr>
                <w:rFonts w:hint="eastAsia" w:ascii="Calibri" w:hAnsi="Calibri" w:eastAsia="宋体" w:cs="Times New Roman"/>
                <w:color w:val="auto"/>
                <w:highlight w:val="none"/>
              </w:rPr>
              <w:t>小微企业或残疾人或监狱企业加分（如有）</w:t>
            </w:r>
          </w:p>
        </w:tc>
        <w:tc>
          <w:tcPr>
            <w:tcW w:w="919" w:type="dxa"/>
            <w:noWrap w:val="0"/>
            <w:vAlign w:val="center"/>
          </w:tcPr>
          <w:p w14:paraId="2649A8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240D5A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3EC915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300816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4D26E0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6ED2BBF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009FEB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679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208" w:type="dxa"/>
            <w:noWrap w:val="0"/>
            <w:vAlign w:val="center"/>
          </w:tcPr>
          <w:p w14:paraId="238BC0C0">
            <w:pPr>
              <w:keepNext w:val="0"/>
              <w:keepLines w:val="0"/>
              <w:suppressLineNumbers w:val="0"/>
              <w:spacing w:before="0" w:beforeAutospacing="0" w:after="0" w:afterAutospacing="0"/>
              <w:ind w:left="0" w:right="0"/>
              <w:jc w:val="left"/>
              <w:rPr>
                <w:rFonts w:hint="eastAsia" w:ascii="Calibri" w:hAnsi="Calibri" w:eastAsia="宋体" w:cs="Times New Roman"/>
                <w:color w:val="auto"/>
                <w:highlight w:val="none"/>
              </w:rPr>
            </w:pPr>
            <w:r>
              <w:rPr>
                <w:rFonts w:hint="eastAsia" w:ascii="Calibri" w:hAnsi="Calibri" w:cs="Times New Roman"/>
                <w:color w:val="auto"/>
                <w:highlight w:val="none"/>
                <w:lang w:eastAsia="zh-CN"/>
              </w:rPr>
              <w:t>6.</w:t>
            </w:r>
            <w:r>
              <w:rPr>
                <w:rFonts w:hint="eastAsia" w:ascii="Calibri" w:hAnsi="Calibri" w:eastAsia="宋体" w:cs="Times New Roman"/>
                <w:color w:val="auto"/>
                <w:highlight w:val="none"/>
              </w:rPr>
              <w:t>报价最后得分=4+5</w:t>
            </w:r>
          </w:p>
        </w:tc>
        <w:tc>
          <w:tcPr>
            <w:tcW w:w="919" w:type="dxa"/>
            <w:noWrap w:val="0"/>
            <w:vAlign w:val="center"/>
          </w:tcPr>
          <w:p w14:paraId="346A3B8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16" w:type="dxa"/>
            <w:noWrap w:val="0"/>
            <w:vAlign w:val="center"/>
          </w:tcPr>
          <w:p w14:paraId="597895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2" w:type="dxa"/>
            <w:noWrap w:val="0"/>
            <w:vAlign w:val="center"/>
          </w:tcPr>
          <w:p w14:paraId="5801C4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8" w:type="dxa"/>
            <w:noWrap w:val="0"/>
            <w:vAlign w:val="center"/>
          </w:tcPr>
          <w:p w14:paraId="064D21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noWrap w:val="0"/>
            <w:vAlign w:val="center"/>
          </w:tcPr>
          <w:p w14:paraId="3A753A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84" w:type="dxa"/>
            <w:noWrap w:val="0"/>
            <w:vAlign w:val="center"/>
          </w:tcPr>
          <w:p w14:paraId="57443B1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24" w:type="dxa"/>
            <w:noWrap w:val="0"/>
            <w:vAlign w:val="center"/>
          </w:tcPr>
          <w:p w14:paraId="35447B7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56B6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208" w:type="dxa"/>
            <w:noWrap w:val="0"/>
            <w:vAlign w:val="center"/>
          </w:tcPr>
          <w:p w14:paraId="36EE8D21">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宋体"/>
                <w:color w:val="auto"/>
                <w:highlight w:val="none"/>
                <w:lang w:eastAsia="zh-CN"/>
              </w:rPr>
              <w:t>最高投标限价</w:t>
            </w:r>
            <w:r>
              <w:rPr>
                <w:rFonts w:hint="eastAsia" w:ascii="Calibri" w:hAnsi="Calibri" w:eastAsia="宋体" w:cs="宋体"/>
                <w:color w:val="auto"/>
                <w:highlight w:val="none"/>
              </w:rPr>
              <w:t>（如有）</w:t>
            </w:r>
          </w:p>
        </w:tc>
        <w:tc>
          <w:tcPr>
            <w:tcW w:w="4585" w:type="dxa"/>
            <w:gridSpan w:val="4"/>
            <w:noWrap w:val="0"/>
            <w:vAlign w:val="center"/>
          </w:tcPr>
          <w:p w14:paraId="34BB30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4398" w:type="dxa"/>
            <w:gridSpan w:val="3"/>
            <w:noWrap w:val="0"/>
            <w:vAlign w:val="center"/>
          </w:tcPr>
          <w:p w14:paraId="723DFB63">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p>
        </w:tc>
      </w:tr>
      <w:tr w14:paraId="6B9A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191" w:type="dxa"/>
            <w:gridSpan w:val="8"/>
            <w:noWrap w:val="0"/>
            <w:vAlign w:val="center"/>
          </w:tcPr>
          <w:p w14:paraId="36C0417E">
            <w:pPr>
              <w:keepNext w:val="0"/>
              <w:keepLines w:val="0"/>
              <w:suppressLineNumbers w:val="0"/>
              <w:spacing w:before="0" w:beforeAutospacing="0" w:after="0" w:afterAutospacing="0" w:line="360" w:lineRule="auto"/>
              <w:ind w:left="0" w:right="0"/>
              <w:rPr>
                <w:rFonts w:hint="eastAsia" w:ascii="Calibri" w:hAnsi="Calibri" w:eastAsia="宋体" w:cs="宋体"/>
                <w:color w:val="auto"/>
                <w:highlight w:val="none"/>
              </w:rPr>
            </w:pPr>
            <w:r>
              <w:rPr>
                <w:rFonts w:hint="eastAsia" w:ascii="Calibri" w:hAnsi="Calibri" w:eastAsia="宋体" w:cs="宋体"/>
                <w:b w:val="0"/>
                <w:bCs w:val="0"/>
                <w:color w:val="auto"/>
                <w:highlight w:val="none"/>
                <w:shd w:val="clear" w:color="auto" w:fill="auto"/>
              </w:rPr>
              <w:t>价格得分</w:t>
            </w:r>
            <w:r>
              <w:rPr>
                <w:rFonts w:hint="eastAsia" w:ascii="Times New Roman" w:hAnsi="Times New Roman" w:eastAsia="宋体" w:cs="宋体"/>
                <w:color w:val="auto"/>
                <w:sz w:val="21"/>
                <w:szCs w:val="21"/>
                <w:highlight w:val="none"/>
                <w:shd w:val="clear" w:color="auto" w:fill="auto"/>
              </w:rPr>
              <w:t>（满分</w:t>
            </w:r>
            <w:r>
              <w:rPr>
                <w:rFonts w:hint="eastAsia" w:ascii="Calibri" w:hAnsi="Calibri" w:eastAsia="宋体" w:cs="宋体"/>
                <w:color w:val="auto"/>
                <w:sz w:val="21"/>
                <w:szCs w:val="21"/>
                <w:highlight w:val="none"/>
                <w:shd w:val="clear" w:color="auto" w:fill="auto"/>
              </w:rPr>
              <w:t>100</w:t>
            </w:r>
            <w:r>
              <w:rPr>
                <w:rFonts w:hint="eastAsia" w:ascii="Times New Roman" w:hAnsi="Times New Roman" w:eastAsia="宋体" w:cs="宋体"/>
                <w:color w:val="auto"/>
                <w:sz w:val="21"/>
                <w:szCs w:val="21"/>
                <w:highlight w:val="none"/>
                <w:shd w:val="clear" w:color="auto" w:fill="auto"/>
              </w:rPr>
              <w:t>分）</w:t>
            </w:r>
            <w:r>
              <w:rPr>
                <w:rFonts w:hint="eastAsia" w:ascii="Calibri" w:hAnsi="Calibri" w:eastAsia="宋体" w:cs="宋体"/>
                <w:b w:val="0"/>
                <w:bCs w:val="0"/>
                <w:color w:val="auto"/>
                <w:highlight w:val="none"/>
                <w:shd w:val="clear" w:color="auto" w:fill="auto"/>
              </w:rPr>
              <w:t>=</w:t>
            </w:r>
            <w:r>
              <w:rPr>
                <w:rFonts w:hint="eastAsia" w:ascii="Calibri" w:hAnsi="Calibri" w:eastAsia="宋体" w:cs="宋体"/>
                <w:color w:val="auto"/>
                <w:highlight w:val="none"/>
                <w:shd w:val="clear" w:color="auto" w:fill="auto"/>
              </w:rPr>
              <w:t>总报价得分+单价部分得分</w:t>
            </w:r>
          </w:p>
          <w:p w14:paraId="33E508C1">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 xml:space="preserve">报价分加权得分 = </w:t>
            </w:r>
            <w:r>
              <w:rPr>
                <w:rFonts w:hint="eastAsia" w:ascii="Calibri" w:hAnsi="Calibri" w:eastAsia="宋体" w:cs="宋体"/>
                <w:b w:val="0"/>
                <w:bCs w:val="0"/>
                <w:color w:val="auto"/>
                <w:highlight w:val="none"/>
                <w:shd w:val="clear" w:color="auto" w:fill="auto"/>
              </w:rPr>
              <w:t>价格</w:t>
            </w:r>
            <w:r>
              <w:rPr>
                <w:rFonts w:hint="eastAsia" w:ascii="Calibri" w:hAnsi="Calibri" w:eastAsia="宋体" w:cs="宋体"/>
                <w:color w:val="auto"/>
                <w:highlight w:val="none"/>
              </w:rPr>
              <w:t>得分×</w:t>
            </w:r>
            <w:r>
              <w:rPr>
                <w:rFonts w:hint="eastAsia" w:ascii="宋体" w:hAnsi="宋体" w:eastAsia="宋体" w:cs="宋体"/>
                <w:color w:val="auto"/>
                <w:highlight w:val="none"/>
              </w:rPr>
              <w:t>报价分分值权重        报价</w:t>
            </w:r>
            <w:r>
              <w:rPr>
                <w:rFonts w:hint="eastAsia" w:ascii="Calibri" w:hAnsi="Calibri" w:eastAsia="宋体" w:cs="Times New Roman"/>
                <w:color w:val="auto"/>
                <w:highlight w:val="none"/>
              </w:rPr>
              <w:t>最后</w:t>
            </w:r>
            <w:r>
              <w:rPr>
                <w:rFonts w:hint="eastAsia" w:ascii="宋体" w:hAnsi="宋体" w:eastAsia="宋体" w:cs="宋体"/>
                <w:color w:val="auto"/>
                <w:highlight w:val="none"/>
              </w:rPr>
              <w:t>得分=</w:t>
            </w:r>
            <w:r>
              <w:rPr>
                <w:rFonts w:hint="eastAsia" w:ascii="Calibri" w:hAnsi="Calibri" w:eastAsia="宋体" w:cs="宋体"/>
                <w:color w:val="auto"/>
                <w:highlight w:val="none"/>
              </w:rPr>
              <w:t>报价分加权得分+小微企业或残疾人或监狱企业加分（如有）</w:t>
            </w:r>
          </w:p>
        </w:tc>
      </w:tr>
    </w:tbl>
    <w:p w14:paraId="3A60DF27">
      <w:pPr>
        <w:rPr>
          <w:color w:val="auto"/>
          <w:highlight w:val="none"/>
        </w:rPr>
      </w:pPr>
      <w:r>
        <w:rPr>
          <w:rFonts w:hint="eastAsia" w:eastAsia="楷体_GB2312" w:cs="楷体_GB2312"/>
          <w:color w:val="auto"/>
          <w:highlight w:val="none"/>
        </w:rPr>
        <w:t>【备注：本表可根据评分办法的需要进行调整。投标报价单位：人民币元</w:t>
      </w:r>
      <w:r>
        <w:rPr>
          <w:rFonts w:hint="eastAsia" w:eastAsia="楷体_GB2312" w:cs="楷体_GB2312"/>
          <w:color w:val="auto"/>
          <w:highlight w:val="none"/>
          <w:lang w:eastAsia="zh-CN"/>
        </w:rPr>
        <w:t>】</w:t>
      </w:r>
    </w:p>
    <w:p w14:paraId="42170BDB">
      <w:pPr>
        <w:spacing w:line="360" w:lineRule="auto"/>
        <w:rPr>
          <w:color w:val="auto"/>
          <w:highlight w:val="none"/>
        </w:rPr>
      </w:pPr>
      <w:r>
        <w:rPr>
          <w:rFonts w:hint="eastAsia" w:cs="宋体"/>
          <w:color w:val="auto"/>
          <w:highlight w:val="none"/>
        </w:rPr>
        <w:t>评标委员会全体</w:t>
      </w:r>
      <w:r>
        <w:rPr>
          <w:rFonts w:cs="宋体"/>
          <w:color w:val="auto"/>
          <w:highlight w:val="none"/>
        </w:rPr>
        <w:t>商务标</w:t>
      </w:r>
      <w:r>
        <w:rPr>
          <w:rFonts w:hint="eastAsia" w:cs="宋体"/>
          <w:color w:val="auto"/>
          <w:highlight w:val="none"/>
        </w:rPr>
        <w:t>评委签名：</w:t>
      </w:r>
      <w:r>
        <w:rPr>
          <w:color w:val="auto"/>
          <w:highlight w:val="none"/>
        </w:rPr>
        <w:t xml:space="preserve">                                                                      </w:t>
      </w:r>
    </w:p>
    <w:p w14:paraId="17D96778">
      <w:pPr>
        <w:spacing w:line="360" w:lineRule="auto"/>
        <w:rPr>
          <w:color w:val="auto"/>
          <w:highlight w:val="none"/>
        </w:rPr>
      </w:pPr>
    </w:p>
    <w:p w14:paraId="7E205BDF">
      <w:pPr>
        <w:pStyle w:val="5"/>
        <w:spacing w:line="240" w:lineRule="auto"/>
        <w:rPr>
          <w:rFonts w:hint="eastAsia" w:cs="宋体"/>
          <w:b w:val="0"/>
          <w:bCs w:val="0"/>
          <w:color w:val="auto"/>
          <w:highlight w:val="none"/>
        </w:rPr>
      </w:pPr>
      <w:r>
        <w:rPr>
          <w:color w:val="auto"/>
          <w:highlight w:val="none"/>
        </w:rPr>
        <w:br w:type="page"/>
      </w:r>
      <w:bookmarkStart w:id="628" w:name="_Toc78449770"/>
      <w:bookmarkStart w:id="629" w:name="_Toc1833"/>
      <w:bookmarkStart w:id="630" w:name="_Toc1076"/>
      <w:bookmarkStart w:id="631" w:name="_Toc1029795877"/>
      <w:bookmarkStart w:id="632" w:name="_Toc1012718793"/>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5</w:t>
      </w:r>
      <w:r>
        <w:rPr>
          <w:rFonts w:hint="eastAsia"/>
          <w:color w:val="auto"/>
          <w:sz w:val="28"/>
          <w:szCs w:val="28"/>
          <w:highlight w:val="none"/>
        </w:rPr>
        <w:t>：企业信誉实力评分记录表</w:t>
      </w:r>
      <w:bookmarkEnd w:id="628"/>
      <w:bookmarkEnd w:id="629"/>
      <w:bookmarkEnd w:id="630"/>
      <w:bookmarkEnd w:id="631"/>
      <w:bookmarkEnd w:id="632"/>
    </w:p>
    <w:p w14:paraId="530A11FF">
      <w:pPr>
        <w:spacing w:line="440" w:lineRule="exact"/>
        <w:rPr>
          <w:rFonts w:hint="eastAsia" w:cs="宋体"/>
          <w:b/>
          <w:bCs/>
          <w:color w:val="auto"/>
          <w:highlight w:val="none"/>
        </w:rPr>
      </w:pPr>
    </w:p>
    <w:p w14:paraId="1B47448E">
      <w:pPr>
        <w:jc w:val="center"/>
        <w:rPr>
          <w:rFonts w:eastAsia="黑体"/>
          <w:color w:val="auto"/>
          <w:sz w:val="28"/>
          <w:szCs w:val="28"/>
          <w:highlight w:val="none"/>
        </w:rPr>
      </w:pPr>
      <w:r>
        <w:rPr>
          <w:rFonts w:hint="eastAsia" w:eastAsia="黑体" w:cs="黑体"/>
          <w:color w:val="auto"/>
          <w:sz w:val="28"/>
          <w:szCs w:val="28"/>
          <w:highlight w:val="none"/>
        </w:rPr>
        <w:t>企业信誉实力评分记录表（自治区本级房屋</w:t>
      </w:r>
      <w:r>
        <w:rPr>
          <w:rFonts w:eastAsia="黑体" w:cs="黑体"/>
          <w:color w:val="auto"/>
          <w:sz w:val="28"/>
          <w:szCs w:val="28"/>
          <w:highlight w:val="none"/>
        </w:rPr>
        <w:t>建筑及市政基础设施</w:t>
      </w:r>
      <w:r>
        <w:rPr>
          <w:rFonts w:hint="eastAsia" w:eastAsia="黑体" w:cs="黑体"/>
          <w:color w:val="auto"/>
          <w:sz w:val="28"/>
          <w:szCs w:val="28"/>
          <w:highlight w:val="none"/>
        </w:rPr>
        <w:t>工程</w:t>
      </w:r>
      <w:r>
        <w:rPr>
          <w:rFonts w:eastAsia="黑体" w:cs="黑体"/>
          <w:color w:val="auto"/>
          <w:sz w:val="28"/>
          <w:szCs w:val="28"/>
          <w:highlight w:val="none"/>
        </w:rPr>
        <w:t>招标时</w:t>
      </w:r>
      <w:r>
        <w:rPr>
          <w:rFonts w:hint="eastAsia" w:eastAsia="黑体" w:cs="黑体"/>
          <w:color w:val="auto"/>
          <w:sz w:val="28"/>
          <w:szCs w:val="28"/>
          <w:highlight w:val="none"/>
        </w:rPr>
        <w:t>）</w:t>
      </w:r>
    </w:p>
    <w:p w14:paraId="4502F11B">
      <w:pPr>
        <w:spacing w:after="72" w:afterLines="30" w:line="440" w:lineRule="exact"/>
        <w:rPr>
          <w:rFonts w:hint="eastAsia" w:cs="宋体"/>
          <w:color w:val="auto"/>
          <w:highlight w:val="none"/>
        </w:rPr>
      </w:pPr>
    </w:p>
    <w:p w14:paraId="389EE09D">
      <w:pPr>
        <w:spacing w:after="72" w:afterLines="30" w:line="440" w:lineRule="exact"/>
        <w:rPr>
          <w:rFonts w:hint="eastAsia" w:cs="宋体"/>
          <w:color w:val="auto"/>
          <w:highlight w:val="none"/>
        </w:rPr>
      </w:pPr>
    </w:p>
    <w:p w14:paraId="281F2493">
      <w:pPr>
        <w:spacing w:after="72" w:afterLines="30" w:line="440" w:lineRule="exact"/>
        <w:rPr>
          <w:color w:val="auto"/>
          <w:highlight w:val="none"/>
        </w:rPr>
      </w:pPr>
      <w:r>
        <w:rPr>
          <w:rFonts w:hint="eastAsia" w:ascii="Calibri" w:hAnsi="Calibri"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s="宋体"/>
          <w:color w:val="auto"/>
          <w:highlight w:val="none"/>
        </w:rPr>
        <w:t>（项目名称）</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rFonts w:hint="eastAsia"/>
          <w:color w:val="auto"/>
          <w:highlight w:val="none"/>
        </w:rPr>
        <w:t xml:space="preserve"> </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4239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6874C4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032" w:type="dxa"/>
            <w:vMerge w:val="restart"/>
            <w:noWrap w:val="0"/>
            <w:vAlign w:val="center"/>
          </w:tcPr>
          <w:p w14:paraId="3C4F21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评分项目</w:t>
            </w:r>
          </w:p>
        </w:tc>
        <w:tc>
          <w:tcPr>
            <w:tcW w:w="1290" w:type="dxa"/>
            <w:vMerge w:val="restart"/>
            <w:noWrap w:val="0"/>
            <w:vAlign w:val="center"/>
          </w:tcPr>
          <w:p w14:paraId="0A333B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企业诚信</w:t>
            </w:r>
            <w:r>
              <w:rPr>
                <w:rFonts w:hint="default" w:ascii="Calibri" w:hAnsi="Calibri" w:eastAsia="宋体" w:cs="宋体"/>
                <w:color w:val="auto"/>
                <w:highlight w:val="none"/>
              </w:rPr>
              <w:t>综合</w:t>
            </w:r>
            <w:r>
              <w:rPr>
                <w:rFonts w:hint="eastAsia" w:ascii="Calibri" w:hAnsi="Calibri" w:eastAsia="宋体" w:cs="宋体"/>
                <w:color w:val="auto"/>
                <w:highlight w:val="none"/>
              </w:rPr>
              <w:t>评</w:t>
            </w:r>
            <w:r>
              <w:rPr>
                <w:rFonts w:hint="default" w:ascii="Calibri" w:hAnsi="Calibri" w:eastAsia="宋体" w:cs="宋体"/>
                <w:color w:val="auto"/>
                <w:highlight w:val="none"/>
              </w:rPr>
              <w:t>价</w:t>
            </w:r>
            <w:r>
              <w:rPr>
                <w:rFonts w:hint="eastAsia" w:ascii="Calibri" w:hAnsi="Calibri" w:eastAsia="宋体" w:cs="宋体"/>
                <w:color w:val="auto"/>
                <w:highlight w:val="none"/>
              </w:rPr>
              <w:t>分</w:t>
            </w:r>
          </w:p>
        </w:tc>
        <w:tc>
          <w:tcPr>
            <w:tcW w:w="8898" w:type="dxa"/>
            <w:gridSpan w:val="7"/>
            <w:noWrap w:val="0"/>
            <w:vAlign w:val="center"/>
          </w:tcPr>
          <w:p w14:paraId="1F6EFF0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投标人名称（或代码）</w:t>
            </w:r>
          </w:p>
        </w:tc>
      </w:tr>
      <w:tr w14:paraId="3DAB2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73D3EB5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032" w:type="dxa"/>
            <w:vMerge w:val="continue"/>
            <w:noWrap w:val="0"/>
            <w:vAlign w:val="center"/>
          </w:tcPr>
          <w:p w14:paraId="142409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vMerge w:val="continue"/>
            <w:noWrap w:val="0"/>
            <w:vAlign w:val="center"/>
          </w:tcPr>
          <w:p w14:paraId="085BAD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13A758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1F7EA89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B821F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0E1A6A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6318EB0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34F4D52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4CB478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F5C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473D5446">
            <w:pPr>
              <w:keepNext w:val="0"/>
              <w:keepLines w:val="0"/>
              <w:suppressLineNumbers w:val="0"/>
              <w:spacing w:before="0" w:beforeAutospacing="0" w:after="0" w:afterAutospacing="0"/>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区</w:t>
            </w:r>
            <w:r>
              <w:rPr>
                <w:rFonts w:hint="default" w:ascii="宋体" w:hAnsi="宋体" w:eastAsia="宋体" w:cs="Times New Roman"/>
                <w:color w:val="auto"/>
                <w:highlight w:val="none"/>
              </w:rPr>
              <w:t>级</w:t>
            </w:r>
            <w:r>
              <w:rPr>
                <w:rFonts w:hint="eastAsia" w:ascii="宋体" w:hAnsi="宋体" w:eastAsia="宋体" w:cs="Times New Roman"/>
                <w:color w:val="auto"/>
                <w:highlight w:val="none"/>
              </w:rPr>
              <w:t>企业诚信综合评价得分（百分制）</w:t>
            </w:r>
          </w:p>
        </w:tc>
        <w:tc>
          <w:tcPr>
            <w:tcW w:w="1290" w:type="dxa"/>
            <w:noWrap w:val="0"/>
            <w:vAlign w:val="center"/>
          </w:tcPr>
          <w:p w14:paraId="2AB4DA5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100</w:t>
            </w:r>
          </w:p>
        </w:tc>
        <w:tc>
          <w:tcPr>
            <w:tcW w:w="1257" w:type="dxa"/>
            <w:noWrap w:val="0"/>
            <w:vAlign w:val="center"/>
          </w:tcPr>
          <w:p w14:paraId="5BDA43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2CA632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10E92F0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49D171D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3BB482B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1FF0ED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9F83A6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18F0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7C29E6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企业信誉实力加权得分合计（满分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tc>
        <w:tc>
          <w:tcPr>
            <w:tcW w:w="1290" w:type="dxa"/>
            <w:noWrap w:val="0"/>
            <w:vAlign w:val="center"/>
          </w:tcPr>
          <w:p w14:paraId="12123A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3BF4DF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46FDD4F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CA65A5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C2949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ECACC0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DCB53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54E414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C70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5BB6158B">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宋体" w:hAnsi="宋体" w:eastAsia="宋体" w:cs="宋体"/>
                <w:color w:val="auto"/>
                <w:highlight w:val="none"/>
              </w:rPr>
              <w:t>企业信誉实力加权得分=根据实时公布的</w:t>
            </w:r>
            <w:r>
              <w:rPr>
                <w:rFonts w:hint="eastAsia" w:ascii="宋体" w:hAnsi="宋体" w:eastAsia="宋体" w:cs="宋体"/>
                <w:b/>
                <w:color w:val="auto"/>
                <w:highlight w:val="none"/>
              </w:rPr>
              <w:t>区级</w:t>
            </w:r>
            <w:r>
              <w:rPr>
                <w:rFonts w:hint="eastAsia" w:ascii="宋体" w:hAnsi="宋体" w:eastAsia="宋体" w:cs="宋体"/>
                <w:color w:val="auto"/>
                <w:highlight w:val="none"/>
              </w:rPr>
              <w:t>诚信综合评价分（百分制）×企业信誉实力分分值权重（20%）</w:t>
            </w:r>
          </w:p>
        </w:tc>
      </w:tr>
    </w:tbl>
    <w:p w14:paraId="2BD5B79C">
      <w:pPr>
        <w:spacing w:line="440" w:lineRule="exact"/>
        <w:rPr>
          <w:color w:val="auto"/>
          <w:highlight w:val="none"/>
        </w:rPr>
      </w:pPr>
      <w:r>
        <w:rPr>
          <w:rFonts w:hint="eastAsia" w:cs="宋体"/>
          <w:color w:val="auto"/>
          <w:highlight w:val="none"/>
        </w:rPr>
        <w:t>评标委员会全体</w:t>
      </w:r>
      <w:r>
        <w:rPr>
          <w:rFonts w:cs="宋体"/>
          <w:color w:val="auto"/>
          <w:highlight w:val="none"/>
        </w:rPr>
        <w:t>商务标</w:t>
      </w:r>
      <w:r>
        <w:rPr>
          <w:rFonts w:hint="eastAsia" w:cs="宋体"/>
          <w:color w:val="auto"/>
          <w:highlight w:val="none"/>
        </w:rPr>
        <w:t>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32395B72">
      <w:pPr>
        <w:spacing w:line="440" w:lineRule="exact"/>
        <w:rPr>
          <w:color w:val="auto"/>
          <w:highlight w:val="none"/>
        </w:rPr>
      </w:pPr>
    </w:p>
    <w:p w14:paraId="19A59A32">
      <w:pPr>
        <w:spacing w:line="440" w:lineRule="exact"/>
        <w:rPr>
          <w:color w:val="auto"/>
          <w:highlight w:val="none"/>
        </w:rPr>
      </w:pPr>
    </w:p>
    <w:p w14:paraId="3B57732B">
      <w:pPr>
        <w:pStyle w:val="5"/>
        <w:spacing w:line="240" w:lineRule="auto"/>
        <w:rPr>
          <w:color w:val="auto"/>
          <w:highlight w:val="none"/>
        </w:rPr>
      </w:pPr>
      <w:r>
        <w:rPr>
          <w:color w:val="auto"/>
          <w:highlight w:val="none"/>
        </w:rPr>
        <w:br w:type="page"/>
      </w:r>
      <w:bookmarkStart w:id="633" w:name="_Toc1537713619"/>
      <w:bookmarkStart w:id="634" w:name="_Toc78449771"/>
      <w:bookmarkStart w:id="635" w:name="_Toc32146"/>
      <w:bookmarkStart w:id="636" w:name="_Toc906496380"/>
      <w:bookmarkStart w:id="637" w:name="_Toc1133"/>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6</w:t>
      </w:r>
      <w:r>
        <w:rPr>
          <w:rFonts w:hint="eastAsia"/>
          <w:color w:val="auto"/>
          <w:sz w:val="28"/>
          <w:szCs w:val="28"/>
          <w:highlight w:val="none"/>
        </w:rPr>
        <w:t>：企业信誉实力评分记录表</w:t>
      </w:r>
      <w:bookmarkEnd w:id="633"/>
      <w:bookmarkEnd w:id="634"/>
      <w:bookmarkEnd w:id="635"/>
      <w:bookmarkEnd w:id="636"/>
      <w:bookmarkEnd w:id="637"/>
    </w:p>
    <w:p w14:paraId="50CD6CC2">
      <w:pPr>
        <w:jc w:val="center"/>
        <w:rPr>
          <w:rFonts w:hint="eastAsia" w:eastAsia="黑体" w:cs="黑体"/>
          <w:color w:val="auto"/>
          <w:sz w:val="28"/>
          <w:szCs w:val="28"/>
          <w:highlight w:val="none"/>
        </w:rPr>
      </w:pPr>
      <w:r>
        <w:rPr>
          <w:rFonts w:hint="eastAsia" w:eastAsia="黑体" w:cs="黑体"/>
          <w:color w:val="auto"/>
          <w:sz w:val="28"/>
          <w:szCs w:val="28"/>
          <w:highlight w:val="none"/>
        </w:rPr>
        <w:t>企业信誉实力评分记录表（各</w:t>
      </w:r>
      <w:r>
        <w:rPr>
          <w:rFonts w:eastAsia="黑体" w:cs="黑体"/>
          <w:color w:val="auto"/>
          <w:sz w:val="28"/>
          <w:szCs w:val="28"/>
          <w:highlight w:val="none"/>
        </w:rPr>
        <w:t>设</w:t>
      </w:r>
      <w:r>
        <w:rPr>
          <w:rFonts w:hint="eastAsia" w:eastAsia="黑体" w:cs="黑体"/>
          <w:color w:val="auto"/>
          <w:sz w:val="28"/>
          <w:szCs w:val="28"/>
          <w:highlight w:val="none"/>
        </w:rPr>
        <w:t>区市房屋</w:t>
      </w:r>
      <w:r>
        <w:rPr>
          <w:rFonts w:eastAsia="黑体" w:cs="黑体"/>
          <w:color w:val="auto"/>
          <w:sz w:val="28"/>
          <w:szCs w:val="28"/>
          <w:highlight w:val="none"/>
        </w:rPr>
        <w:t>建筑及市政基础设施</w:t>
      </w:r>
      <w:r>
        <w:rPr>
          <w:rFonts w:hint="eastAsia" w:eastAsia="黑体" w:cs="黑体"/>
          <w:color w:val="auto"/>
          <w:sz w:val="28"/>
          <w:szCs w:val="28"/>
          <w:highlight w:val="none"/>
        </w:rPr>
        <w:t>工程</w:t>
      </w:r>
      <w:r>
        <w:rPr>
          <w:rFonts w:eastAsia="黑体" w:cs="黑体"/>
          <w:color w:val="auto"/>
          <w:sz w:val="28"/>
          <w:szCs w:val="28"/>
          <w:highlight w:val="none"/>
        </w:rPr>
        <w:t>招标时</w:t>
      </w:r>
      <w:r>
        <w:rPr>
          <w:rFonts w:hint="eastAsia" w:eastAsia="黑体" w:cs="黑体"/>
          <w:color w:val="auto"/>
          <w:sz w:val="28"/>
          <w:szCs w:val="28"/>
          <w:highlight w:val="none"/>
        </w:rPr>
        <w:t>）</w:t>
      </w:r>
    </w:p>
    <w:p w14:paraId="48121038">
      <w:pPr>
        <w:jc w:val="center"/>
        <w:rPr>
          <w:rFonts w:hint="eastAsia" w:eastAsia="黑体" w:cs="黑体"/>
          <w:color w:val="auto"/>
          <w:sz w:val="28"/>
          <w:szCs w:val="28"/>
          <w:highlight w:val="none"/>
        </w:rPr>
      </w:pPr>
    </w:p>
    <w:p w14:paraId="0EB96760">
      <w:pPr>
        <w:jc w:val="center"/>
        <w:rPr>
          <w:rFonts w:hint="eastAsia" w:eastAsia="黑体" w:cs="黑体"/>
          <w:color w:val="auto"/>
          <w:sz w:val="28"/>
          <w:szCs w:val="28"/>
          <w:highlight w:val="none"/>
        </w:rPr>
      </w:pPr>
    </w:p>
    <w:p w14:paraId="0760D53C">
      <w:pPr>
        <w:spacing w:after="72" w:afterLines="30" w:line="440" w:lineRule="exact"/>
        <w:rPr>
          <w:color w:val="auto"/>
          <w:highlight w:val="none"/>
        </w:rPr>
      </w:pPr>
      <w:r>
        <w:rPr>
          <w:rFonts w:hint="eastAsia" w:ascii="Calibri" w:hAnsi="Calibri"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eastAsia" w:cs="宋体"/>
          <w:color w:val="auto"/>
          <w:highlight w:val="none"/>
        </w:rPr>
        <w:t>时间：</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74D8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00B1573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3032" w:type="dxa"/>
            <w:vMerge w:val="restart"/>
            <w:noWrap w:val="0"/>
            <w:vAlign w:val="center"/>
          </w:tcPr>
          <w:p w14:paraId="17F63F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评分项目</w:t>
            </w:r>
          </w:p>
        </w:tc>
        <w:tc>
          <w:tcPr>
            <w:tcW w:w="1290" w:type="dxa"/>
            <w:vMerge w:val="restart"/>
            <w:noWrap w:val="0"/>
            <w:vAlign w:val="center"/>
          </w:tcPr>
          <w:p w14:paraId="6F9EC31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企业诚信</w:t>
            </w:r>
            <w:r>
              <w:rPr>
                <w:rFonts w:hint="default" w:ascii="Calibri" w:hAnsi="Calibri" w:eastAsia="宋体" w:cs="宋体"/>
                <w:color w:val="auto"/>
                <w:highlight w:val="none"/>
              </w:rPr>
              <w:t>综合</w:t>
            </w:r>
            <w:r>
              <w:rPr>
                <w:rFonts w:hint="eastAsia" w:ascii="Calibri" w:hAnsi="Calibri" w:eastAsia="宋体" w:cs="宋体"/>
                <w:color w:val="auto"/>
                <w:highlight w:val="none"/>
              </w:rPr>
              <w:t>评</w:t>
            </w:r>
            <w:r>
              <w:rPr>
                <w:rFonts w:hint="default" w:ascii="Calibri" w:hAnsi="Calibri" w:eastAsia="宋体" w:cs="宋体"/>
                <w:color w:val="auto"/>
                <w:highlight w:val="none"/>
              </w:rPr>
              <w:t>价</w:t>
            </w:r>
            <w:r>
              <w:rPr>
                <w:rFonts w:hint="eastAsia" w:ascii="Calibri" w:hAnsi="Calibri" w:eastAsia="宋体" w:cs="宋体"/>
                <w:color w:val="auto"/>
                <w:highlight w:val="none"/>
              </w:rPr>
              <w:t>分</w:t>
            </w:r>
          </w:p>
        </w:tc>
        <w:tc>
          <w:tcPr>
            <w:tcW w:w="8898" w:type="dxa"/>
            <w:gridSpan w:val="7"/>
            <w:noWrap w:val="0"/>
            <w:vAlign w:val="center"/>
          </w:tcPr>
          <w:p w14:paraId="79B5467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投标人名称（或代码）</w:t>
            </w:r>
          </w:p>
        </w:tc>
      </w:tr>
      <w:tr w14:paraId="6996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5FEAE0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032" w:type="dxa"/>
            <w:vMerge w:val="continue"/>
            <w:noWrap w:val="0"/>
            <w:vAlign w:val="center"/>
          </w:tcPr>
          <w:p w14:paraId="61B0C1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90" w:type="dxa"/>
            <w:vMerge w:val="continue"/>
            <w:noWrap w:val="0"/>
            <w:vAlign w:val="center"/>
          </w:tcPr>
          <w:p w14:paraId="636FED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64D6FB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96621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01AF2E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0A5C49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167611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47DE5D3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13FCB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C7C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4E73F84E">
            <w:pPr>
              <w:keepNext w:val="0"/>
              <w:keepLines w:val="0"/>
              <w:suppressLineNumbers w:val="0"/>
              <w:spacing w:before="0" w:beforeAutospacing="0" w:after="0" w:afterAutospacing="0"/>
              <w:ind w:left="0" w:right="0"/>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区级企业诚信综合评价得分（百分制）</w:t>
            </w:r>
          </w:p>
        </w:tc>
        <w:tc>
          <w:tcPr>
            <w:tcW w:w="1290" w:type="dxa"/>
            <w:noWrap w:val="0"/>
            <w:vAlign w:val="center"/>
          </w:tcPr>
          <w:p w14:paraId="197BB99F">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100</w:t>
            </w:r>
          </w:p>
        </w:tc>
        <w:tc>
          <w:tcPr>
            <w:tcW w:w="1257" w:type="dxa"/>
            <w:noWrap w:val="0"/>
            <w:vAlign w:val="center"/>
          </w:tcPr>
          <w:p w14:paraId="6AC9BBA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195163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6379BB8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794748C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1E96769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1760A8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4E1E87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120D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7C3F2D78">
            <w:pPr>
              <w:keepNext w:val="0"/>
              <w:keepLines w:val="0"/>
              <w:suppressLineNumbers w:val="0"/>
              <w:spacing w:before="0" w:beforeAutospacing="0" w:after="0" w:afterAutospacing="0"/>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设区市级企业诚信综合评价得分（百分制）</w:t>
            </w:r>
          </w:p>
        </w:tc>
        <w:tc>
          <w:tcPr>
            <w:tcW w:w="1290" w:type="dxa"/>
            <w:noWrap w:val="0"/>
            <w:vAlign w:val="center"/>
          </w:tcPr>
          <w:p w14:paraId="04F327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100</w:t>
            </w:r>
          </w:p>
        </w:tc>
        <w:tc>
          <w:tcPr>
            <w:tcW w:w="1257" w:type="dxa"/>
            <w:noWrap w:val="0"/>
            <w:vAlign w:val="center"/>
          </w:tcPr>
          <w:p w14:paraId="41689FF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7F1BF5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A5B19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57E866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300B80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2419BED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E9BA01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353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5942C8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企业信誉实力加权得分合计（满分</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w:t>
            </w:r>
          </w:p>
        </w:tc>
        <w:tc>
          <w:tcPr>
            <w:tcW w:w="1290" w:type="dxa"/>
            <w:noWrap w:val="0"/>
            <w:vAlign w:val="center"/>
          </w:tcPr>
          <w:p w14:paraId="55AF7A1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57" w:type="dxa"/>
            <w:noWrap w:val="0"/>
            <w:vAlign w:val="center"/>
          </w:tcPr>
          <w:p w14:paraId="08EA05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03DB54E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239B8A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A146E6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796FDAE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3" w:type="dxa"/>
            <w:noWrap w:val="0"/>
            <w:vAlign w:val="center"/>
          </w:tcPr>
          <w:p w14:paraId="69C6A36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74" w:type="dxa"/>
            <w:noWrap w:val="0"/>
            <w:vAlign w:val="center"/>
          </w:tcPr>
          <w:p w14:paraId="5A8A46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C2F7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22C3F507">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宋体" w:hAnsi="宋体" w:eastAsia="宋体" w:cs="宋体"/>
                <w:color w:val="auto"/>
                <w:highlight w:val="none"/>
              </w:rPr>
              <w:t>企业信誉实力加权得分=根据实时公布的</w:t>
            </w:r>
            <w:r>
              <w:rPr>
                <w:rFonts w:hint="eastAsia" w:ascii="宋体" w:hAnsi="宋体" w:eastAsia="宋体" w:cs="宋体"/>
                <w:b/>
                <w:color w:val="auto"/>
                <w:highlight w:val="none"/>
              </w:rPr>
              <w:t>区级</w:t>
            </w:r>
            <w:r>
              <w:rPr>
                <w:rFonts w:hint="eastAsia" w:ascii="宋体" w:hAnsi="宋体" w:eastAsia="宋体" w:cs="宋体"/>
                <w:color w:val="auto"/>
                <w:highlight w:val="none"/>
              </w:rPr>
              <w:t>诚信综合评价分（百分制）×</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thick"/>
              </w:rPr>
              <w:t xml:space="preserve">   %</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最高投标限价</w:t>
            </w:r>
            <w:r>
              <w:rPr>
                <w:rFonts w:hint="eastAsia" w:ascii="宋体" w:hAnsi="宋体" w:eastAsia="宋体" w:cs="宋体"/>
                <w:color w:val="auto"/>
                <w:highlight w:val="none"/>
              </w:rPr>
              <w:t>1亿元以上取50%-100%，1亿元以下取40%-100%）×企业信誉实力分分值权重（20%）+根据实时公布的设</w:t>
            </w:r>
            <w:r>
              <w:rPr>
                <w:rFonts w:hint="eastAsia" w:ascii="宋体" w:hAnsi="宋体" w:eastAsia="宋体" w:cs="宋体"/>
                <w:b/>
                <w:color w:val="auto"/>
                <w:highlight w:val="none"/>
              </w:rPr>
              <w:t>区市级</w:t>
            </w:r>
            <w:r>
              <w:rPr>
                <w:rFonts w:hint="eastAsia" w:ascii="宋体" w:hAnsi="宋体" w:eastAsia="宋体" w:cs="宋体"/>
                <w:color w:val="auto"/>
                <w:highlight w:val="none"/>
              </w:rPr>
              <w:t>诚信综合评价分（百分制）×</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thick"/>
              </w:rPr>
              <w:t xml:space="preserve">   %</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最高投标限价</w:t>
            </w:r>
            <w:r>
              <w:rPr>
                <w:rFonts w:hint="eastAsia" w:ascii="宋体" w:hAnsi="宋体" w:eastAsia="宋体" w:cs="宋体"/>
                <w:color w:val="auto"/>
                <w:highlight w:val="none"/>
              </w:rPr>
              <w:t>1亿元以上取50%-0%，1亿元以下取60%-0%）×企业信誉实力分分值权重（20%）</w:t>
            </w:r>
          </w:p>
        </w:tc>
      </w:tr>
    </w:tbl>
    <w:p w14:paraId="3B218528">
      <w:pPr>
        <w:spacing w:line="440" w:lineRule="exact"/>
        <w:rPr>
          <w:color w:val="auto"/>
          <w:highlight w:val="none"/>
        </w:rPr>
      </w:pPr>
      <w:r>
        <w:rPr>
          <w:rFonts w:hint="eastAsia" w:cs="宋体"/>
          <w:color w:val="auto"/>
          <w:highlight w:val="none"/>
        </w:rPr>
        <w:t>评标委员会全体</w:t>
      </w:r>
      <w:r>
        <w:rPr>
          <w:rFonts w:cs="宋体"/>
          <w:color w:val="auto"/>
          <w:highlight w:val="none"/>
        </w:rPr>
        <w:t>商务标</w:t>
      </w:r>
      <w:r>
        <w:rPr>
          <w:rFonts w:hint="eastAsia" w:cs="宋体"/>
          <w:color w:val="auto"/>
          <w:highlight w:val="none"/>
        </w:rPr>
        <w:t>评委签名：</w:t>
      </w:r>
      <w:r>
        <w:rPr>
          <w:color w:val="auto"/>
          <w:highlight w:val="none"/>
        </w:rPr>
        <w:t xml:space="preserve">                                                     </w:t>
      </w: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p>
    <w:p w14:paraId="71918D95">
      <w:pPr>
        <w:spacing w:line="440" w:lineRule="exact"/>
        <w:rPr>
          <w:color w:val="auto"/>
          <w:highlight w:val="none"/>
        </w:rPr>
      </w:pPr>
    </w:p>
    <w:p w14:paraId="58728E22">
      <w:pPr>
        <w:pStyle w:val="5"/>
        <w:spacing w:line="240" w:lineRule="auto"/>
        <w:rPr>
          <w:color w:val="auto"/>
          <w:sz w:val="24"/>
          <w:szCs w:val="24"/>
          <w:highlight w:val="none"/>
        </w:rPr>
      </w:pPr>
      <w:r>
        <w:rPr>
          <w:color w:val="auto"/>
          <w:highlight w:val="none"/>
        </w:rPr>
        <w:br w:type="page"/>
      </w:r>
      <w:bookmarkStart w:id="638" w:name="_Toc8120"/>
      <w:bookmarkStart w:id="639" w:name="_Toc28263"/>
      <w:bookmarkStart w:id="640" w:name="_Toc1491831473"/>
      <w:bookmarkStart w:id="641" w:name="_Toc1848225375"/>
      <w:bookmarkStart w:id="642" w:name="_Toc78449772"/>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6</w:t>
      </w:r>
      <w:r>
        <w:rPr>
          <w:rFonts w:hint="eastAsia"/>
          <w:color w:val="auto"/>
          <w:sz w:val="28"/>
          <w:szCs w:val="28"/>
          <w:highlight w:val="none"/>
        </w:rPr>
        <w:t>：评标结果汇总表</w:t>
      </w:r>
      <w:bookmarkEnd w:id="638"/>
      <w:bookmarkEnd w:id="639"/>
      <w:bookmarkEnd w:id="640"/>
      <w:bookmarkEnd w:id="641"/>
      <w:bookmarkEnd w:id="642"/>
    </w:p>
    <w:p w14:paraId="3C9A7E98">
      <w:pPr>
        <w:jc w:val="center"/>
        <w:rPr>
          <w:color w:val="auto"/>
          <w:sz w:val="28"/>
          <w:szCs w:val="28"/>
          <w:highlight w:val="none"/>
        </w:rPr>
      </w:pPr>
      <w:r>
        <w:rPr>
          <w:rFonts w:hint="eastAsia" w:eastAsia="黑体" w:cs="黑体"/>
          <w:color w:val="auto"/>
          <w:sz w:val="28"/>
          <w:szCs w:val="28"/>
          <w:highlight w:val="none"/>
        </w:rPr>
        <w:t>评标结果汇总表</w:t>
      </w:r>
    </w:p>
    <w:p w14:paraId="19175AB6">
      <w:pPr>
        <w:spacing w:after="72" w:afterLines="30" w:line="440" w:lineRule="exact"/>
        <w:rPr>
          <w:color w:val="auto"/>
          <w:highlight w:val="none"/>
        </w:rPr>
      </w:pPr>
      <w:r>
        <w:rPr>
          <w:rFonts w:hint="eastAsia" w:ascii="Calibri" w:hAnsi="Calibri" w:cs="宋体"/>
          <w:color w:val="auto"/>
          <w:highlight w:val="none"/>
          <w:lang w:val="en-US" w:eastAsia="zh-CN"/>
        </w:rPr>
        <w:t>招标</w:t>
      </w:r>
      <w:r>
        <w:rPr>
          <w:rFonts w:hint="eastAsia" w:cs="宋体"/>
          <w:color w:val="auto"/>
          <w:highlight w:val="none"/>
        </w:rPr>
        <w:t>项目名称及</w:t>
      </w: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eastAsia" w:cs="宋体"/>
          <w:color w:val="auto"/>
          <w:highlight w:val="none"/>
        </w:rPr>
        <w:t>时间：</w:t>
      </w:r>
      <w:r>
        <w:rPr>
          <w:color w:val="auto"/>
          <w:highlight w:val="none"/>
          <w:u w:val="single"/>
        </w:rPr>
        <w:t xml:space="preserve">      </w:t>
      </w:r>
      <w:r>
        <w:rPr>
          <w:rFonts w:hint="eastAsia" w:cs="宋体"/>
          <w:color w:val="auto"/>
          <w:highlight w:val="none"/>
        </w:rPr>
        <w:t>年</w:t>
      </w:r>
      <w:r>
        <w:rPr>
          <w:color w:val="auto"/>
          <w:highlight w:val="none"/>
        </w:rPr>
        <w:t xml:space="preserve"> </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color w:val="auto"/>
          <w:highlight w:val="none"/>
        </w:rPr>
        <w:t xml:space="preserve"> </w:t>
      </w:r>
      <w:r>
        <w:rPr>
          <w:rFonts w:hint="eastAsia" w:cs="宋体"/>
          <w:color w:val="auto"/>
          <w:highlight w:val="none"/>
        </w:rPr>
        <w:t>日</w:t>
      </w:r>
      <w:r>
        <w:rPr>
          <w:color w:val="auto"/>
          <w:sz w:val="10"/>
          <w:szCs w:val="10"/>
          <w:highlight w:val="none"/>
        </w:rPr>
        <w:t xml:space="preserve"> </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220"/>
        <w:gridCol w:w="863"/>
        <w:gridCol w:w="956"/>
        <w:gridCol w:w="938"/>
        <w:gridCol w:w="750"/>
        <w:gridCol w:w="1024"/>
        <w:gridCol w:w="1777"/>
        <w:gridCol w:w="1015"/>
        <w:gridCol w:w="1190"/>
        <w:gridCol w:w="1481"/>
        <w:gridCol w:w="681"/>
      </w:tblGrid>
      <w:tr w14:paraId="68E4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trPr>
        <w:tc>
          <w:tcPr>
            <w:tcW w:w="720" w:type="dxa"/>
            <w:vMerge w:val="restart"/>
            <w:noWrap w:val="0"/>
            <w:vAlign w:val="center"/>
          </w:tcPr>
          <w:p w14:paraId="5593CEDF">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序号</w:t>
            </w:r>
          </w:p>
        </w:tc>
        <w:tc>
          <w:tcPr>
            <w:tcW w:w="2220" w:type="dxa"/>
            <w:vMerge w:val="restart"/>
            <w:noWrap w:val="0"/>
            <w:vAlign w:val="center"/>
          </w:tcPr>
          <w:p w14:paraId="55D475B0">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投标人名称</w:t>
            </w:r>
          </w:p>
        </w:tc>
        <w:tc>
          <w:tcPr>
            <w:tcW w:w="863" w:type="dxa"/>
            <w:vMerge w:val="restart"/>
            <w:noWrap w:val="0"/>
            <w:vAlign w:val="center"/>
          </w:tcPr>
          <w:p w14:paraId="59509147">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投标</w:t>
            </w:r>
          </w:p>
          <w:p w14:paraId="6910290E">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总价（元）</w:t>
            </w:r>
          </w:p>
        </w:tc>
        <w:tc>
          <w:tcPr>
            <w:tcW w:w="2644" w:type="dxa"/>
            <w:gridSpan w:val="3"/>
            <w:vMerge w:val="restart"/>
            <w:noWrap w:val="0"/>
            <w:vAlign w:val="center"/>
          </w:tcPr>
          <w:p w14:paraId="03B02A16">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初步评审</w:t>
            </w:r>
          </w:p>
        </w:tc>
        <w:tc>
          <w:tcPr>
            <w:tcW w:w="5006" w:type="dxa"/>
            <w:gridSpan w:val="4"/>
            <w:noWrap w:val="0"/>
            <w:vAlign w:val="center"/>
          </w:tcPr>
          <w:p w14:paraId="795385C0">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详细评审</w:t>
            </w:r>
          </w:p>
        </w:tc>
        <w:tc>
          <w:tcPr>
            <w:tcW w:w="1481" w:type="dxa"/>
            <w:vMerge w:val="restart"/>
            <w:noWrap w:val="0"/>
            <w:vAlign w:val="center"/>
          </w:tcPr>
          <w:p w14:paraId="318ADDA3">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shd w:val="clear" w:color="auto" w:fill="auto"/>
              </w:rPr>
              <w:t>投标人汇</w:t>
            </w:r>
            <w:r>
              <w:rPr>
                <w:rFonts w:hint="eastAsia" w:ascii="Calibri" w:hAnsi="Calibri" w:eastAsia="宋体" w:cs="宋体"/>
                <w:color w:val="auto"/>
                <w:sz w:val="21"/>
                <w:szCs w:val="21"/>
                <w:highlight w:val="none"/>
              </w:rPr>
              <w:t>总得分</w:t>
            </w:r>
            <w:r>
              <w:rPr>
                <w:rFonts w:hint="default" w:ascii="Calibri" w:hAnsi="Calibri" w:eastAsia="宋体" w:cs="Times New Roman"/>
                <w:color w:val="auto"/>
                <w:sz w:val="21"/>
                <w:szCs w:val="21"/>
                <w:highlight w:val="none"/>
                <w:shd w:val="clear" w:color="auto" w:fill="auto"/>
              </w:rPr>
              <w:t>=</w:t>
            </w:r>
            <w:r>
              <w:rPr>
                <w:rFonts w:hint="eastAsia" w:ascii="Calibri" w:hAnsi="Calibri" w:eastAsia="宋体" w:cs="宋体"/>
                <w:color w:val="auto"/>
                <w:sz w:val="21"/>
                <w:szCs w:val="21"/>
                <w:highlight w:val="none"/>
                <w:shd w:val="clear" w:color="auto" w:fill="auto"/>
              </w:rPr>
              <w:t xml:space="preserve"> 技术标加权得分 </w:t>
            </w:r>
            <w:r>
              <w:rPr>
                <w:rFonts w:hint="default" w:ascii="Calibri" w:hAnsi="Calibri" w:eastAsia="宋体" w:cs="Times New Roman"/>
                <w:color w:val="auto"/>
                <w:sz w:val="21"/>
                <w:szCs w:val="21"/>
                <w:highlight w:val="none"/>
                <w:shd w:val="clear" w:color="auto" w:fill="auto"/>
              </w:rPr>
              <w:t>+</w:t>
            </w:r>
            <w:r>
              <w:rPr>
                <w:rFonts w:hint="eastAsia" w:ascii="Calibri" w:hAnsi="Calibri" w:eastAsia="宋体" w:cs="Times New Roman"/>
                <w:color w:val="auto"/>
                <w:sz w:val="21"/>
                <w:szCs w:val="21"/>
                <w:highlight w:val="none"/>
                <w:shd w:val="clear" w:color="auto" w:fill="auto"/>
              </w:rPr>
              <w:t xml:space="preserve"> </w:t>
            </w:r>
            <w:r>
              <w:rPr>
                <w:rFonts w:hint="eastAsia" w:ascii="Calibri" w:hAnsi="Calibri" w:eastAsia="宋体" w:cs="宋体"/>
                <w:color w:val="auto"/>
                <w:sz w:val="21"/>
                <w:szCs w:val="21"/>
                <w:highlight w:val="none"/>
                <w:shd w:val="clear" w:color="auto" w:fill="auto"/>
              </w:rPr>
              <w:t>商务标得分</w:t>
            </w:r>
          </w:p>
        </w:tc>
        <w:tc>
          <w:tcPr>
            <w:tcW w:w="681" w:type="dxa"/>
            <w:vMerge w:val="restart"/>
            <w:noWrap w:val="0"/>
            <w:vAlign w:val="center"/>
          </w:tcPr>
          <w:p w14:paraId="79380D34">
            <w:pPr>
              <w:keepNext w:val="0"/>
              <w:keepLines w:val="0"/>
              <w:suppressLineNumbers w:val="0"/>
              <w:spacing w:before="0" w:beforeAutospacing="0" w:after="0" w:afterAutospacing="0"/>
              <w:ind w:left="0" w:right="0"/>
              <w:jc w:val="center"/>
              <w:rPr>
                <w:rFonts w:hint="eastAsia" w:ascii="Calibri" w:hAnsi="Calibri" w:eastAsia="宋体" w:cs="宋体"/>
                <w:color w:val="auto"/>
                <w:sz w:val="21"/>
                <w:szCs w:val="21"/>
                <w:highlight w:val="none"/>
              </w:rPr>
            </w:pPr>
            <w:r>
              <w:rPr>
                <w:rFonts w:hint="eastAsia" w:ascii="Calibri" w:hAnsi="Calibri" w:eastAsia="宋体" w:cs="宋体"/>
                <w:color w:val="auto"/>
                <w:sz w:val="21"/>
                <w:szCs w:val="21"/>
                <w:highlight w:val="none"/>
              </w:rPr>
              <w:t>排序（由</w:t>
            </w:r>
            <w:r>
              <w:rPr>
                <w:rFonts w:hint="eastAsia" w:ascii="Calibri" w:hAnsi="Calibri" w:cs="宋体"/>
                <w:color w:val="auto"/>
                <w:sz w:val="21"/>
                <w:szCs w:val="21"/>
                <w:highlight w:val="none"/>
                <w:lang w:val="en-US" w:eastAsia="zh-CN"/>
              </w:rPr>
              <w:t>高</w:t>
            </w:r>
            <w:r>
              <w:rPr>
                <w:rFonts w:hint="eastAsia" w:ascii="Calibri" w:hAnsi="Calibri" w:eastAsia="宋体" w:cs="宋体"/>
                <w:color w:val="auto"/>
                <w:sz w:val="21"/>
                <w:szCs w:val="21"/>
                <w:highlight w:val="none"/>
              </w:rPr>
              <w:t>至</w:t>
            </w:r>
            <w:r>
              <w:rPr>
                <w:rFonts w:hint="eastAsia" w:ascii="Calibri" w:hAnsi="Calibri" w:cs="宋体"/>
                <w:color w:val="auto"/>
                <w:sz w:val="21"/>
                <w:szCs w:val="21"/>
                <w:highlight w:val="none"/>
                <w:lang w:val="en-US" w:eastAsia="zh-CN"/>
              </w:rPr>
              <w:t>低</w:t>
            </w:r>
            <w:r>
              <w:rPr>
                <w:rFonts w:hint="eastAsia" w:ascii="Calibri" w:hAnsi="Calibri" w:eastAsia="宋体" w:cs="宋体"/>
                <w:color w:val="auto"/>
                <w:sz w:val="21"/>
                <w:szCs w:val="21"/>
                <w:highlight w:val="none"/>
              </w:rPr>
              <w:t>）</w:t>
            </w:r>
          </w:p>
        </w:tc>
      </w:tr>
      <w:tr w14:paraId="21FA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20" w:type="dxa"/>
            <w:vMerge w:val="continue"/>
            <w:noWrap w:val="0"/>
            <w:vAlign w:val="center"/>
          </w:tcPr>
          <w:p w14:paraId="05BA2566">
            <w:pPr>
              <w:keepNext w:val="0"/>
              <w:keepLines w:val="0"/>
              <w:suppressLineNumbers w:val="0"/>
              <w:spacing w:before="0" w:beforeAutospacing="0" w:after="0" w:afterAutospacing="0"/>
              <w:ind w:left="0" w:right="0"/>
              <w:jc w:val="center"/>
              <w:rPr>
                <w:rFonts w:hint="eastAsia" w:ascii="Calibri" w:hAnsi="Calibri" w:eastAsia="宋体" w:cs="宋体"/>
                <w:color w:val="auto"/>
                <w:sz w:val="21"/>
                <w:szCs w:val="21"/>
                <w:highlight w:val="none"/>
              </w:rPr>
            </w:pPr>
          </w:p>
        </w:tc>
        <w:tc>
          <w:tcPr>
            <w:tcW w:w="2220" w:type="dxa"/>
            <w:vMerge w:val="continue"/>
            <w:noWrap w:val="0"/>
            <w:vAlign w:val="center"/>
          </w:tcPr>
          <w:p w14:paraId="64142A4D">
            <w:pPr>
              <w:keepNext w:val="0"/>
              <w:keepLines w:val="0"/>
              <w:suppressLineNumbers w:val="0"/>
              <w:spacing w:before="0" w:beforeAutospacing="0" w:after="0" w:afterAutospacing="0"/>
              <w:ind w:left="0" w:right="0"/>
              <w:jc w:val="center"/>
              <w:rPr>
                <w:rFonts w:hint="eastAsia" w:ascii="Calibri" w:hAnsi="Calibri" w:eastAsia="宋体" w:cs="宋体"/>
                <w:color w:val="auto"/>
                <w:sz w:val="21"/>
                <w:szCs w:val="21"/>
                <w:highlight w:val="none"/>
              </w:rPr>
            </w:pPr>
          </w:p>
        </w:tc>
        <w:tc>
          <w:tcPr>
            <w:tcW w:w="863" w:type="dxa"/>
            <w:vMerge w:val="continue"/>
            <w:noWrap w:val="0"/>
            <w:vAlign w:val="center"/>
          </w:tcPr>
          <w:p w14:paraId="261C3F51">
            <w:pPr>
              <w:keepNext w:val="0"/>
              <w:keepLines w:val="0"/>
              <w:suppressLineNumbers w:val="0"/>
              <w:spacing w:before="0" w:beforeAutospacing="0" w:after="0" w:afterAutospacing="0"/>
              <w:ind w:left="0" w:right="0"/>
              <w:jc w:val="center"/>
              <w:rPr>
                <w:rFonts w:hint="eastAsia" w:ascii="Calibri" w:hAnsi="Calibri" w:eastAsia="宋体" w:cs="宋体"/>
                <w:color w:val="auto"/>
                <w:sz w:val="21"/>
                <w:szCs w:val="21"/>
                <w:highlight w:val="none"/>
              </w:rPr>
            </w:pPr>
          </w:p>
        </w:tc>
        <w:tc>
          <w:tcPr>
            <w:tcW w:w="2644" w:type="dxa"/>
            <w:gridSpan w:val="3"/>
            <w:vMerge w:val="continue"/>
            <w:noWrap w:val="0"/>
            <w:vAlign w:val="center"/>
          </w:tcPr>
          <w:p w14:paraId="704A621F">
            <w:pPr>
              <w:keepNext w:val="0"/>
              <w:keepLines w:val="0"/>
              <w:suppressLineNumbers w:val="0"/>
              <w:spacing w:before="0" w:beforeAutospacing="0" w:after="0" w:afterAutospacing="0"/>
              <w:ind w:left="0" w:right="0"/>
              <w:jc w:val="center"/>
              <w:rPr>
                <w:rFonts w:hint="eastAsia" w:ascii="Calibri" w:hAnsi="Calibri" w:eastAsia="宋体" w:cs="宋体"/>
                <w:color w:val="auto"/>
                <w:sz w:val="21"/>
                <w:szCs w:val="21"/>
                <w:highlight w:val="none"/>
              </w:rPr>
            </w:pPr>
          </w:p>
        </w:tc>
        <w:tc>
          <w:tcPr>
            <w:tcW w:w="1024" w:type="dxa"/>
            <w:vMerge w:val="restart"/>
            <w:noWrap w:val="0"/>
            <w:vAlign w:val="center"/>
          </w:tcPr>
          <w:p w14:paraId="3D9F0C9F">
            <w:pPr>
              <w:keepNext w:val="0"/>
              <w:keepLines w:val="0"/>
              <w:suppressLineNumbers w:val="0"/>
              <w:tabs>
                <w:tab w:val="left" w:pos="840"/>
              </w:tabs>
              <w:spacing w:before="0" w:beforeAutospacing="0" w:after="0" w:afterAutospacing="0"/>
              <w:ind w:left="0" w:right="0"/>
              <w:jc w:val="center"/>
              <w:rPr>
                <w:rFonts w:hint="eastAsia" w:ascii="Calibri" w:hAnsi="Calibri" w:eastAsia="宋体" w:cs="宋体"/>
                <w:color w:val="auto"/>
                <w:sz w:val="21"/>
                <w:szCs w:val="21"/>
                <w:highlight w:val="none"/>
              </w:rPr>
            </w:pPr>
            <w:r>
              <w:rPr>
                <w:rFonts w:hint="eastAsia" w:ascii="Calibri" w:hAnsi="Calibri" w:eastAsia="宋体" w:cs="宋体"/>
                <w:color w:val="auto"/>
                <w:sz w:val="21"/>
                <w:szCs w:val="21"/>
                <w:highlight w:val="none"/>
              </w:rPr>
              <w:t>技术标加权平均得分</w:t>
            </w:r>
          </w:p>
          <w:p w14:paraId="01D57636">
            <w:pPr>
              <w:keepNext w:val="0"/>
              <w:keepLines w:val="0"/>
              <w:suppressLineNumbers w:val="0"/>
              <w:tabs>
                <w:tab w:val="left" w:pos="840"/>
              </w:tabs>
              <w:spacing w:before="0" w:beforeAutospacing="0" w:after="0" w:afterAutospacing="0"/>
              <w:ind w:left="0" w:right="0"/>
              <w:jc w:val="center"/>
              <w:rPr>
                <w:rFonts w:hint="eastAsia" w:ascii="Calibri" w:hAnsi="Calibri" w:eastAsia="宋体" w:cs="宋体"/>
                <w:color w:val="auto"/>
                <w:sz w:val="21"/>
                <w:szCs w:val="21"/>
                <w:highlight w:val="none"/>
              </w:rPr>
            </w:pPr>
            <w:r>
              <w:rPr>
                <w:rFonts w:hint="eastAsia" w:ascii="Calibri" w:hAnsi="Calibri" w:eastAsia="宋体" w:cs="宋体"/>
                <w:color w:val="auto"/>
                <w:sz w:val="21"/>
                <w:szCs w:val="21"/>
                <w:highlight w:val="none"/>
              </w:rPr>
              <w:t>（满分</w:t>
            </w:r>
          </w:p>
          <w:p w14:paraId="6ED0ABB3">
            <w:pPr>
              <w:keepNext w:val="0"/>
              <w:keepLines w:val="0"/>
              <w:suppressLineNumbers w:val="0"/>
              <w:tabs>
                <w:tab w:val="left" w:pos="840"/>
              </w:tabs>
              <w:spacing w:before="0" w:beforeAutospacing="0" w:after="0" w:afterAutospacing="0"/>
              <w:ind w:left="0" w:right="0"/>
              <w:jc w:val="left"/>
              <w:rPr>
                <w:rFonts w:hint="eastAsia" w:ascii="Calibri" w:hAnsi="Calibri" w:eastAsia="宋体" w:cs="宋体"/>
                <w:color w:val="auto"/>
                <w:sz w:val="21"/>
                <w:szCs w:val="21"/>
                <w:highlight w:val="none"/>
              </w:rPr>
            </w:pPr>
            <w:r>
              <w:rPr>
                <w:rFonts w:hint="eastAsia" w:ascii="Calibri" w:hAnsi="Calibri" w:cs="宋体"/>
                <w:color w:val="auto"/>
                <w:sz w:val="21"/>
                <w:szCs w:val="21"/>
                <w:highlight w:val="none"/>
                <w:u w:val="single"/>
                <w:lang w:val="en-US" w:eastAsia="zh-CN"/>
              </w:rPr>
              <w:t xml:space="preserve">    </w:t>
            </w:r>
            <w:r>
              <w:rPr>
                <w:rFonts w:hint="eastAsia" w:ascii="Calibri" w:hAnsi="Calibri" w:eastAsia="宋体" w:cs="宋体"/>
                <w:color w:val="auto"/>
                <w:sz w:val="21"/>
                <w:szCs w:val="21"/>
                <w:highlight w:val="none"/>
              </w:rPr>
              <w:t>分）</w:t>
            </w:r>
          </w:p>
        </w:tc>
        <w:tc>
          <w:tcPr>
            <w:tcW w:w="3982" w:type="dxa"/>
            <w:gridSpan w:val="3"/>
            <w:noWrap w:val="0"/>
            <w:vAlign w:val="center"/>
          </w:tcPr>
          <w:p w14:paraId="79EDD95E">
            <w:pPr>
              <w:keepNext w:val="0"/>
              <w:keepLines w:val="0"/>
              <w:suppressLineNumbers w:val="0"/>
              <w:spacing w:before="0" w:beforeAutospacing="0" w:after="0" w:afterAutospacing="0"/>
              <w:ind w:left="0" w:right="0"/>
              <w:jc w:val="center"/>
              <w:rPr>
                <w:rFonts w:hint="eastAsia" w:ascii="Calibri" w:hAnsi="Calibri" w:eastAsia="宋体" w:cs="宋体"/>
                <w:color w:val="auto"/>
                <w:sz w:val="21"/>
                <w:szCs w:val="21"/>
                <w:highlight w:val="none"/>
              </w:rPr>
            </w:pPr>
            <w:r>
              <w:rPr>
                <w:rFonts w:hint="eastAsia" w:ascii="Calibri" w:hAnsi="Calibri" w:eastAsia="宋体" w:cs="宋体"/>
                <w:color w:val="auto"/>
                <w:sz w:val="21"/>
                <w:szCs w:val="21"/>
                <w:highlight w:val="none"/>
              </w:rPr>
              <w:t>商务标得分</w:t>
            </w:r>
          </w:p>
        </w:tc>
        <w:tc>
          <w:tcPr>
            <w:tcW w:w="1481" w:type="dxa"/>
            <w:vMerge w:val="continue"/>
            <w:noWrap w:val="0"/>
            <w:vAlign w:val="center"/>
          </w:tcPr>
          <w:p w14:paraId="411328D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p>
        </w:tc>
        <w:tc>
          <w:tcPr>
            <w:tcW w:w="681" w:type="dxa"/>
            <w:vMerge w:val="continue"/>
            <w:noWrap w:val="0"/>
            <w:vAlign w:val="center"/>
          </w:tcPr>
          <w:p w14:paraId="2ECFD55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p>
        </w:tc>
      </w:tr>
      <w:tr w14:paraId="109B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720" w:type="dxa"/>
            <w:vMerge w:val="continue"/>
            <w:noWrap w:val="0"/>
            <w:vAlign w:val="center"/>
          </w:tcPr>
          <w:p w14:paraId="358D4B3C">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p>
        </w:tc>
        <w:tc>
          <w:tcPr>
            <w:tcW w:w="2220" w:type="dxa"/>
            <w:vMerge w:val="continue"/>
            <w:noWrap w:val="0"/>
            <w:vAlign w:val="center"/>
          </w:tcPr>
          <w:p w14:paraId="37EAC33B">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p>
        </w:tc>
        <w:tc>
          <w:tcPr>
            <w:tcW w:w="863" w:type="dxa"/>
            <w:vMerge w:val="continue"/>
            <w:noWrap w:val="0"/>
            <w:vAlign w:val="center"/>
          </w:tcPr>
          <w:p w14:paraId="3B7FA470">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p>
        </w:tc>
        <w:tc>
          <w:tcPr>
            <w:tcW w:w="956" w:type="dxa"/>
            <w:noWrap w:val="0"/>
            <w:vAlign w:val="center"/>
          </w:tcPr>
          <w:p w14:paraId="0F060BFD">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形式评审是否合格</w:t>
            </w:r>
          </w:p>
        </w:tc>
        <w:tc>
          <w:tcPr>
            <w:tcW w:w="938" w:type="dxa"/>
            <w:noWrap w:val="0"/>
            <w:vAlign w:val="center"/>
          </w:tcPr>
          <w:p w14:paraId="591DEAE5">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响应性评审是否合格</w:t>
            </w:r>
          </w:p>
        </w:tc>
        <w:tc>
          <w:tcPr>
            <w:tcW w:w="750" w:type="dxa"/>
            <w:noWrap w:val="0"/>
            <w:vAlign w:val="center"/>
          </w:tcPr>
          <w:p w14:paraId="35D2D1FF">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资格审查是否合格</w:t>
            </w:r>
          </w:p>
        </w:tc>
        <w:tc>
          <w:tcPr>
            <w:tcW w:w="1024" w:type="dxa"/>
            <w:vMerge w:val="continue"/>
            <w:noWrap w:val="0"/>
            <w:vAlign w:val="center"/>
          </w:tcPr>
          <w:p w14:paraId="0D637CF7">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p>
        </w:tc>
        <w:tc>
          <w:tcPr>
            <w:tcW w:w="1777" w:type="dxa"/>
            <w:noWrap w:val="0"/>
            <w:vAlign w:val="center"/>
          </w:tcPr>
          <w:p w14:paraId="2CEE284D">
            <w:pPr>
              <w:keepNext w:val="0"/>
              <w:keepLines w:val="0"/>
              <w:suppressLineNumbers w:val="0"/>
              <w:spacing w:before="0" w:beforeAutospacing="0" w:after="0" w:afterAutospacing="0"/>
              <w:ind w:left="0" w:right="0"/>
              <w:jc w:val="center"/>
              <w:rPr>
                <w:rFonts w:hint="eastAsia" w:ascii="Calibri" w:hAnsi="Calibri" w:eastAsia="宋体" w:cs="宋体"/>
                <w:color w:val="auto"/>
                <w:sz w:val="21"/>
                <w:szCs w:val="21"/>
                <w:highlight w:val="none"/>
              </w:rPr>
            </w:pPr>
            <w:r>
              <w:rPr>
                <w:rFonts w:hint="eastAsia" w:ascii="Calibri" w:hAnsi="Calibri" w:eastAsia="宋体" w:cs="宋体"/>
                <w:color w:val="auto"/>
                <w:sz w:val="21"/>
                <w:szCs w:val="21"/>
                <w:highlight w:val="none"/>
              </w:rPr>
              <w:t>报价分加权得分（小微企业、残疾人、监狱企业为报价最后得分）（满分</w:t>
            </w:r>
            <w:r>
              <w:rPr>
                <w:rFonts w:hint="eastAsia" w:ascii="Calibri" w:hAnsi="Calibri" w:eastAsia="宋体" w:cs="宋体"/>
                <w:color w:val="auto"/>
                <w:sz w:val="21"/>
                <w:szCs w:val="21"/>
                <w:highlight w:val="none"/>
                <w:u w:val="single"/>
              </w:rPr>
              <w:t xml:space="preserve">   </w:t>
            </w:r>
            <w:r>
              <w:rPr>
                <w:rFonts w:hint="eastAsia" w:ascii="Calibri" w:hAnsi="Calibri" w:eastAsia="宋体" w:cs="宋体"/>
                <w:color w:val="auto"/>
                <w:sz w:val="21"/>
                <w:szCs w:val="21"/>
                <w:highlight w:val="none"/>
              </w:rPr>
              <w:t>分）</w:t>
            </w:r>
          </w:p>
          <w:p w14:paraId="7E0136F0">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p>
        </w:tc>
        <w:tc>
          <w:tcPr>
            <w:tcW w:w="1015" w:type="dxa"/>
            <w:noWrap w:val="0"/>
            <w:vAlign w:val="center"/>
          </w:tcPr>
          <w:p w14:paraId="2C222E68">
            <w:pPr>
              <w:keepNext w:val="0"/>
              <w:keepLines w:val="0"/>
              <w:suppressLineNumbers w:val="0"/>
              <w:spacing w:before="0" w:beforeAutospacing="0" w:after="0" w:afterAutospacing="0"/>
              <w:ind w:left="0" w:right="0"/>
              <w:jc w:val="center"/>
              <w:rPr>
                <w:rFonts w:hint="eastAsia" w:ascii="Calibri" w:hAnsi="Calibri" w:eastAsia="宋体" w:cs="宋体"/>
                <w:color w:val="auto"/>
                <w:sz w:val="21"/>
                <w:szCs w:val="21"/>
                <w:highlight w:val="none"/>
              </w:rPr>
            </w:pPr>
            <w:r>
              <w:rPr>
                <w:rFonts w:hint="eastAsia" w:ascii="Calibri" w:hAnsi="Calibri" w:eastAsia="宋体" w:cs="宋体"/>
                <w:color w:val="auto"/>
                <w:sz w:val="21"/>
                <w:szCs w:val="21"/>
                <w:highlight w:val="none"/>
              </w:rPr>
              <w:t>企业信誉实力加权得分</w:t>
            </w:r>
          </w:p>
          <w:p w14:paraId="017B0D02">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（满分</w:t>
            </w:r>
            <w:r>
              <w:rPr>
                <w:rFonts w:hint="eastAsia" w:ascii="Calibri" w:hAnsi="Calibri" w:eastAsia="宋体" w:cs="宋体"/>
                <w:color w:val="auto"/>
                <w:sz w:val="21"/>
                <w:szCs w:val="21"/>
                <w:highlight w:val="none"/>
                <w:lang w:val="en-US" w:eastAsia="zh-CN"/>
              </w:rPr>
              <w:t>2</w:t>
            </w:r>
            <w:r>
              <w:rPr>
                <w:rFonts w:hint="eastAsia" w:ascii="Calibri" w:hAnsi="Calibri" w:eastAsia="宋体" w:cs="宋体"/>
                <w:color w:val="auto"/>
                <w:sz w:val="21"/>
                <w:szCs w:val="21"/>
                <w:highlight w:val="none"/>
                <w:u w:val="none"/>
                <w:lang w:val="en-US" w:eastAsia="zh-CN"/>
              </w:rPr>
              <w:t>0</w:t>
            </w:r>
            <w:r>
              <w:rPr>
                <w:rFonts w:hint="eastAsia" w:ascii="Calibri" w:hAnsi="Calibri" w:eastAsia="宋体" w:cs="宋体"/>
                <w:color w:val="auto"/>
                <w:sz w:val="21"/>
                <w:szCs w:val="21"/>
                <w:highlight w:val="none"/>
                <w:u w:val="none"/>
              </w:rPr>
              <w:t xml:space="preserve"> </w:t>
            </w:r>
            <w:r>
              <w:rPr>
                <w:rFonts w:hint="eastAsia" w:ascii="Calibri" w:hAnsi="Calibri" w:eastAsia="宋体" w:cs="宋体"/>
                <w:color w:val="auto"/>
                <w:sz w:val="21"/>
                <w:szCs w:val="21"/>
                <w:highlight w:val="none"/>
              </w:rPr>
              <w:t>分）</w:t>
            </w:r>
          </w:p>
        </w:tc>
        <w:tc>
          <w:tcPr>
            <w:tcW w:w="1190" w:type="dxa"/>
            <w:noWrap w:val="0"/>
            <w:vAlign w:val="center"/>
          </w:tcPr>
          <w:p w14:paraId="77C41D76">
            <w:pPr>
              <w:keepNext w:val="0"/>
              <w:keepLines w:val="0"/>
              <w:suppressLineNumbers w:val="0"/>
              <w:spacing w:before="0" w:beforeAutospacing="0" w:after="0" w:afterAutospacing="0"/>
              <w:ind w:left="0" w:right="0"/>
              <w:jc w:val="center"/>
              <w:rPr>
                <w:rFonts w:hint="default" w:ascii="Calibri" w:hAnsi="Calibri" w:eastAsia="宋体" w:cs="Times New Roman"/>
                <w:color w:val="auto"/>
                <w:sz w:val="21"/>
                <w:szCs w:val="21"/>
                <w:highlight w:val="none"/>
              </w:rPr>
            </w:pPr>
            <w:r>
              <w:rPr>
                <w:rFonts w:hint="eastAsia" w:ascii="Calibri" w:hAnsi="Calibri" w:eastAsia="宋体" w:cs="宋体"/>
                <w:color w:val="auto"/>
                <w:sz w:val="21"/>
                <w:szCs w:val="21"/>
                <w:highlight w:val="none"/>
              </w:rPr>
              <w:t>商务标得分</w:t>
            </w:r>
            <w:r>
              <w:rPr>
                <w:rFonts w:hint="eastAsia" w:ascii="Calibri" w:hAnsi="Calibri" w:eastAsia="宋体" w:cs="宋体"/>
                <w:color w:val="auto"/>
                <w:sz w:val="21"/>
                <w:szCs w:val="21"/>
                <w:highlight w:val="none"/>
                <w:shd w:val="clear" w:color="auto" w:fill="auto"/>
              </w:rPr>
              <w:t xml:space="preserve">= </w:t>
            </w:r>
            <w:r>
              <w:rPr>
                <w:rFonts w:hint="eastAsia" w:ascii="Calibri" w:hAnsi="Calibri" w:eastAsia="宋体" w:cs="宋体"/>
                <w:color w:val="auto"/>
                <w:sz w:val="21"/>
                <w:szCs w:val="21"/>
                <w:highlight w:val="none"/>
              </w:rPr>
              <w:t>报价分加权得分+ 企业信誉实力加权得分</w:t>
            </w:r>
          </w:p>
        </w:tc>
        <w:tc>
          <w:tcPr>
            <w:tcW w:w="1481" w:type="dxa"/>
            <w:vMerge w:val="continue"/>
            <w:noWrap w:val="0"/>
            <w:vAlign w:val="center"/>
          </w:tcPr>
          <w:p w14:paraId="3EB2B1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81" w:type="dxa"/>
            <w:vMerge w:val="continue"/>
            <w:noWrap w:val="0"/>
            <w:vAlign w:val="center"/>
          </w:tcPr>
          <w:p w14:paraId="3438E9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1C4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0D8102B3">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1</w:t>
            </w:r>
          </w:p>
        </w:tc>
        <w:tc>
          <w:tcPr>
            <w:tcW w:w="2220" w:type="dxa"/>
            <w:noWrap w:val="0"/>
            <w:vAlign w:val="center"/>
          </w:tcPr>
          <w:p w14:paraId="0D9952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63" w:type="dxa"/>
            <w:noWrap w:val="0"/>
            <w:vAlign w:val="center"/>
          </w:tcPr>
          <w:p w14:paraId="1323B74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56" w:type="dxa"/>
            <w:noWrap w:val="0"/>
            <w:vAlign w:val="center"/>
          </w:tcPr>
          <w:p w14:paraId="60E2B8F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38" w:type="dxa"/>
            <w:noWrap w:val="0"/>
            <w:vAlign w:val="center"/>
          </w:tcPr>
          <w:p w14:paraId="727B28E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0" w:type="dxa"/>
            <w:noWrap w:val="0"/>
            <w:vAlign w:val="center"/>
          </w:tcPr>
          <w:p w14:paraId="7209619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24" w:type="dxa"/>
            <w:noWrap w:val="0"/>
            <w:vAlign w:val="center"/>
          </w:tcPr>
          <w:p w14:paraId="2CF5A9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777" w:type="dxa"/>
            <w:noWrap w:val="0"/>
            <w:vAlign w:val="center"/>
          </w:tcPr>
          <w:p w14:paraId="0A48B1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5" w:type="dxa"/>
            <w:noWrap w:val="0"/>
            <w:vAlign w:val="center"/>
          </w:tcPr>
          <w:p w14:paraId="58384A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0" w:type="dxa"/>
            <w:noWrap w:val="0"/>
            <w:vAlign w:val="center"/>
          </w:tcPr>
          <w:p w14:paraId="58BBEBD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1" w:type="dxa"/>
            <w:noWrap w:val="0"/>
            <w:vAlign w:val="center"/>
          </w:tcPr>
          <w:p w14:paraId="7B5A8D9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81" w:type="dxa"/>
            <w:noWrap w:val="0"/>
            <w:vAlign w:val="center"/>
          </w:tcPr>
          <w:p w14:paraId="4AD2F5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E29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54D9AB19">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2</w:t>
            </w:r>
          </w:p>
        </w:tc>
        <w:tc>
          <w:tcPr>
            <w:tcW w:w="2220" w:type="dxa"/>
            <w:noWrap w:val="0"/>
            <w:vAlign w:val="center"/>
          </w:tcPr>
          <w:p w14:paraId="4C87DAD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63" w:type="dxa"/>
            <w:noWrap w:val="0"/>
            <w:vAlign w:val="center"/>
          </w:tcPr>
          <w:p w14:paraId="3E82174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56" w:type="dxa"/>
            <w:noWrap w:val="0"/>
            <w:vAlign w:val="center"/>
          </w:tcPr>
          <w:p w14:paraId="731EBAB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38" w:type="dxa"/>
            <w:noWrap w:val="0"/>
            <w:vAlign w:val="center"/>
          </w:tcPr>
          <w:p w14:paraId="3925EE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0" w:type="dxa"/>
            <w:noWrap w:val="0"/>
            <w:vAlign w:val="center"/>
          </w:tcPr>
          <w:p w14:paraId="59AA1F6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24" w:type="dxa"/>
            <w:noWrap w:val="0"/>
            <w:vAlign w:val="center"/>
          </w:tcPr>
          <w:p w14:paraId="7EA5FC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777" w:type="dxa"/>
            <w:noWrap w:val="0"/>
            <w:vAlign w:val="center"/>
          </w:tcPr>
          <w:p w14:paraId="2C24CE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5" w:type="dxa"/>
            <w:noWrap w:val="0"/>
            <w:vAlign w:val="center"/>
          </w:tcPr>
          <w:p w14:paraId="67F40B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0" w:type="dxa"/>
            <w:noWrap w:val="0"/>
            <w:vAlign w:val="center"/>
          </w:tcPr>
          <w:p w14:paraId="5E73962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1" w:type="dxa"/>
            <w:noWrap w:val="0"/>
            <w:vAlign w:val="center"/>
          </w:tcPr>
          <w:p w14:paraId="6ABB69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81" w:type="dxa"/>
            <w:noWrap w:val="0"/>
            <w:vAlign w:val="center"/>
          </w:tcPr>
          <w:p w14:paraId="6C6FBB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170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0F7FA5DB">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3</w:t>
            </w:r>
          </w:p>
        </w:tc>
        <w:tc>
          <w:tcPr>
            <w:tcW w:w="2220" w:type="dxa"/>
            <w:noWrap w:val="0"/>
            <w:vAlign w:val="center"/>
          </w:tcPr>
          <w:p w14:paraId="5F1B8FD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63" w:type="dxa"/>
            <w:noWrap w:val="0"/>
            <w:vAlign w:val="center"/>
          </w:tcPr>
          <w:p w14:paraId="4F1B964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56" w:type="dxa"/>
            <w:noWrap w:val="0"/>
            <w:vAlign w:val="center"/>
          </w:tcPr>
          <w:p w14:paraId="5F07F8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38" w:type="dxa"/>
            <w:noWrap w:val="0"/>
            <w:vAlign w:val="center"/>
          </w:tcPr>
          <w:p w14:paraId="0DF1CBB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0" w:type="dxa"/>
            <w:noWrap w:val="0"/>
            <w:vAlign w:val="center"/>
          </w:tcPr>
          <w:p w14:paraId="372AAB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24" w:type="dxa"/>
            <w:noWrap w:val="0"/>
            <w:vAlign w:val="center"/>
          </w:tcPr>
          <w:p w14:paraId="709580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777" w:type="dxa"/>
            <w:noWrap w:val="0"/>
            <w:vAlign w:val="center"/>
          </w:tcPr>
          <w:p w14:paraId="659155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5" w:type="dxa"/>
            <w:noWrap w:val="0"/>
            <w:vAlign w:val="center"/>
          </w:tcPr>
          <w:p w14:paraId="2B3A648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0" w:type="dxa"/>
            <w:noWrap w:val="0"/>
            <w:vAlign w:val="center"/>
          </w:tcPr>
          <w:p w14:paraId="72DC2B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1" w:type="dxa"/>
            <w:noWrap w:val="0"/>
            <w:vAlign w:val="center"/>
          </w:tcPr>
          <w:p w14:paraId="5C233FD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81" w:type="dxa"/>
            <w:noWrap w:val="0"/>
            <w:vAlign w:val="center"/>
          </w:tcPr>
          <w:p w14:paraId="1AA055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CA16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3ABFB185">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4</w:t>
            </w:r>
          </w:p>
        </w:tc>
        <w:tc>
          <w:tcPr>
            <w:tcW w:w="2220" w:type="dxa"/>
            <w:noWrap w:val="0"/>
            <w:vAlign w:val="center"/>
          </w:tcPr>
          <w:p w14:paraId="5FB6637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63" w:type="dxa"/>
            <w:noWrap w:val="0"/>
            <w:vAlign w:val="center"/>
          </w:tcPr>
          <w:p w14:paraId="73390B1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56" w:type="dxa"/>
            <w:noWrap w:val="0"/>
            <w:vAlign w:val="center"/>
          </w:tcPr>
          <w:p w14:paraId="3601AD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38" w:type="dxa"/>
            <w:noWrap w:val="0"/>
            <w:vAlign w:val="center"/>
          </w:tcPr>
          <w:p w14:paraId="197979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0" w:type="dxa"/>
            <w:noWrap w:val="0"/>
            <w:vAlign w:val="center"/>
          </w:tcPr>
          <w:p w14:paraId="7BF15AA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24" w:type="dxa"/>
            <w:noWrap w:val="0"/>
            <w:vAlign w:val="center"/>
          </w:tcPr>
          <w:p w14:paraId="762FE3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777" w:type="dxa"/>
            <w:noWrap w:val="0"/>
            <w:vAlign w:val="center"/>
          </w:tcPr>
          <w:p w14:paraId="20A57D9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5" w:type="dxa"/>
            <w:noWrap w:val="0"/>
            <w:vAlign w:val="center"/>
          </w:tcPr>
          <w:p w14:paraId="7365E4E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0" w:type="dxa"/>
            <w:noWrap w:val="0"/>
            <w:vAlign w:val="center"/>
          </w:tcPr>
          <w:p w14:paraId="7D334CF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1" w:type="dxa"/>
            <w:noWrap w:val="0"/>
            <w:vAlign w:val="center"/>
          </w:tcPr>
          <w:p w14:paraId="3607A5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81" w:type="dxa"/>
            <w:noWrap w:val="0"/>
            <w:vAlign w:val="center"/>
          </w:tcPr>
          <w:p w14:paraId="17C9B2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97EA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noWrap w:val="0"/>
            <w:vAlign w:val="center"/>
          </w:tcPr>
          <w:p w14:paraId="3A642C91">
            <w:pPr>
              <w:keepNext w:val="0"/>
              <w:keepLines w:val="0"/>
              <w:suppressLineNumbers w:val="0"/>
              <w:spacing w:before="0" w:beforeAutospacing="0" w:after="0" w:afterAutospacing="0"/>
              <w:ind w:left="0" w:right="0"/>
              <w:jc w:val="center"/>
              <w:rPr>
                <w:rFonts w:hint="default" w:ascii="Calibri" w:hAnsi="Calibri" w:eastAsia="黑体" w:cs="Times New Roman"/>
                <w:color w:val="auto"/>
                <w:highlight w:val="none"/>
              </w:rPr>
            </w:pPr>
            <w:r>
              <w:rPr>
                <w:rFonts w:hint="default" w:ascii="Calibri" w:hAnsi="Calibri" w:eastAsia="黑体" w:cs="Times New Roman"/>
                <w:color w:val="auto"/>
                <w:highlight w:val="none"/>
              </w:rPr>
              <w:t>5</w:t>
            </w:r>
          </w:p>
        </w:tc>
        <w:tc>
          <w:tcPr>
            <w:tcW w:w="2220" w:type="dxa"/>
            <w:noWrap w:val="0"/>
            <w:vAlign w:val="center"/>
          </w:tcPr>
          <w:p w14:paraId="6BC4AC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863" w:type="dxa"/>
            <w:noWrap w:val="0"/>
            <w:vAlign w:val="center"/>
          </w:tcPr>
          <w:p w14:paraId="4FF946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56" w:type="dxa"/>
            <w:noWrap w:val="0"/>
            <w:vAlign w:val="center"/>
          </w:tcPr>
          <w:p w14:paraId="0A0D40F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938" w:type="dxa"/>
            <w:noWrap w:val="0"/>
            <w:vAlign w:val="center"/>
          </w:tcPr>
          <w:p w14:paraId="247AF8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0" w:type="dxa"/>
            <w:noWrap w:val="0"/>
            <w:vAlign w:val="center"/>
          </w:tcPr>
          <w:p w14:paraId="0F009F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24" w:type="dxa"/>
            <w:noWrap w:val="0"/>
            <w:vAlign w:val="center"/>
          </w:tcPr>
          <w:p w14:paraId="09C73A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777" w:type="dxa"/>
            <w:noWrap w:val="0"/>
            <w:vAlign w:val="center"/>
          </w:tcPr>
          <w:p w14:paraId="5F6B44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15" w:type="dxa"/>
            <w:noWrap w:val="0"/>
            <w:vAlign w:val="center"/>
          </w:tcPr>
          <w:p w14:paraId="28A3D7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0" w:type="dxa"/>
            <w:noWrap w:val="0"/>
            <w:vAlign w:val="center"/>
          </w:tcPr>
          <w:p w14:paraId="522EF1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1" w:type="dxa"/>
            <w:noWrap w:val="0"/>
            <w:vAlign w:val="center"/>
          </w:tcPr>
          <w:p w14:paraId="083BF5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81" w:type="dxa"/>
            <w:noWrap w:val="0"/>
            <w:vAlign w:val="center"/>
          </w:tcPr>
          <w:p w14:paraId="6A3D2FC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E9D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940" w:type="dxa"/>
            <w:gridSpan w:val="2"/>
            <w:vMerge w:val="restart"/>
            <w:noWrap w:val="0"/>
            <w:vAlign w:val="center"/>
          </w:tcPr>
          <w:p w14:paraId="318C8E10">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最终推荐的中标候选人及其排序</w:t>
            </w:r>
          </w:p>
        </w:tc>
        <w:tc>
          <w:tcPr>
            <w:tcW w:w="10675" w:type="dxa"/>
            <w:gridSpan w:val="10"/>
            <w:noWrap w:val="0"/>
            <w:vAlign w:val="center"/>
          </w:tcPr>
          <w:p w14:paraId="7CE30262">
            <w:pPr>
              <w:keepNext w:val="0"/>
              <w:keepLines w:val="0"/>
              <w:suppressLineNumbers w:val="0"/>
              <w:spacing w:before="0" w:beforeAutospacing="0" w:after="0" w:afterAutospacing="0"/>
              <w:ind w:left="0" w:right="0"/>
              <w:rPr>
                <w:rFonts w:hint="eastAsia" w:ascii="Calibri" w:hAnsi="Calibri" w:eastAsia="宋体" w:cs="宋体"/>
                <w:color w:val="auto"/>
                <w:highlight w:val="none"/>
              </w:rPr>
            </w:pPr>
            <w:r>
              <w:rPr>
                <w:rFonts w:hint="eastAsia" w:ascii="Calibri" w:hAnsi="Calibri" w:eastAsia="宋体" w:cs="宋体"/>
                <w:color w:val="auto"/>
                <w:highlight w:val="none"/>
              </w:rPr>
              <w:t>第一名：</w:t>
            </w:r>
          </w:p>
        </w:tc>
      </w:tr>
      <w:tr w14:paraId="023E8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940" w:type="dxa"/>
            <w:gridSpan w:val="2"/>
            <w:vMerge w:val="continue"/>
            <w:noWrap w:val="0"/>
            <w:vAlign w:val="center"/>
          </w:tcPr>
          <w:p w14:paraId="734E4F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675" w:type="dxa"/>
            <w:gridSpan w:val="10"/>
            <w:noWrap w:val="0"/>
            <w:vAlign w:val="center"/>
          </w:tcPr>
          <w:p w14:paraId="0002B30E">
            <w:pPr>
              <w:keepNext w:val="0"/>
              <w:keepLines w:val="0"/>
              <w:suppressLineNumbers w:val="0"/>
              <w:spacing w:before="0" w:beforeAutospacing="0" w:after="0" w:afterAutospacing="0"/>
              <w:ind w:left="0" w:right="0"/>
              <w:rPr>
                <w:rFonts w:hint="eastAsia" w:ascii="Calibri" w:hAnsi="Calibri" w:eastAsia="宋体" w:cs="宋体"/>
                <w:color w:val="auto"/>
                <w:highlight w:val="none"/>
              </w:rPr>
            </w:pPr>
            <w:r>
              <w:rPr>
                <w:rFonts w:hint="eastAsia" w:ascii="Calibri" w:hAnsi="Calibri" w:eastAsia="宋体" w:cs="宋体"/>
                <w:color w:val="auto"/>
                <w:highlight w:val="none"/>
              </w:rPr>
              <w:t>第二名：</w:t>
            </w:r>
          </w:p>
        </w:tc>
      </w:tr>
      <w:tr w14:paraId="409B1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940" w:type="dxa"/>
            <w:gridSpan w:val="2"/>
            <w:vMerge w:val="continue"/>
            <w:noWrap w:val="0"/>
            <w:vAlign w:val="center"/>
          </w:tcPr>
          <w:p w14:paraId="6D1BB14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675" w:type="dxa"/>
            <w:gridSpan w:val="10"/>
            <w:noWrap w:val="0"/>
            <w:vAlign w:val="center"/>
          </w:tcPr>
          <w:p w14:paraId="4F1608AD">
            <w:pPr>
              <w:keepNext w:val="0"/>
              <w:keepLines w:val="0"/>
              <w:suppressLineNumbers w:val="0"/>
              <w:spacing w:before="0" w:beforeAutospacing="0" w:after="0" w:afterAutospacing="0"/>
              <w:ind w:left="0" w:right="0"/>
              <w:rPr>
                <w:rFonts w:hint="eastAsia" w:ascii="Calibri" w:hAnsi="Calibri" w:eastAsia="宋体" w:cs="宋体"/>
                <w:color w:val="auto"/>
                <w:highlight w:val="none"/>
              </w:rPr>
            </w:pPr>
            <w:r>
              <w:rPr>
                <w:rFonts w:hint="eastAsia" w:ascii="Calibri" w:hAnsi="Calibri" w:eastAsia="宋体" w:cs="宋体"/>
                <w:color w:val="auto"/>
                <w:highlight w:val="none"/>
              </w:rPr>
              <w:t>第三名：</w:t>
            </w:r>
          </w:p>
        </w:tc>
      </w:tr>
    </w:tbl>
    <w:p w14:paraId="4A4A5AA3">
      <w:pPr>
        <w:rPr>
          <w:color w:val="auto"/>
          <w:highlight w:val="none"/>
        </w:rPr>
      </w:pPr>
      <w:r>
        <w:rPr>
          <w:rFonts w:hint="eastAsia" w:eastAsia="楷体_GB2312" w:cs="楷体_GB2312"/>
          <w:color w:val="auto"/>
          <w:highlight w:val="none"/>
        </w:rPr>
        <w:t>【备注：本表可根据第二章投标人须知确定的中标候选人推荐数量等实际情况进行调整】</w:t>
      </w:r>
    </w:p>
    <w:p w14:paraId="08ABBC82">
      <w:pPr>
        <w:rPr>
          <w:rFonts w:eastAsia="黑体"/>
          <w:color w:val="auto"/>
          <w:sz w:val="28"/>
          <w:szCs w:val="28"/>
          <w:highlight w:val="none"/>
        </w:rPr>
      </w:pPr>
      <w:r>
        <w:rPr>
          <w:rFonts w:hint="eastAsia" w:cs="宋体"/>
          <w:color w:val="auto"/>
          <w:highlight w:val="none"/>
        </w:rPr>
        <w:t>评标委员会全体成员签名：</w:t>
      </w:r>
      <w:r>
        <w:rPr>
          <w:color w:val="auto"/>
          <w:highlight w:val="none"/>
        </w:rPr>
        <w:t xml:space="preserve">  </w:t>
      </w:r>
    </w:p>
    <w:p w14:paraId="66F901A3">
      <w:pPr>
        <w:spacing w:line="440" w:lineRule="exact"/>
        <w:rPr>
          <w:color w:val="auto"/>
          <w:highlight w:val="none"/>
        </w:rPr>
      </w:pPr>
    </w:p>
    <w:p w14:paraId="192880AE">
      <w:pPr>
        <w:spacing w:line="480" w:lineRule="auto"/>
        <w:rPr>
          <w:color w:val="auto"/>
          <w:highlight w:val="none"/>
        </w:rPr>
        <w:sectPr>
          <w:pgSz w:w="16840" w:h="11907" w:orient="landscape"/>
          <w:pgMar w:top="1440" w:right="1440" w:bottom="1440" w:left="1797" w:header="851" w:footer="851" w:gutter="0"/>
          <w:cols w:space="720" w:num="1"/>
          <w:docGrid w:linePitch="312" w:charSpace="0"/>
        </w:sectPr>
      </w:pPr>
    </w:p>
    <w:p w14:paraId="424E7A5E">
      <w:pPr>
        <w:pStyle w:val="5"/>
        <w:spacing w:line="240" w:lineRule="auto"/>
        <w:rPr>
          <w:color w:val="auto"/>
          <w:sz w:val="28"/>
          <w:szCs w:val="28"/>
          <w:highlight w:val="none"/>
        </w:rPr>
      </w:pPr>
      <w:bookmarkStart w:id="643" w:name="_Toc21703"/>
      <w:bookmarkStart w:id="644" w:name="_Toc1779494478"/>
      <w:bookmarkStart w:id="645" w:name="_Toc10048112"/>
      <w:bookmarkStart w:id="646" w:name="_Toc78449773"/>
      <w:bookmarkStart w:id="647" w:name="_Toc20478"/>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7</w:t>
      </w:r>
      <w:r>
        <w:rPr>
          <w:rFonts w:hint="eastAsia"/>
          <w:color w:val="auto"/>
          <w:sz w:val="28"/>
          <w:szCs w:val="28"/>
          <w:highlight w:val="none"/>
        </w:rPr>
        <w:t>：中标候选人公示</w:t>
      </w:r>
      <w:bookmarkEnd w:id="643"/>
      <w:bookmarkEnd w:id="644"/>
      <w:bookmarkEnd w:id="645"/>
      <w:bookmarkEnd w:id="646"/>
      <w:bookmarkEnd w:id="647"/>
    </w:p>
    <w:p w14:paraId="3C77BE39">
      <w:pPr>
        <w:jc w:val="center"/>
        <w:rPr>
          <w:color w:val="auto"/>
          <w:sz w:val="28"/>
          <w:szCs w:val="28"/>
          <w:highlight w:val="none"/>
        </w:rPr>
      </w:pPr>
      <w:r>
        <w:rPr>
          <w:rFonts w:hint="eastAsia" w:eastAsia="黑体" w:cs="黑体"/>
          <w:color w:val="auto"/>
          <w:sz w:val="28"/>
          <w:szCs w:val="28"/>
          <w:highlight w:val="none"/>
        </w:rPr>
        <w:t>中标候选人公示</w:t>
      </w:r>
    </w:p>
    <w:tbl>
      <w:tblPr>
        <w:tblStyle w:val="41"/>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3"/>
        <w:gridCol w:w="1206"/>
        <w:gridCol w:w="2359"/>
        <w:gridCol w:w="221"/>
        <w:gridCol w:w="714"/>
        <w:gridCol w:w="766"/>
        <w:gridCol w:w="674"/>
        <w:gridCol w:w="3006"/>
      </w:tblGrid>
      <w:tr w14:paraId="7F66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57C792FB">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Calibri" w:cs="宋体"/>
                <w:color w:val="auto"/>
                <w:highlight w:val="none"/>
                <w:lang w:val="en-US" w:eastAsia="zh-CN"/>
              </w:rPr>
              <w:t>招标</w:t>
            </w:r>
            <w:r>
              <w:rPr>
                <w:rFonts w:hint="eastAsia" w:ascii="Calibri" w:hAnsi="宋体" w:eastAsia="宋体" w:cs="宋体"/>
                <w:color w:val="auto"/>
                <w:kern w:val="0"/>
                <w:highlight w:val="none"/>
              </w:rPr>
              <w:t>项目名称</w:t>
            </w:r>
          </w:p>
        </w:tc>
        <w:tc>
          <w:tcPr>
            <w:tcW w:w="3294" w:type="dxa"/>
            <w:gridSpan w:val="3"/>
            <w:noWrap w:val="0"/>
            <w:tcMar>
              <w:top w:w="0" w:type="dxa"/>
              <w:left w:w="75" w:type="dxa"/>
              <w:bottom w:w="0" w:type="dxa"/>
              <w:right w:w="0" w:type="dxa"/>
            </w:tcMar>
            <w:vAlign w:val="center"/>
          </w:tcPr>
          <w:p w14:paraId="6A3AE327">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p>
        </w:tc>
        <w:tc>
          <w:tcPr>
            <w:tcW w:w="1440" w:type="dxa"/>
            <w:gridSpan w:val="2"/>
            <w:noWrap w:val="0"/>
            <w:vAlign w:val="center"/>
          </w:tcPr>
          <w:p w14:paraId="760C735C">
            <w:pPr>
              <w:keepNext w:val="0"/>
              <w:keepLines w:val="0"/>
              <w:widowControl/>
              <w:suppressLineNumbers w:val="0"/>
              <w:spacing w:before="0" w:beforeAutospacing="0" w:after="0" w:afterAutospacing="0" w:line="360" w:lineRule="exact"/>
              <w:ind w:left="0" w:right="0"/>
              <w:jc w:val="center"/>
              <w:rPr>
                <w:rFonts w:hint="eastAsia" w:ascii="Calibri" w:hAnsi="Calibri" w:eastAsia="宋体" w:cs="Times New Roman"/>
                <w:color w:val="auto"/>
                <w:kern w:val="0"/>
                <w:highlight w:val="none"/>
                <w:lang w:eastAsia="zh-CN"/>
              </w:rPr>
            </w:pPr>
            <w:r>
              <w:rPr>
                <w:rFonts w:hint="eastAsia" w:ascii="Calibri" w:hAnsi="宋体" w:eastAsia="宋体" w:cs="宋体"/>
                <w:color w:val="auto"/>
                <w:highlight w:val="none"/>
                <w:lang w:eastAsia="zh-CN"/>
              </w:rPr>
              <w:t>招标项目编号</w:t>
            </w:r>
          </w:p>
        </w:tc>
        <w:tc>
          <w:tcPr>
            <w:tcW w:w="3006" w:type="dxa"/>
            <w:noWrap w:val="0"/>
            <w:tcMar>
              <w:top w:w="0" w:type="dxa"/>
              <w:left w:w="75" w:type="dxa"/>
              <w:bottom w:w="0" w:type="dxa"/>
              <w:right w:w="0" w:type="dxa"/>
            </w:tcMar>
            <w:vAlign w:val="center"/>
          </w:tcPr>
          <w:p w14:paraId="3C2F2A67">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p>
        </w:tc>
      </w:tr>
      <w:tr w14:paraId="6139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jc w:val="center"/>
        </w:trPr>
        <w:tc>
          <w:tcPr>
            <w:tcW w:w="2009" w:type="dxa"/>
            <w:gridSpan w:val="2"/>
            <w:noWrap w:val="0"/>
            <w:vAlign w:val="center"/>
          </w:tcPr>
          <w:p w14:paraId="5C7EC217">
            <w:pPr>
              <w:keepNext w:val="0"/>
              <w:keepLines w:val="0"/>
              <w:widowControl/>
              <w:suppressLineNumbers w:val="0"/>
              <w:spacing w:before="0" w:beforeAutospacing="0" w:after="0" w:afterAutospacing="0" w:line="360" w:lineRule="exact"/>
              <w:ind w:left="0" w:right="0"/>
              <w:jc w:val="center"/>
              <w:rPr>
                <w:rFonts w:hint="default" w:ascii="Calibri" w:hAnsi="Calibri"/>
                <w:color w:val="auto"/>
                <w:kern w:val="0"/>
                <w:highlight w:val="none"/>
              </w:rPr>
            </w:pPr>
            <w:r>
              <w:rPr>
                <w:rFonts w:hint="eastAsia" w:ascii="Calibri" w:hAnsi="宋体" w:cs="宋体"/>
                <w:color w:val="auto"/>
                <w:kern w:val="0"/>
                <w:highlight w:val="none"/>
              </w:rPr>
              <w:t>招标人</w:t>
            </w:r>
          </w:p>
        </w:tc>
        <w:tc>
          <w:tcPr>
            <w:tcW w:w="7740" w:type="dxa"/>
            <w:gridSpan w:val="6"/>
            <w:noWrap w:val="0"/>
            <w:tcMar>
              <w:top w:w="0" w:type="dxa"/>
              <w:left w:w="75" w:type="dxa"/>
              <w:bottom w:w="0" w:type="dxa"/>
              <w:right w:w="0" w:type="dxa"/>
            </w:tcMar>
            <w:vAlign w:val="center"/>
          </w:tcPr>
          <w:p w14:paraId="79A3DAB5">
            <w:pPr>
              <w:keepNext w:val="0"/>
              <w:keepLines w:val="0"/>
              <w:widowControl/>
              <w:suppressLineNumbers w:val="0"/>
              <w:spacing w:before="0" w:beforeAutospacing="0" w:after="0" w:afterAutospacing="0" w:line="360" w:lineRule="exact"/>
              <w:ind w:left="0" w:right="0"/>
              <w:jc w:val="left"/>
              <w:rPr>
                <w:rFonts w:hint="default" w:ascii="Calibri" w:hAnsi="Calibri"/>
                <w:color w:val="auto"/>
                <w:kern w:val="0"/>
                <w:highlight w:val="none"/>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4D67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7196B66D">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r>
              <w:rPr>
                <w:rFonts w:hint="eastAsia" w:ascii="Calibri" w:hAnsi="宋体" w:eastAsia="宋体" w:cs="宋体"/>
                <w:color w:val="auto"/>
                <w:kern w:val="0"/>
                <w:highlight w:val="none"/>
              </w:rPr>
              <w:t>建设</w:t>
            </w:r>
            <w:r>
              <w:rPr>
                <w:rFonts w:hint="default" w:ascii="Calibri" w:hAnsi="宋体" w:eastAsia="宋体" w:cs="宋体"/>
                <w:color w:val="auto"/>
                <w:kern w:val="0"/>
                <w:highlight w:val="none"/>
              </w:rPr>
              <w:t>单位</w:t>
            </w:r>
          </w:p>
        </w:tc>
        <w:tc>
          <w:tcPr>
            <w:tcW w:w="7740" w:type="dxa"/>
            <w:gridSpan w:val="6"/>
            <w:noWrap w:val="0"/>
            <w:tcMar>
              <w:top w:w="0" w:type="dxa"/>
              <w:left w:w="75" w:type="dxa"/>
              <w:bottom w:w="0" w:type="dxa"/>
              <w:right w:w="0" w:type="dxa"/>
            </w:tcMar>
            <w:vAlign w:val="center"/>
          </w:tcPr>
          <w:p w14:paraId="7FD741B1">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p>
        </w:tc>
      </w:tr>
      <w:tr w14:paraId="2771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6ED911BF">
            <w:pPr>
              <w:keepNext w:val="0"/>
              <w:keepLines w:val="0"/>
              <w:widowControl/>
              <w:suppressLineNumbers w:val="0"/>
              <w:spacing w:before="0" w:beforeAutospacing="0" w:after="0" w:afterAutospacing="0" w:line="360" w:lineRule="exact"/>
              <w:ind w:left="0" w:right="0"/>
              <w:jc w:val="center"/>
              <w:rPr>
                <w:rFonts w:hint="eastAsia" w:ascii="Calibri" w:hAnsi="宋体" w:eastAsia="宋体" w:cs="Times New Roman"/>
                <w:color w:val="auto"/>
                <w:kern w:val="0"/>
                <w:highlight w:val="none"/>
              </w:rPr>
            </w:pPr>
            <w:r>
              <w:rPr>
                <w:rFonts w:hint="eastAsia" w:ascii="Calibri" w:hAnsi="宋体" w:eastAsia="宋体" w:cs="宋体"/>
                <w:color w:val="auto"/>
                <w:kern w:val="0"/>
                <w:highlight w:val="none"/>
              </w:rPr>
              <w:t>代建单位（</w:t>
            </w:r>
            <w:r>
              <w:rPr>
                <w:rFonts w:hint="default" w:ascii="Calibri" w:hAnsi="宋体" w:eastAsia="宋体" w:cs="宋体"/>
                <w:color w:val="auto"/>
                <w:kern w:val="0"/>
                <w:highlight w:val="none"/>
              </w:rPr>
              <w:t>如有）</w:t>
            </w:r>
          </w:p>
        </w:tc>
        <w:tc>
          <w:tcPr>
            <w:tcW w:w="7740" w:type="dxa"/>
            <w:gridSpan w:val="6"/>
            <w:noWrap w:val="0"/>
            <w:tcMar>
              <w:top w:w="0" w:type="dxa"/>
              <w:left w:w="75" w:type="dxa"/>
              <w:bottom w:w="0" w:type="dxa"/>
              <w:right w:w="0" w:type="dxa"/>
            </w:tcMar>
            <w:vAlign w:val="center"/>
          </w:tcPr>
          <w:p w14:paraId="1498A9C5">
            <w:pPr>
              <w:keepNext w:val="0"/>
              <w:keepLines w:val="0"/>
              <w:widowControl/>
              <w:suppressLineNumbers w:val="0"/>
              <w:spacing w:before="0" w:beforeAutospacing="0" w:after="0" w:afterAutospacing="0" w:line="360" w:lineRule="exact"/>
              <w:ind w:left="0" w:right="0"/>
              <w:rPr>
                <w:rFonts w:hint="default" w:ascii="Calibri" w:hAnsi="Calibri" w:eastAsia="宋体" w:cs="Times New Roman"/>
                <w:color w:val="auto"/>
                <w:kern w:val="0"/>
                <w:highlight w:val="none"/>
              </w:rPr>
            </w:pPr>
          </w:p>
        </w:tc>
      </w:tr>
      <w:tr w14:paraId="4E22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3C97AA5D">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招标类别</w:t>
            </w:r>
          </w:p>
        </w:tc>
        <w:tc>
          <w:tcPr>
            <w:tcW w:w="3294" w:type="dxa"/>
            <w:gridSpan w:val="3"/>
            <w:noWrap w:val="0"/>
            <w:tcMar>
              <w:top w:w="0" w:type="dxa"/>
              <w:left w:w="75" w:type="dxa"/>
              <w:bottom w:w="0" w:type="dxa"/>
              <w:right w:w="0" w:type="dxa"/>
            </w:tcMar>
            <w:vAlign w:val="center"/>
          </w:tcPr>
          <w:p w14:paraId="5F2729A3">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委托招标</w:t>
            </w:r>
            <w:r>
              <w:rPr>
                <w:rFonts w:hint="default" w:ascii="Calibri" w:hAnsi="Calibri" w:eastAsia="宋体" w:cs="Times New Roman"/>
                <w:color w:val="auto"/>
                <w:kern w:val="0"/>
                <w:highlight w:val="none"/>
              </w:rPr>
              <w:t xml:space="preserve">    </w:t>
            </w: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自行招标</w:t>
            </w:r>
          </w:p>
        </w:tc>
        <w:tc>
          <w:tcPr>
            <w:tcW w:w="1440" w:type="dxa"/>
            <w:gridSpan w:val="2"/>
            <w:noWrap w:val="0"/>
            <w:vAlign w:val="center"/>
          </w:tcPr>
          <w:p w14:paraId="62DC62D3">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招标方式</w:t>
            </w:r>
          </w:p>
        </w:tc>
        <w:tc>
          <w:tcPr>
            <w:tcW w:w="3006" w:type="dxa"/>
            <w:noWrap w:val="0"/>
            <w:tcMar>
              <w:top w:w="0" w:type="dxa"/>
              <w:left w:w="75" w:type="dxa"/>
              <w:bottom w:w="0" w:type="dxa"/>
              <w:right w:w="0" w:type="dxa"/>
            </w:tcMar>
            <w:vAlign w:val="center"/>
          </w:tcPr>
          <w:p w14:paraId="097CB216">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公开招标</w:t>
            </w:r>
            <w:r>
              <w:rPr>
                <w:rFonts w:hint="default" w:ascii="Calibri" w:hAnsi="Calibri" w:eastAsia="宋体" w:cs="Times New Roman"/>
                <w:color w:val="auto"/>
                <w:kern w:val="0"/>
                <w:highlight w:val="none"/>
              </w:rPr>
              <w:t xml:space="preserve">    </w:t>
            </w: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邀请招标</w:t>
            </w:r>
          </w:p>
        </w:tc>
      </w:tr>
      <w:tr w14:paraId="02C2D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2009" w:type="dxa"/>
            <w:gridSpan w:val="2"/>
            <w:noWrap w:val="0"/>
            <w:vAlign w:val="center"/>
          </w:tcPr>
          <w:p w14:paraId="5C2687C6">
            <w:pPr>
              <w:keepNext w:val="0"/>
              <w:keepLines w:val="0"/>
              <w:widowControl/>
              <w:suppressLineNumbers w:val="0"/>
              <w:spacing w:before="0" w:beforeAutospacing="0" w:after="0" w:afterAutospacing="0" w:line="360" w:lineRule="exact"/>
              <w:ind w:left="0" w:right="0"/>
              <w:jc w:val="center"/>
              <w:rPr>
                <w:rFonts w:hint="default" w:ascii="Calibri" w:hAnsi="Calibri"/>
                <w:color w:val="auto"/>
                <w:kern w:val="0"/>
                <w:highlight w:val="none"/>
              </w:rPr>
            </w:pPr>
            <w:r>
              <w:rPr>
                <w:rFonts w:hint="eastAsia" w:ascii="Calibri" w:hAnsi="宋体" w:cs="宋体"/>
                <w:color w:val="auto"/>
                <w:kern w:val="0"/>
                <w:highlight w:val="none"/>
              </w:rPr>
              <w:t>招标代理机构</w:t>
            </w:r>
          </w:p>
        </w:tc>
        <w:tc>
          <w:tcPr>
            <w:tcW w:w="7740" w:type="dxa"/>
            <w:gridSpan w:val="6"/>
            <w:noWrap w:val="0"/>
            <w:tcMar>
              <w:top w:w="0" w:type="dxa"/>
              <w:left w:w="75" w:type="dxa"/>
              <w:bottom w:w="0" w:type="dxa"/>
              <w:right w:w="0" w:type="dxa"/>
            </w:tcMar>
            <w:vAlign w:val="center"/>
          </w:tcPr>
          <w:p w14:paraId="4945429B">
            <w:pPr>
              <w:keepNext w:val="0"/>
              <w:keepLines w:val="0"/>
              <w:widowControl/>
              <w:suppressLineNumbers w:val="0"/>
              <w:spacing w:before="0" w:beforeAutospacing="0" w:after="0" w:afterAutospacing="0" w:line="360" w:lineRule="exact"/>
              <w:ind w:left="0" w:right="0"/>
              <w:jc w:val="left"/>
              <w:rPr>
                <w:rFonts w:hint="default" w:ascii="Calibri" w:hAnsi="Calibri"/>
                <w:color w:val="auto"/>
                <w:kern w:val="0"/>
                <w:highlight w:val="none"/>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347CB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2BD26DB1">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结构类型及规模</w:t>
            </w:r>
          </w:p>
        </w:tc>
        <w:tc>
          <w:tcPr>
            <w:tcW w:w="7740" w:type="dxa"/>
            <w:gridSpan w:val="6"/>
            <w:noWrap w:val="0"/>
            <w:tcMar>
              <w:top w:w="0" w:type="dxa"/>
              <w:left w:w="75" w:type="dxa"/>
              <w:bottom w:w="0" w:type="dxa"/>
              <w:right w:w="0" w:type="dxa"/>
            </w:tcMar>
            <w:vAlign w:val="center"/>
          </w:tcPr>
          <w:p w14:paraId="5696B479">
            <w:pPr>
              <w:keepNext w:val="0"/>
              <w:keepLines w:val="0"/>
              <w:widowControl/>
              <w:suppressLineNumbers w:val="0"/>
              <w:spacing w:before="0" w:beforeAutospacing="0" w:after="0" w:afterAutospacing="0" w:line="360" w:lineRule="exact"/>
              <w:ind w:left="0" w:right="185" w:rightChars="88"/>
              <w:jc w:val="left"/>
              <w:rPr>
                <w:rFonts w:hint="default" w:ascii="Calibri" w:hAnsi="Calibri" w:eastAsia="宋体" w:cs="Times New Roman"/>
                <w:color w:val="auto"/>
                <w:kern w:val="0"/>
                <w:highlight w:val="none"/>
              </w:rPr>
            </w:pPr>
            <w:r>
              <w:rPr>
                <w:rFonts w:hint="eastAsia" w:ascii="仿宋_GB2312" w:hAnsi="宋体" w:eastAsia="宋体" w:cs="Times New Roman"/>
                <w:color w:val="auto"/>
                <w:highlight w:val="none"/>
              </w:rPr>
              <w:t>（房建</w:t>
            </w:r>
            <w:r>
              <w:rPr>
                <w:rFonts w:hint="default" w:ascii="仿宋_GB2312" w:hAnsi="宋体" w:eastAsia="宋体" w:cs="Times New Roman"/>
                <w:color w:val="auto"/>
                <w:highlight w:val="none"/>
              </w:rPr>
              <w:t>项目</w:t>
            </w:r>
            <w:r>
              <w:rPr>
                <w:rFonts w:hint="eastAsia" w:ascii="仿宋_GB2312" w:hAnsi="宋体" w:eastAsia="宋体" w:cs="Times New Roman"/>
                <w:color w:val="auto"/>
                <w:highlight w:val="none"/>
              </w:rPr>
              <w:t>应</w:t>
            </w:r>
            <w:r>
              <w:rPr>
                <w:rFonts w:hint="default" w:ascii="仿宋_GB2312" w:hAnsi="宋体" w:eastAsia="宋体" w:cs="Times New Roman"/>
                <w:color w:val="auto"/>
                <w:highlight w:val="none"/>
              </w:rPr>
              <w:t>注明结构、层数、</w:t>
            </w:r>
            <w:r>
              <w:rPr>
                <w:rFonts w:hint="eastAsia" w:ascii="仿宋_GB2312" w:hAnsi="宋体" w:eastAsia="宋体" w:cs="Times New Roman"/>
                <w:color w:val="auto"/>
                <w:highlight w:val="none"/>
              </w:rPr>
              <w:t>最大</w:t>
            </w:r>
            <w:r>
              <w:rPr>
                <w:rFonts w:hint="default" w:ascii="仿宋_GB2312" w:hAnsi="宋体" w:eastAsia="宋体" w:cs="Times New Roman"/>
                <w:color w:val="auto"/>
                <w:highlight w:val="none"/>
              </w:rPr>
              <w:t>单跨</w:t>
            </w:r>
            <w:r>
              <w:rPr>
                <w:rFonts w:hint="eastAsia" w:ascii="仿宋_GB2312" w:hAnsi="宋体" w:eastAsia="宋体" w:cs="Times New Roman"/>
                <w:color w:val="auto"/>
                <w:highlight w:val="none"/>
              </w:rPr>
              <w:t>、</w:t>
            </w:r>
            <w:r>
              <w:rPr>
                <w:rFonts w:hint="default" w:ascii="仿宋_GB2312" w:hAnsi="宋体" w:eastAsia="宋体" w:cs="Times New Roman"/>
                <w:color w:val="auto"/>
                <w:highlight w:val="none"/>
              </w:rPr>
              <w:t>建筑高度、</w:t>
            </w:r>
            <w:r>
              <w:rPr>
                <w:rFonts w:hint="eastAsia" w:ascii="仿宋_GB2312" w:hAnsi="宋体" w:eastAsia="宋体" w:cs="Times New Roman"/>
                <w:color w:val="auto"/>
                <w:highlight w:val="none"/>
              </w:rPr>
              <w:t>建筑</w:t>
            </w:r>
            <w:r>
              <w:rPr>
                <w:rFonts w:hint="default" w:ascii="仿宋_GB2312" w:hAnsi="宋体" w:eastAsia="宋体" w:cs="Times New Roman"/>
                <w:color w:val="auto"/>
                <w:highlight w:val="none"/>
              </w:rPr>
              <w:t>面积、是否</w:t>
            </w:r>
            <w:r>
              <w:rPr>
                <w:rFonts w:hint="eastAsia" w:ascii="仿宋_GB2312" w:hAnsi="宋体" w:eastAsia="宋体" w:cs="Times New Roman"/>
                <w:color w:val="auto"/>
                <w:highlight w:val="none"/>
              </w:rPr>
              <w:t>为</w:t>
            </w:r>
            <w:r>
              <w:rPr>
                <w:rFonts w:hint="default" w:ascii="仿宋_GB2312" w:hAnsi="宋体" w:eastAsia="宋体" w:cs="Times New Roman"/>
                <w:color w:val="auto"/>
                <w:highlight w:val="none"/>
              </w:rPr>
              <w:t>装配式</w:t>
            </w:r>
            <w:r>
              <w:rPr>
                <w:rFonts w:hint="eastAsia" w:ascii="仿宋_GB2312" w:hAnsi="宋体" w:eastAsia="宋体" w:cs="Times New Roman"/>
                <w:color w:val="auto"/>
                <w:highlight w:val="none"/>
              </w:rPr>
              <w:t>建筑</w:t>
            </w:r>
            <w:r>
              <w:rPr>
                <w:rFonts w:hint="default" w:ascii="仿宋_GB2312" w:hAnsi="宋体" w:eastAsia="宋体" w:cs="Times New Roman"/>
                <w:color w:val="auto"/>
                <w:highlight w:val="none"/>
              </w:rPr>
              <w:t>等</w:t>
            </w:r>
            <w:r>
              <w:rPr>
                <w:rFonts w:hint="eastAsia" w:ascii="仿宋_GB2312" w:hAnsi="宋体" w:eastAsia="宋体" w:cs="Times New Roman"/>
                <w:color w:val="auto"/>
                <w:highlight w:val="none"/>
              </w:rPr>
              <w:t>；</w:t>
            </w:r>
            <w:r>
              <w:rPr>
                <w:rFonts w:hint="default" w:ascii="仿宋_GB2312" w:hAnsi="宋体" w:eastAsia="宋体" w:cs="Times New Roman"/>
                <w:color w:val="auto"/>
                <w:highlight w:val="none"/>
              </w:rPr>
              <w:t>桥梁</w:t>
            </w:r>
            <w:r>
              <w:rPr>
                <w:rFonts w:hint="eastAsia" w:ascii="仿宋_GB2312" w:hAnsi="宋体" w:eastAsia="宋体" w:cs="Times New Roman"/>
                <w:color w:val="auto"/>
                <w:highlight w:val="none"/>
              </w:rPr>
              <w:t>应</w:t>
            </w:r>
            <w:r>
              <w:rPr>
                <w:rFonts w:hint="default" w:ascii="仿宋_GB2312" w:hAnsi="宋体" w:eastAsia="宋体" w:cs="Times New Roman"/>
                <w:color w:val="auto"/>
                <w:highlight w:val="none"/>
              </w:rPr>
              <w:t>注明</w:t>
            </w:r>
            <w:r>
              <w:rPr>
                <w:rFonts w:hint="eastAsia" w:ascii="仿宋_GB2312" w:hAnsi="宋体" w:eastAsia="宋体" w:cs="Times New Roman"/>
                <w:color w:val="auto"/>
                <w:highlight w:val="none"/>
              </w:rPr>
              <w:t>长度、</w:t>
            </w:r>
            <w:r>
              <w:rPr>
                <w:rFonts w:hint="default" w:ascii="仿宋_GB2312" w:hAnsi="宋体" w:eastAsia="宋体" w:cs="Times New Roman"/>
                <w:color w:val="auto"/>
                <w:highlight w:val="none"/>
              </w:rPr>
              <w:t>最大单跨、宽度</w:t>
            </w:r>
            <w:r>
              <w:rPr>
                <w:rFonts w:hint="eastAsia" w:ascii="仿宋_GB2312" w:hAnsi="宋体" w:eastAsia="宋体" w:cs="Times New Roman"/>
                <w:color w:val="auto"/>
                <w:highlight w:val="none"/>
              </w:rPr>
              <w:t>等；</w:t>
            </w:r>
            <w:r>
              <w:rPr>
                <w:rFonts w:hint="default" w:ascii="仿宋_GB2312" w:hAnsi="宋体" w:eastAsia="宋体" w:cs="Times New Roman"/>
                <w:color w:val="auto"/>
                <w:highlight w:val="none"/>
              </w:rPr>
              <w:t>市政道路应注明道路类型</w:t>
            </w:r>
            <w:r>
              <w:rPr>
                <w:rFonts w:hint="eastAsia" w:ascii="仿宋_GB2312" w:hAnsi="宋体" w:eastAsia="宋体" w:cs="Times New Roman"/>
                <w:color w:val="auto"/>
                <w:highlight w:val="none"/>
              </w:rPr>
              <w:t>、长度</w:t>
            </w:r>
            <w:r>
              <w:rPr>
                <w:rFonts w:hint="default" w:ascii="仿宋_GB2312" w:hAnsi="宋体" w:eastAsia="宋体" w:cs="Times New Roman"/>
                <w:color w:val="auto"/>
                <w:highlight w:val="none"/>
              </w:rPr>
              <w:t>、宽度</w:t>
            </w:r>
            <w:r>
              <w:rPr>
                <w:rFonts w:hint="eastAsia" w:ascii="仿宋_GB2312" w:hAnsi="宋体" w:eastAsia="宋体" w:cs="Times New Roman"/>
                <w:color w:val="auto"/>
                <w:highlight w:val="none"/>
              </w:rPr>
              <w:t>等）</w:t>
            </w:r>
          </w:p>
        </w:tc>
      </w:tr>
      <w:tr w14:paraId="0B4D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1EDB4074">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开标时间</w:t>
            </w:r>
          </w:p>
        </w:tc>
        <w:tc>
          <w:tcPr>
            <w:tcW w:w="3294" w:type="dxa"/>
            <w:gridSpan w:val="3"/>
            <w:noWrap w:val="0"/>
            <w:tcMar>
              <w:top w:w="0" w:type="dxa"/>
              <w:left w:w="75" w:type="dxa"/>
              <w:bottom w:w="0" w:type="dxa"/>
              <w:right w:w="0" w:type="dxa"/>
            </w:tcMar>
            <w:vAlign w:val="center"/>
          </w:tcPr>
          <w:p w14:paraId="3C34DEDA">
            <w:pPr>
              <w:keepNext w:val="0"/>
              <w:keepLines w:val="0"/>
              <w:widowControl/>
              <w:suppressLineNumbers w:val="0"/>
              <w:spacing w:before="0" w:beforeAutospacing="0" w:after="0" w:afterAutospacing="0" w:line="360" w:lineRule="exact"/>
              <w:ind w:left="0" w:right="0" w:firstLine="1050" w:firstLineChars="500"/>
              <w:jc w:val="center"/>
              <w:rPr>
                <w:rFonts w:hint="default" w:ascii="Calibri" w:hAnsi="宋体" w:eastAsia="宋体" w:cs="Times New Roman"/>
                <w:color w:val="auto"/>
                <w:kern w:val="0"/>
                <w:highlight w:val="none"/>
              </w:rPr>
            </w:pPr>
          </w:p>
        </w:tc>
        <w:tc>
          <w:tcPr>
            <w:tcW w:w="1440" w:type="dxa"/>
            <w:gridSpan w:val="2"/>
            <w:noWrap w:val="0"/>
            <w:vAlign w:val="center"/>
          </w:tcPr>
          <w:p w14:paraId="0FF77ABF">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开标地点</w:t>
            </w:r>
          </w:p>
        </w:tc>
        <w:tc>
          <w:tcPr>
            <w:tcW w:w="3006" w:type="dxa"/>
            <w:noWrap w:val="0"/>
            <w:tcMar>
              <w:top w:w="0" w:type="dxa"/>
              <w:left w:w="75" w:type="dxa"/>
              <w:bottom w:w="0" w:type="dxa"/>
              <w:right w:w="0" w:type="dxa"/>
            </w:tcMar>
            <w:vAlign w:val="center"/>
          </w:tcPr>
          <w:p w14:paraId="6018605C">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p>
        </w:tc>
      </w:tr>
      <w:tr w14:paraId="5E53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0E224D89">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公示开始时间</w:t>
            </w:r>
          </w:p>
        </w:tc>
        <w:tc>
          <w:tcPr>
            <w:tcW w:w="3294" w:type="dxa"/>
            <w:gridSpan w:val="3"/>
            <w:noWrap w:val="0"/>
            <w:tcMar>
              <w:top w:w="0" w:type="dxa"/>
              <w:left w:w="75" w:type="dxa"/>
              <w:bottom w:w="0" w:type="dxa"/>
              <w:right w:w="0" w:type="dxa"/>
            </w:tcMar>
            <w:vAlign w:val="center"/>
          </w:tcPr>
          <w:p w14:paraId="66D23D9F">
            <w:pPr>
              <w:keepNext w:val="0"/>
              <w:keepLines w:val="0"/>
              <w:widowControl/>
              <w:suppressLineNumbers w:val="0"/>
              <w:spacing w:before="0" w:beforeAutospacing="0" w:after="0" w:afterAutospacing="0" w:line="360" w:lineRule="exact"/>
              <w:ind w:left="0" w:right="0" w:firstLine="1050" w:firstLineChars="50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年</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月</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日</w:t>
            </w:r>
          </w:p>
        </w:tc>
        <w:tc>
          <w:tcPr>
            <w:tcW w:w="1440" w:type="dxa"/>
            <w:gridSpan w:val="2"/>
            <w:noWrap w:val="0"/>
            <w:vAlign w:val="center"/>
          </w:tcPr>
          <w:p w14:paraId="584BDB40">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公示截止时间</w:t>
            </w:r>
          </w:p>
        </w:tc>
        <w:tc>
          <w:tcPr>
            <w:tcW w:w="3006" w:type="dxa"/>
            <w:noWrap w:val="0"/>
            <w:tcMar>
              <w:top w:w="0" w:type="dxa"/>
              <w:left w:w="75" w:type="dxa"/>
              <w:bottom w:w="0" w:type="dxa"/>
              <w:right w:w="0" w:type="dxa"/>
            </w:tcMar>
            <w:vAlign w:val="center"/>
          </w:tcPr>
          <w:p w14:paraId="325D3ED6">
            <w:pPr>
              <w:keepNext w:val="0"/>
              <w:keepLines w:val="0"/>
              <w:widowControl/>
              <w:suppressLineNumbers w:val="0"/>
              <w:spacing w:before="0" w:beforeAutospacing="0" w:after="0" w:afterAutospacing="0" w:line="360" w:lineRule="exact"/>
              <w:ind w:left="0" w:right="0" w:firstLine="1050" w:firstLineChars="50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年</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月</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日</w:t>
            </w:r>
          </w:p>
        </w:tc>
      </w:tr>
      <w:tr w14:paraId="04E7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 w:hRule="atLeast"/>
          <w:jc w:val="center"/>
        </w:trPr>
        <w:tc>
          <w:tcPr>
            <w:tcW w:w="2009" w:type="dxa"/>
            <w:gridSpan w:val="2"/>
            <w:vMerge w:val="restart"/>
            <w:noWrap w:val="0"/>
            <w:vAlign w:val="center"/>
          </w:tcPr>
          <w:p w14:paraId="330D8A10">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预中标人</w:t>
            </w:r>
          </w:p>
        </w:tc>
        <w:tc>
          <w:tcPr>
            <w:tcW w:w="2580" w:type="dxa"/>
            <w:gridSpan w:val="2"/>
            <w:vMerge w:val="restart"/>
            <w:noWrap w:val="0"/>
            <w:tcMar>
              <w:top w:w="0" w:type="dxa"/>
              <w:left w:w="75" w:type="dxa"/>
              <w:bottom w:w="0" w:type="dxa"/>
              <w:right w:w="0" w:type="dxa"/>
            </w:tcMar>
            <w:vAlign w:val="center"/>
          </w:tcPr>
          <w:p w14:paraId="5E85C8D9">
            <w:pPr>
              <w:keepNext w:val="0"/>
              <w:keepLines w:val="0"/>
              <w:widowControl/>
              <w:suppressLineNumbers w:val="0"/>
              <w:spacing w:before="0" w:beforeAutospacing="0" w:after="0" w:afterAutospacing="0" w:line="360" w:lineRule="exact"/>
              <w:ind w:left="0" w:right="0"/>
              <w:jc w:val="righ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（非联合体）</w:t>
            </w:r>
          </w:p>
        </w:tc>
        <w:tc>
          <w:tcPr>
            <w:tcW w:w="1480" w:type="dxa"/>
            <w:gridSpan w:val="2"/>
            <w:vMerge w:val="restart"/>
            <w:noWrap w:val="0"/>
            <w:vAlign w:val="center"/>
          </w:tcPr>
          <w:p w14:paraId="1B541FA9">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联合体</w:t>
            </w:r>
          </w:p>
        </w:tc>
        <w:tc>
          <w:tcPr>
            <w:tcW w:w="3680" w:type="dxa"/>
            <w:gridSpan w:val="2"/>
            <w:noWrap w:val="0"/>
            <w:vAlign w:val="center"/>
          </w:tcPr>
          <w:p w14:paraId="05F5057A">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牵头人：</w:t>
            </w:r>
          </w:p>
        </w:tc>
      </w:tr>
      <w:tr w14:paraId="2ABC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2009" w:type="dxa"/>
            <w:gridSpan w:val="2"/>
            <w:vMerge w:val="continue"/>
            <w:noWrap w:val="0"/>
            <w:vAlign w:val="center"/>
          </w:tcPr>
          <w:p w14:paraId="50AC8738">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p>
        </w:tc>
        <w:tc>
          <w:tcPr>
            <w:tcW w:w="2580" w:type="dxa"/>
            <w:gridSpan w:val="2"/>
            <w:vMerge w:val="continue"/>
            <w:noWrap w:val="0"/>
            <w:tcMar>
              <w:top w:w="0" w:type="dxa"/>
              <w:left w:w="75" w:type="dxa"/>
              <w:bottom w:w="0" w:type="dxa"/>
              <w:right w:w="0" w:type="dxa"/>
            </w:tcMar>
            <w:vAlign w:val="center"/>
          </w:tcPr>
          <w:p w14:paraId="38B0EEBE">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480" w:type="dxa"/>
            <w:gridSpan w:val="2"/>
            <w:vMerge w:val="continue"/>
            <w:noWrap w:val="0"/>
            <w:vAlign w:val="center"/>
          </w:tcPr>
          <w:p w14:paraId="0F7DD47B">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3680" w:type="dxa"/>
            <w:gridSpan w:val="2"/>
            <w:noWrap w:val="0"/>
            <w:vAlign w:val="center"/>
          </w:tcPr>
          <w:p w14:paraId="6A94FBE2">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成员单位：</w:t>
            </w:r>
          </w:p>
        </w:tc>
      </w:tr>
      <w:tr w14:paraId="27C7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restart"/>
            <w:noWrap w:val="0"/>
            <w:vAlign w:val="center"/>
          </w:tcPr>
          <w:p w14:paraId="5AA83B89">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中标候选人情况</w:t>
            </w:r>
          </w:p>
        </w:tc>
        <w:tc>
          <w:tcPr>
            <w:tcW w:w="1206" w:type="dxa"/>
            <w:vMerge w:val="restart"/>
            <w:noWrap w:val="0"/>
            <w:vAlign w:val="center"/>
          </w:tcPr>
          <w:p w14:paraId="7F5F89D9">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第一中标</w:t>
            </w:r>
          </w:p>
          <w:p w14:paraId="4A09AEFB">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候选人</w:t>
            </w:r>
          </w:p>
        </w:tc>
        <w:tc>
          <w:tcPr>
            <w:tcW w:w="2359" w:type="dxa"/>
            <w:noWrap w:val="0"/>
            <w:tcMar>
              <w:top w:w="0" w:type="dxa"/>
              <w:left w:w="75" w:type="dxa"/>
              <w:bottom w:w="0" w:type="dxa"/>
              <w:right w:w="0" w:type="dxa"/>
            </w:tcMar>
            <w:vAlign w:val="center"/>
          </w:tcPr>
          <w:p w14:paraId="7DC298A4">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单位名称</w:t>
            </w:r>
          </w:p>
        </w:tc>
        <w:tc>
          <w:tcPr>
            <w:tcW w:w="5381" w:type="dxa"/>
            <w:gridSpan w:val="5"/>
            <w:noWrap w:val="0"/>
            <w:tcMar>
              <w:top w:w="0" w:type="dxa"/>
              <w:left w:w="75" w:type="dxa"/>
              <w:bottom w:w="0" w:type="dxa"/>
              <w:right w:w="0" w:type="dxa"/>
            </w:tcMar>
            <w:vAlign w:val="center"/>
          </w:tcPr>
          <w:p w14:paraId="7AB99100">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399A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0712BDB">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p>
        </w:tc>
        <w:tc>
          <w:tcPr>
            <w:tcW w:w="1206" w:type="dxa"/>
            <w:vMerge w:val="continue"/>
            <w:noWrap w:val="0"/>
            <w:vAlign w:val="center"/>
          </w:tcPr>
          <w:p w14:paraId="6E1CC89D">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p>
        </w:tc>
        <w:tc>
          <w:tcPr>
            <w:tcW w:w="2359" w:type="dxa"/>
            <w:noWrap w:val="0"/>
            <w:tcMar>
              <w:top w:w="0" w:type="dxa"/>
              <w:left w:w="75" w:type="dxa"/>
              <w:bottom w:w="0" w:type="dxa"/>
              <w:right w:w="0" w:type="dxa"/>
            </w:tcMar>
            <w:vAlign w:val="center"/>
          </w:tcPr>
          <w:p w14:paraId="03D51E51">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r>
              <w:rPr>
                <w:rFonts w:hint="eastAsia" w:ascii="Calibri" w:hAnsi="宋体" w:eastAsia="宋体" w:cs="宋体"/>
                <w:color w:val="auto"/>
                <w:kern w:val="0"/>
                <w:highlight w:val="none"/>
              </w:rPr>
              <w:t>单位资质</w:t>
            </w:r>
          </w:p>
        </w:tc>
        <w:tc>
          <w:tcPr>
            <w:tcW w:w="5381" w:type="dxa"/>
            <w:gridSpan w:val="5"/>
            <w:noWrap w:val="0"/>
            <w:tcMar>
              <w:top w:w="0" w:type="dxa"/>
              <w:left w:w="75" w:type="dxa"/>
              <w:bottom w:w="0" w:type="dxa"/>
              <w:right w:w="0" w:type="dxa"/>
            </w:tcMar>
            <w:vAlign w:val="center"/>
          </w:tcPr>
          <w:p w14:paraId="1E2AB01F">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0DB9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CA9903C">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6F389DD4">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30281D9F">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投标总价</w:t>
            </w:r>
          </w:p>
        </w:tc>
        <w:tc>
          <w:tcPr>
            <w:tcW w:w="5381" w:type="dxa"/>
            <w:gridSpan w:val="5"/>
            <w:noWrap w:val="0"/>
            <w:tcMar>
              <w:top w:w="0" w:type="dxa"/>
              <w:left w:w="75" w:type="dxa"/>
              <w:bottom w:w="0" w:type="dxa"/>
              <w:right w:w="0" w:type="dxa"/>
            </w:tcMar>
            <w:vAlign w:val="center"/>
          </w:tcPr>
          <w:p w14:paraId="3F8238E8">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11A2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7BD4D3D">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2FFF6C25">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1B64D25D">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工期</w:t>
            </w:r>
          </w:p>
        </w:tc>
        <w:tc>
          <w:tcPr>
            <w:tcW w:w="935" w:type="dxa"/>
            <w:gridSpan w:val="2"/>
            <w:noWrap w:val="0"/>
            <w:tcMar>
              <w:top w:w="0" w:type="dxa"/>
              <w:left w:w="75" w:type="dxa"/>
              <w:bottom w:w="0" w:type="dxa"/>
              <w:right w:w="0" w:type="dxa"/>
            </w:tcMar>
            <w:vAlign w:val="center"/>
          </w:tcPr>
          <w:p w14:paraId="1DF0D620">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440" w:type="dxa"/>
            <w:gridSpan w:val="2"/>
            <w:noWrap w:val="0"/>
            <w:tcMar>
              <w:top w:w="0" w:type="dxa"/>
              <w:left w:w="75" w:type="dxa"/>
              <w:bottom w:w="0" w:type="dxa"/>
              <w:right w:w="0" w:type="dxa"/>
            </w:tcMar>
            <w:vAlign w:val="center"/>
          </w:tcPr>
          <w:p w14:paraId="1B877A68">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质量等级</w:t>
            </w:r>
          </w:p>
        </w:tc>
        <w:tc>
          <w:tcPr>
            <w:tcW w:w="3006" w:type="dxa"/>
            <w:noWrap w:val="0"/>
            <w:tcMar>
              <w:top w:w="0" w:type="dxa"/>
              <w:left w:w="75" w:type="dxa"/>
              <w:bottom w:w="0" w:type="dxa"/>
              <w:right w:w="0" w:type="dxa"/>
            </w:tcMar>
            <w:vAlign w:val="center"/>
          </w:tcPr>
          <w:p w14:paraId="069738B8">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p>
        </w:tc>
      </w:tr>
      <w:tr w14:paraId="3E94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02631188">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60EED76F">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7F1A61BE">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项目经理</w:t>
            </w:r>
          </w:p>
        </w:tc>
        <w:tc>
          <w:tcPr>
            <w:tcW w:w="5381" w:type="dxa"/>
            <w:gridSpan w:val="5"/>
            <w:noWrap w:val="0"/>
            <w:tcMar>
              <w:top w:w="0" w:type="dxa"/>
              <w:left w:w="75" w:type="dxa"/>
              <w:bottom w:w="0" w:type="dxa"/>
              <w:right w:w="0" w:type="dxa"/>
            </w:tcMar>
            <w:vAlign w:val="center"/>
          </w:tcPr>
          <w:p w14:paraId="51AFD97A">
            <w:pPr>
              <w:keepNext w:val="0"/>
              <w:keepLines w:val="0"/>
              <w:widowControl/>
              <w:suppressLineNumbers w:val="0"/>
              <w:spacing w:before="0" w:beforeAutospacing="0" w:after="0" w:afterAutospacing="0" w:line="360" w:lineRule="exact"/>
              <w:ind w:left="0" w:right="0"/>
              <w:jc w:val="right"/>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（注册编号：</w:t>
            </w:r>
            <w:r>
              <w:rPr>
                <w:rFonts w:hint="default" w:ascii="Calibri" w:hAnsi="Calibri" w:eastAsia="宋体" w:cs="Times New Roman"/>
                <w:color w:val="auto"/>
                <w:kern w:val="0"/>
                <w:highlight w:val="none"/>
                <w:u w:val="single"/>
              </w:rPr>
              <w:t xml:space="preserve">       </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；身份证号：</w:t>
            </w:r>
            <w:r>
              <w:rPr>
                <w:rFonts w:hint="default" w:ascii="Calibri" w:hAnsi="Calibri" w:eastAsia="宋体" w:cs="Times New Roman"/>
                <w:color w:val="auto"/>
                <w:kern w:val="0"/>
                <w:highlight w:val="none"/>
                <w:u w:val="single"/>
              </w:rPr>
              <w:t xml:space="preserve">        </w:t>
            </w:r>
            <w:r>
              <w:rPr>
                <w:rFonts w:hint="eastAsia" w:ascii="Calibri" w:hAnsi="宋体" w:eastAsia="宋体" w:cs="宋体"/>
                <w:color w:val="auto"/>
                <w:kern w:val="0"/>
                <w:highlight w:val="none"/>
              </w:rPr>
              <w:t>）</w:t>
            </w:r>
          </w:p>
        </w:tc>
      </w:tr>
      <w:tr w14:paraId="4EA0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56D5036C">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19642BEC">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38CC303E">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专职安全生产管理人员</w:t>
            </w:r>
          </w:p>
        </w:tc>
        <w:tc>
          <w:tcPr>
            <w:tcW w:w="5381" w:type="dxa"/>
            <w:gridSpan w:val="5"/>
            <w:noWrap w:val="0"/>
            <w:tcMar>
              <w:top w:w="0" w:type="dxa"/>
              <w:left w:w="75" w:type="dxa"/>
              <w:bottom w:w="0" w:type="dxa"/>
              <w:right w:w="0" w:type="dxa"/>
            </w:tcMar>
            <w:vAlign w:val="center"/>
          </w:tcPr>
          <w:p w14:paraId="45A96DC2">
            <w:pPr>
              <w:keepNext w:val="0"/>
              <w:keepLines w:val="0"/>
              <w:widowControl/>
              <w:suppressLineNumbers w:val="0"/>
              <w:spacing w:before="0" w:beforeAutospacing="0" w:after="0" w:afterAutospacing="0" w:line="360" w:lineRule="exact"/>
              <w:ind w:left="0" w:right="0"/>
              <w:jc w:val="right"/>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（身份证号：</w:t>
            </w:r>
            <w:r>
              <w:rPr>
                <w:rFonts w:hint="default" w:ascii="Calibri" w:hAnsi="宋体" w:eastAsia="宋体" w:cs="Times New Roman"/>
                <w:color w:val="auto"/>
                <w:kern w:val="0"/>
                <w:highlight w:val="none"/>
                <w:u w:val="single"/>
              </w:rPr>
              <w:t xml:space="preserve">         </w:t>
            </w:r>
            <w:r>
              <w:rPr>
                <w:rFonts w:hint="eastAsia" w:ascii="Calibri" w:hAnsi="宋体" w:eastAsia="宋体" w:cs="宋体"/>
                <w:color w:val="auto"/>
                <w:kern w:val="0"/>
                <w:highlight w:val="none"/>
              </w:rPr>
              <w:t>）【全部拟投入专职安全生产管理人员】</w:t>
            </w:r>
          </w:p>
        </w:tc>
      </w:tr>
      <w:tr w14:paraId="1BCB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1EA4D96C">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0B16C620">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25BB52D2">
            <w:pPr>
              <w:keepNext w:val="0"/>
              <w:keepLines w:val="0"/>
              <w:widowControl/>
              <w:suppressLineNumbers w:val="0"/>
              <w:spacing w:before="0" w:beforeAutospacing="0" w:after="0" w:afterAutospacing="0" w:line="360" w:lineRule="exact"/>
              <w:ind w:left="0" w:right="0"/>
              <w:jc w:val="center"/>
              <w:rPr>
                <w:rFonts w:hint="eastAsia" w:ascii="Calibri" w:hAnsi="宋体" w:eastAsia="宋体" w:cs="Times New Roman"/>
                <w:color w:val="auto"/>
                <w:kern w:val="0"/>
                <w:highlight w:val="none"/>
              </w:rPr>
            </w:pPr>
            <w:r>
              <w:rPr>
                <w:rFonts w:hint="eastAsia" w:ascii="Calibri" w:hAnsi="宋体" w:eastAsia="宋体" w:cs="宋体"/>
                <w:color w:val="auto"/>
                <w:kern w:val="0"/>
                <w:highlight w:val="none"/>
              </w:rPr>
              <w:t>投标所用企业业绩、企业</w:t>
            </w:r>
            <w:r>
              <w:rPr>
                <w:rFonts w:hint="eastAsia" w:ascii="Calibri" w:hAnsi="宋体" w:eastAsia="宋体" w:cs="宋体"/>
                <w:color w:val="auto"/>
                <w:kern w:val="0"/>
                <w:highlight w:val="none"/>
                <w:lang w:eastAsia="zh-CN"/>
              </w:rPr>
              <w:t>诚信综合评价分</w:t>
            </w:r>
            <w:r>
              <w:rPr>
                <w:rFonts w:hint="eastAsia" w:ascii="Calibri" w:hAnsi="宋体" w:eastAsia="宋体" w:cs="宋体"/>
                <w:color w:val="auto"/>
                <w:kern w:val="0"/>
                <w:highlight w:val="none"/>
              </w:rPr>
              <w:t>（</w:t>
            </w:r>
            <w:r>
              <w:rPr>
                <w:rFonts w:hint="default" w:ascii="Calibri" w:hAnsi="宋体" w:eastAsia="宋体" w:cs="宋体"/>
                <w:color w:val="auto"/>
                <w:kern w:val="0"/>
                <w:highlight w:val="none"/>
              </w:rPr>
              <w:t>包括资格要求和</w:t>
            </w:r>
            <w:r>
              <w:rPr>
                <w:rFonts w:hint="eastAsia" w:ascii="Calibri" w:hAnsi="宋体" w:cs="宋体"/>
                <w:color w:val="auto"/>
                <w:kern w:val="0"/>
                <w:highlight w:val="none"/>
                <w:lang w:eastAsia="zh-CN"/>
              </w:rPr>
              <w:t>加分业绩、诚信综合评价分</w:t>
            </w:r>
            <w:r>
              <w:rPr>
                <w:rFonts w:hint="default" w:ascii="Calibri" w:hAnsi="宋体" w:eastAsia="宋体" w:cs="宋体"/>
                <w:color w:val="auto"/>
                <w:kern w:val="0"/>
                <w:highlight w:val="none"/>
              </w:rPr>
              <w:t>）</w:t>
            </w:r>
          </w:p>
        </w:tc>
        <w:tc>
          <w:tcPr>
            <w:tcW w:w="5381" w:type="dxa"/>
            <w:gridSpan w:val="5"/>
            <w:noWrap w:val="0"/>
            <w:tcMar>
              <w:top w:w="0" w:type="dxa"/>
              <w:left w:w="75" w:type="dxa"/>
              <w:bottom w:w="0" w:type="dxa"/>
              <w:right w:w="0" w:type="dxa"/>
            </w:tcMar>
            <w:vAlign w:val="center"/>
          </w:tcPr>
          <w:p w14:paraId="5172EB15">
            <w:pPr>
              <w:keepNext w:val="0"/>
              <w:keepLines w:val="0"/>
              <w:widowControl/>
              <w:suppressLineNumbers w:val="0"/>
              <w:spacing w:before="0" w:beforeAutospacing="0" w:after="0" w:afterAutospacing="0" w:line="360" w:lineRule="exact"/>
              <w:ind w:left="0" w:right="0"/>
              <w:jc w:val="right"/>
              <w:rPr>
                <w:rFonts w:hint="default" w:ascii="Calibri" w:hAnsi="宋体" w:eastAsia="宋体" w:cs="Times New Roman"/>
                <w:color w:val="auto"/>
                <w:kern w:val="0"/>
                <w:highlight w:val="none"/>
              </w:rPr>
            </w:pPr>
          </w:p>
        </w:tc>
      </w:tr>
      <w:tr w14:paraId="36ACE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C332865">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restart"/>
            <w:noWrap w:val="0"/>
            <w:vAlign w:val="center"/>
          </w:tcPr>
          <w:p w14:paraId="4DB37804">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第二中标</w:t>
            </w:r>
          </w:p>
          <w:p w14:paraId="77C769EE">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候选人</w:t>
            </w:r>
          </w:p>
        </w:tc>
        <w:tc>
          <w:tcPr>
            <w:tcW w:w="2359" w:type="dxa"/>
            <w:noWrap w:val="0"/>
            <w:tcMar>
              <w:top w:w="0" w:type="dxa"/>
              <w:left w:w="75" w:type="dxa"/>
              <w:bottom w:w="0" w:type="dxa"/>
              <w:right w:w="0" w:type="dxa"/>
            </w:tcMar>
            <w:vAlign w:val="center"/>
          </w:tcPr>
          <w:p w14:paraId="656A4386">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单位名称</w:t>
            </w:r>
          </w:p>
        </w:tc>
        <w:tc>
          <w:tcPr>
            <w:tcW w:w="5381" w:type="dxa"/>
            <w:gridSpan w:val="5"/>
            <w:noWrap w:val="0"/>
            <w:tcMar>
              <w:top w:w="0" w:type="dxa"/>
              <w:left w:w="75" w:type="dxa"/>
              <w:bottom w:w="0" w:type="dxa"/>
              <w:right w:w="0" w:type="dxa"/>
            </w:tcMar>
            <w:vAlign w:val="center"/>
          </w:tcPr>
          <w:p w14:paraId="5788B6EB">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1528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EE910C0">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5A9B114F">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p>
        </w:tc>
        <w:tc>
          <w:tcPr>
            <w:tcW w:w="2359" w:type="dxa"/>
            <w:noWrap w:val="0"/>
            <w:tcMar>
              <w:top w:w="0" w:type="dxa"/>
              <w:left w:w="75" w:type="dxa"/>
              <w:bottom w:w="0" w:type="dxa"/>
              <w:right w:w="0" w:type="dxa"/>
            </w:tcMar>
            <w:vAlign w:val="center"/>
          </w:tcPr>
          <w:p w14:paraId="3B067320">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r>
              <w:rPr>
                <w:rFonts w:hint="eastAsia" w:ascii="Calibri" w:hAnsi="宋体" w:eastAsia="宋体" w:cs="宋体"/>
                <w:color w:val="auto"/>
                <w:kern w:val="0"/>
                <w:highlight w:val="none"/>
              </w:rPr>
              <w:t>单位资质</w:t>
            </w:r>
          </w:p>
        </w:tc>
        <w:tc>
          <w:tcPr>
            <w:tcW w:w="5381" w:type="dxa"/>
            <w:gridSpan w:val="5"/>
            <w:noWrap w:val="0"/>
            <w:tcMar>
              <w:top w:w="0" w:type="dxa"/>
              <w:left w:w="75" w:type="dxa"/>
              <w:bottom w:w="0" w:type="dxa"/>
              <w:right w:w="0" w:type="dxa"/>
            </w:tcMar>
            <w:vAlign w:val="center"/>
          </w:tcPr>
          <w:p w14:paraId="546A76FB">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3E03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CD78443">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0F5E06E5">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734B20C1">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投标总价</w:t>
            </w:r>
          </w:p>
        </w:tc>
        <w:tc>
          <w:tcPr>
            <w:tcW w:w="5381" w:type="dxa"/>
            <w:gridSpan w:val="5"/>
            <w:noWrap w:val="0"/>
            <w:tcMar>
              <w:top w:w="0" w:type="dxa"/>
              <w:left w:w="75" w:type="dxa"/>
              <w:bottom w:w="0" w:type="dxa"/>
              <w:right w:w="0" w:type="dxa"/>
            </w:tcMar>
            <w:vAlign w:val="center"/>
          </w:tcPr>
          <w:p w14:paraId="4377AD1C">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594F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3A4F5E3">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7E89CB88">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6DDD408E">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工期</w:t>
            </w:r>
          </w:p>
        </w:tc>
        <w:tc>
          <w:tcPr>
            <w:tcW w:w="935" w:type="dxa"/>
            <w:gridSpan w:val="2"/>
            <w:noWrap w:val="0"/>
            <w:tcMar>
              <w:top w:w="0" w:type="dxa"/>
              <w:left w:w="75" w:type="dxa"/>
              <w:bottom w:w="0" w:type="dxa"/>
              <w:right w:w="0" w:type="dxa"/>
            </w:tcMar>
            <w:vAlign w:val="center"/>
          </w:tcPr>
          <w:p w14:paraId="6D585FCD">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440" w:type="dxa"/>
            <w:gridSpan w:val="2"/>
            <w:noWrap w:val="0"/>
            <w:tcMar>
              <w:top w:w="0" w:type="dxa"/>
              <w:left w:w="75" w:type="dxa"/>
              <w:bottom w:w="0" w:type="dxa"/>
              <w:right w:w="0" w:type="dxa"/>
            </w:tcMar>
            <w:vAlign w:val="center"/>
          </w:tcPr>
          <w:p w14:paraId="4684CC62">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质量等级</w:t>
            </w:r>
          </w:p>
        </w:tc>
        <w:tc>
          <w:tcPr>
            <w:tcW w:w="3006" w:type="dxa"/>
            <w:noWrap w:val="0"/>
            <w:tcMar>
              <w:top w:w="0" w:type="dxa"/>
              <w:left w:w="75" w:type="dxa"/>
              <w:bottom w:w="0" w:type="dxa"/>
              <w:right w:w="0" w:type="dxa"/>
            </w:tcMar>
            <w:vAlign w:val="center"/>
          </w:tcPr>
          <w:p w14:paraId="1F47A203">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p>
        </w:tc>
      </w:tr>
      <w:tr w14:paraId="7F091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CA25A72">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454A43E0">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0B55EB5B">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项目经理</w:t>
            </w:r>
          </w:p>
        </w:tc>
        <w:tc>
          <w:tcPr>
            <w:tcW w:w="5381" w:type="dxa"/>
            <w:gridSpan w:val="5"/>
            <w:noWrap w:val="0"/>
            <w:tcMar>
              <w:top w:w="0" w:type="dxa"/>
              <w:left w:w="75" w:type="dxa"/>
              <w:bottom w:w="0" w:type="dxa"/>
              <w:right w:w="0" w:type="dxa"/>
            </w:tcMar>
            <w:vAlign w:val="center"/>
          </w:tcPr>
          <w:p w14:paraId="43494690">
            <w:pPr>
              <w:keepNext w:val="0"/>
              <w:keepLines w:val="0"/>
              <w:widowControl/>
              <w:suppressLineNumbers w:val="0"/>
              <w:spacing w:before="0" w:beforeAutospacing="0" w:after="0" w:afterAutospacing="0" w:line="360" w:lineRule="exact"/>
              <w:ind w:left="0" w:right="0"/>
              <w:jc w:val="right"/>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（注册编号：</w:t>
            </w:r>
            <w:r>
              <w:rPr>
                <w:rFonts w:hint="default" w:ascii="Calibri" w:hAnsi="Calibri" w:eastAsia="宋体" w:cs="Times New Roman"/>
                <w:color w:val="auto"/>
                <w:kern w:val="0"/>
                <w:highlight w:val="none"/>
                <w:u w:val="single"/>
              </w:rPr>
              <w:t xml:space="preserve">        </w:t>
            </w:r>
            <w:r>
              <w:rPr>
                <w:rFonts w:hint="eastAsia" w:ascii="Calibri" w:hAnsi="宋体" w:eastAsia="宋体" w:cs="宋体"/>
                <w:color w:val="auto"/>
                <w:kern w:val="0"/>
                <w:highlight w:val="none"/>
              </w:rPr>
              <w:t>；身份证号：</w:t>
            </w:r>
            <w:r>
              <w:rPr>
                <w:rFonts w:hint="default" w:ascii="Calibri" w:hAnsi="Calibri" w:eastAsia="宋体" w:cs="Times New Roman"/>
                <w:color w:val="auto"/>
                <w:kern w:val="0"/>
                <w:highlight w:val="none"/>
              </w:rPr>
              <w:t xml:space="preserve"> </w:t>
            </w:r>
            <w:r>
              <w:rPr>
                <w:rFonts w:hint="default" w:ascii="Calibri" w:hAnsi="Calibri" w:eastAsia="宋体" w:cs="Times New Roman"/>
                <w:color w:val="auto"/>
                <w:kern w:val="0"/>
                <w:highlight w:val="none"/>
                <w:u w:val="single"/>
              </w:rPr>
              <w:t xml:space="preserve">      </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w:t>
            </w:r>
          </w:p>
        </w:tc>
      </w:tr>
      <w:tr w14:paraId="06CD2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41351176">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545FF9AB">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57A59CB0">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专职安全生产管理人员</w:t>
            </w:r>
          </w:p>
        </w:tc>
        <w:tc>
          <w:tcPr>
            <w:tcW w:w="5381" w:type="dxa"/>
            <w:gridSpan w:val="5"/>
            <w:noWrap w:val="0"/>
            <w:tcMar>
              <w:top w:w="0" w:type="dxa"/>
              <w:left w:w="75" w:type="dxa"/>
              <w:bottom w:w="0" w:type="dxa"/>
              <w:right w:w="0" w:type="dxa"/>
            </w:tcMar>
            <w:vAlign w:val="center"/>
          </w:tcPr>
          <w:p w14:paraId="739FEC43">
            <w:pPr>
              <w:keepNext w:val="0"/>
              <w:keepLines w:val="0"/>
              <w:widowControl/>
              <w:suppressLineNumbers w:val="0"/>
              <w:spacing w:before="0" w:beforeAutospacing="0" w:after="0" w:afterAutospacing="0" w:line="360" w:lineRule="exact"/>
              <w:ind w:left="0" w:right="0"/>
              <w:jc w:val="right"/>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（身份证号：</w:t>
            </w:r>
            <w:r>
              <w:rPr>
                <w:rFonts w:hint="default" w:ascii="Calibri" w:hAnsi="宋体" w:eastAsia="宋体" w:cs="Times New Roman"/>
                <w:color w:val="auto"/>
                <w:kern w:val="0"/>
                <w:highlight w:val="none"/>
                <w:u w:val="single"/>
              </w:rPr>
              <w:t xml:space="preserve">        </w:t>
            </w:r>
            <w:r>
              <w:rPr>
                <w:rFonts w:hint="default" w:ascii="Calibri" w:hAnsi="宋体" w:eastAsia="宋体" w:cs="Times New Roman"/>
                <w:color w:val="auto"/>
                <w:kern w:val="0"/>
                <w:highlight w:val="none"/>
              </w:rPr>
              <w:t xml:space="preserve"> </w:t>
            </w:r>
            <w:r>
              <w:rPr>
                <w:rFonts w:hint="eastAsia" w:ascii="Calibri" w:hAnsi="宋体" w:eastAsia="宋体" w:cs="宋体"/>
                <w:color w:val="auto"/>
                <w:kern w:val="0"/>
                <w:highlight w:val="none"/>
              </w:rPr>
              <w:t>）【全部拟投入专职安全生产管理人员】</w:t>
            </w:r>
          </w:p>
        </w:tc>
      </w:tr>
      <w:tr w14:paraId="7CFE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8CFBCE6">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4F22A52A">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4F854206">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投标所用企业业绩、企业</w:t>
            </w:r>
            <w:r>
              <w:rPr>
                <w:rFonts w:hint="eastAsia" w:ascii="Calibri" w:hAnsi="宋体" w:eastAsia="宋体" w:cs="宋体"/>
                <w:color w:val="auto"/>
                <w:kern w:val="0"/>
                <w:highlight w:val="none"/>
                <w:lang w:eastAsia="zh-CN"/>
              </w:rPr>
              <w:t>诚信综合评价分</w:t>
            </w:r>
            <w:r>
              <w:rPr>
                <w:rFonts w:hint="eastAsia" w:ascii="Calibri" w:hAnsi="宋体" w:eastAsia="宋体" w:cs="宋体"/>
                <w:color w:val="auto"/>
                <w:kern w:val="0"/>
                <w:highlight w:val="none"/>
              </w:rPr>
              <w:t>（</w:t>
            </w:r>
            <w:r>
              <w:rPr>
                <w:rFonts w:hint="default" w:ascii="Calibri" w:hAnsi="宋体" w:eastAsia="宋体" w:cs="宋体"/>
                <w:color w:val="auto"/>
                <w:kern w:val="0"/>
                <w:highlight w:val="none"/>
              </w:rPr>
              <w:t>包括资格要求和</w:t>
            </w:r>
            <w:r>
              <w:rPr>
                <w:rFonts w:hint="eastAsia" w:ascii="Calibri" w:hAnsi="宋体" w:cs="宋体"/>
                <w:color w:val="auto"/>
                <w:kern w:val="0"/>
                <w:highlight w:val="none"/>
                <w:lang w:eastAsia="zh-CN"/>
              </w:rPr>
              <w:t>加分业绩、诚信综合评价分</w:t>
            </w:r>
            <w:r>
              <w:rPr>
                <w:rFonts w:hint="default" w:ascii="Calibri" w:hAnsi="宋体" w:eastAsia="宋体" w:cs="宋体"/>
                <w:color w:val="auto"/>
                <w:kern w:val="0"/>
                <w:highlight w:val="none"/>
              </w:rPr>
              <w:t>）</w:t>
            </w:r>
          </w:p>
        </w:tc>
        <w:tc>
          <w:tcPr>
            <w:tcW w:w="5381" w:type="dxa"/>
            <w:gridSpan w:val="5"/>
            <w:noWrap w:val="0"/>
            <w:tcMar>
              <w:top w:w="0" w:type="dxa"/>
              <w:left w:w="75" w:type="dxa"/>
              <w:bottom w:w="0" w:type="dxa"/>
              <w:right w:w="0" w:type="dxa"/>
            </w:tcMar>
            <w:vAlign w:val="center"/>
          </w:tcPr>
          <w:p w14:paraId="34CCE7AF">
            <w:pPr>
              <w:keepNext w:val="0"/>
              <w:keepLines w:val="0"/>
              <w:widowControl/>
              <w:suppressLineNumbers w:val="0"/>
              <w:spacing w:before="0" w:beforeAutospacing="0" w:after="0" w:afterAutospacing="0" w:line="360" w:lineRule="exact"/>
              <w:ind w:left="0" w:right="0"/>
              <w:jc w:val="right"/>
              <w:rPr>
                <w:rFonts w:hint="default" w:ascii="Calibri" w:hAnsi="宋体" w:eastAsia="宋体" w:cs="Times New Roman"/>
                <w:color w:val="auto"/>
                <w:kern w:val="0"/>
                <w:highlight w:val="none"/>
              </w:rPr>
            </w:pPr>
            <w:r>
              <w:rPr>
                <w:rFonts w:hint="eastAsia" w:ascii="Calibri" w:hAnsi="Calibri" w:eastAsia="宋体" w:cs="宋体"/>
                <w:color w:val="auto"/>
                <w:kern w:val="0"/>
                <w:highlight w:val="none"/>
              </w:rPr>
              <w:t xml:space="preserve"> </w:t>
            </w:r>
          </w:p>
        </w:tc>
      </w:tr>
      <w:tr w14:paraId="3690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30E336C">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restart"/>
            <w:noWrap w:val="0"/>
            <w:vAlign w:val="center"/>
          </w:tcPr>
          <w:p w14:paraId="65232D3D">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第三中标</w:t>
            </w:r>
          </w:p>
          <w:p w14:paraId="363A1884">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候选人</w:t>
            </w:r>
          </w:p>
        </w:tc>
        <w:tc>
          <w:tcPr>
            <w:tcW w:w="2359" w:type="dxa"/>
            <w:noWrap w:val="0"/>
            <w:tcMar>
              <w:top w:w="0" w:type="dxa"/>
              <w:left w:w="75" w:type="dxa"/>
              <w:bottom w:w="0" w:type="dxa"/>
              <w:right w:w="0" w:type="dxa"/>
            </w:tcMar>
            <w:vAlign w:val="center"/>
          </w:tcPr>
          <w:p w14:paraId="17347102">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单位名称</w:t>
            </w:r>
          </w:p>
        </w:tc>
        <w:tc>
          <w:tcPr>
            <w:tcW w:w="5381" w:type="dxa"/>
            <w:gridSpan w:val="5"/>
            <w:noWrap w:val="0"/>
            <w:tcMar>
              <w:top w:w="0" w:type="dxa"/>
              <w:left w:w="75" w:type="dxa"/>
              <w:bottom w:w="0" w:type="dxa"/>
              <w:right w:w="0" w:type="dxa"/>
            </w:tcMar>
            <w:vAlign w:val="center"/>
          </w:tcPr>
          <w:p w14:paraId="098FAA59">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1DFA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54F9474">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5BDC86B1">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p>
        </w:tc>
        <w:tc>
          <w:tcPr>
            <w:tcW w:w="2359" w:type="dxa"/>
            <w:noWrap w:val="0"/>
            <w:tcMar>
              <w:top w:w="0" w:type="dxa"/>
              <w:left w:w="75" w:type="dxa"/>
              <w:bottom w:w="0" w:type="dxa"/>
              <w:right w:w="0" w:type="dxa"/>
            </w:tcMar>
            <w:vAlign w:val="center"/>
          </w:tcPr>
          <w:p w14:paraId="27C64C1B">
            <w:pPr>
              <w:keepNext w:val="0"/>
              <w:keepLines w:val="0"/>
              <w:widowControl/>
              <w:suppressLineNumbers w:val="0"/>
              <w:spacing w:before="0" w:beforeAutospacing="0" w:after="0" w:afterAutospacing="0" w:line="360" w:lineRule="exact"/>
              <w:ind w:left="0" w:right="0"/>
              <w:jc w:val="center"/>
              <w:rPr>
                <w:rFonts w:hint="eastAsia" w:ascii="Calibri" w:hAnsi="宋体" w:eastAsia="宋体" w:cs="宋体"/>
                <w:color w:val="auto"/>
                <w:kern w:val="0"/>
                <w:highlight w:val="none"/>
              </w:rPr>
            </w:pPr>
            <w:r>
              <w:rPr>
                <w:rFonts w:hint="eastAsia" w:ascii="Calibri" w:hAnsi="宋体" w:eastAsia="宋体" w:cs="宋体"/>
                <w:color w:val="auto"/>
                <w:kern w:val="0"/>
                <w:highlight w:val="none"/>
              </w:rPr>
              <w:t>单位资质</w:t>
            </w:r>
          </w:p>
        </w:tc>
        <w:tc>
          <w:tcPr>
            <w:tcW w:w="5381" w:type="dxa"/>
            <w:gridSpan w:val="5"/>
            <w:noWrap w:val="0"/>
            <w:tcMar>
              <w:top w:w="0" w:type="dxa"/>
              <w:left w:w="75" w:type="dxa"/>
              <w:bottom w:w="0" w:type="dxa"/>
              <w:right w:w="0" w:type="dxa"/>
            </w:tcMar>
            <w:vAlign w:val="center"/>
          </w:tcPr>
          <w:p w14:paraId="6933559A">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5242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3816F50">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7D41F30B">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703684F8">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投标总价</w:t>
            </w:r>
          </w:p>
        </w:tc>
        <w:tc>
          <w:tcPr>
            <w:tcW w:w="5381" w:type="dxa"/>
            <w:gridSpan w:val="5"/>
            <w:noWrap w:val="0"/>
            <w:tcMar>
              <w:top w:w="0" w:type="dxa"/>
              <w:left w:w="75" w:type="dxa"/>
              <w:bottom w:w="0" w:type="dxa"/>
              <w:right w:w="0" w:type="dxa"/>
            </w:tcMar>
            <w:vAlign w:val="center"/>
          </w:tcPr>
          <w:p w14:paraId="40C0779B">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r>
      <w:tr w14:paraId="70622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9E40545">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2823BAC2">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7F40B05E">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工期</w:t>
            </w:r>
          </w:p>
        </w:tc>
        <w:tc>
          <w:tcPr>
            <w:tcW w:w="935" w:type="dxa"/>
            <w:gridSpan w:val="2"/>
            <w:noWrap w:val="0"/>
            <w:tcMar>
              <w:top w:w="0" w:type="dxa"/>
              <w:left w:w="75" w:type="dxa"/>
              <w:bottom w:w="0" w:type="dxa"/>
              <w:right w:w="0" w:type="dxa"/>
            </w:tcMar>
            <w:vAlign w:val="center"/>
          </w:tcPr>
          <w:p w14:paraId="3809C73A">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440" w:type="dxa"/>
            <w:gridSpan w:val="2"/>
            <w:noWrap w:val="0"/>
            <w:tcMar>
              <w:top w:w="0" w:type="dxa"/>
              <w:left w:w="75" w:type="dxa"/>
              <w:bottom w:w="0" w:type="dxa"/>
              <w:right w:w="0" w:type="dxa"/>
            </w:tcMar>
            <w:vAlign w:val="center"/>
          </w:tcPr>
          <w:p w14:paraId="62B0005D">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质量等级</w:t>
            </w:r>
          </w:p>
        </w:tc>
        <w:tc>
          <w:tcPr>
            <w:tcW w:w="3006" w:type="dxa"/>
            <w:noWrap w:val="0"/>
            <w:tcMar>
              <w:top w:w="0" w:type="dxa"/>
              <w:left w:w="75" w:type="dxa"/>
              <w:bottom w:w="0" w:type="dxa"/>
              <w:right w:w="0" w:type="dxa"/>
            </w:tcMar>
            <w:vAlign w:val="center"/>
          </w:tcPr>
          <w:p w14:paraId="6ED12A44">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p>
        </w:tc>
      </w:tr>
      <w:tr w14:paraId="443E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1C53EF4">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2E817988">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3D9C91D1">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项目经理</w:t>
            </w:r>
          </w:p>
        </w:tc>
        <w:tc>
          <w:tcPr>
            <w:tcW w:w="5381" w:type="dxa"/>
            <w:gridSpan w:val="5"/>
            <w:noWrap w:val="0"/>
            <w:tcMar>
              <w:top w:w="0" w:type="dxa"/>
              <w:left w:w="75" w:type="dxa"/>
              <w:bottom w:w="0" w:type="dxa"/>
              <w:right w:w="0" w:type="dxa"/>
            </w:tcMar>
            <w:vAlign w:val="center"/>
          </w:tcPr>
          <w:p w14:paraId="7A407B16">
            <w:pPr>
              <w:keepNext w:val="0"/>
              <w:keepLines w:val="0"/>
              <w:widowControl/>
              <w:suppressLineNumbers w:val="0"/>
              <w:spacing w:before="0" w:beforeAutospacing="0" w:after="0" w:afterAutospacing="0" w:line="360" w:lineRule="exact"/>
              <w:ind w:left="0" w:right="0"/>
              <w:jc w:val="right"/>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（注册编号：</w:t>
            </w:r>
            <w:r>
              <w:rPr>
                <w:rFonts w:hint="default" w:ascii="Calibri" w:hAnsi="Calibri" w:eastAsia="宋体" w:cs="Times New Roman"/>
                <w:color w:val="auto"/>
                <w:kern w:val="0"/>
                <w:highlight w:val="none"/>
                <w:u w:val="single"/>
              </w:rPr>
              <w:t xml:space="preserve">       </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；身份证号：</w:t>
            </w:r>
            <w:r>
              <w:rPr>
                <w:rFonts w:hint="default" w:ascii="Calibri" w:hAnsi="Calibri" w:eastAsia="宋体" w:cs="Times New Roman"/>
                <w:color w:val="auto"/>
                <w:kern w:val="0"/>
                <w:highlight w:val="none"/>
                <w:u w:val="single"/>
              </w:rPr>
              <w:t xml:space="preserve">      </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w:t>
            </w:r>
          </w:p>
        </w:tc>
      </w:tr>
      <w:tr w14:paraId="6B43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20BB4EB">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5370734F">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4ED6DB53">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专职安全生产管理人员</w:t>
            </w:r>
          </w:p>
        </w:tc>
        <w:tc>
          <w:tcPr>
            <w:tcW w:w="5381" w:type="dxa"/>
            <w:gridSpan w:val="5"/>
            <w:noWrap w:val="0"/>
            <w:tcMar>
              <w:top w:w="0" w:type="dxa"/>
              <w:left w:w="75" w:type="dxa"/>
              <w:bottom w:w="0" w:type="dxa"/>
              <w:right w:w="0" w:type="dxa"/>
            </w:tcMar>
            <w:vAlign w:val="center"/>
          </w:tcPr>
          <w:p w14:paraId="7D590125">
            <w:pPr>
              <w:keepNext w:val="0"/>
              <w:keepLines w:val="0"/>
              <w:widowControl/>
              <w:suppressLineNumbers w:val="0"/>
              <w:spacing w:before="0" w:beforeAutospacing="0" w:after="0" w:afterAutospacing="0" w:line="360" w:lineRule="exact"/>
              <w:ind w:left="0" w:right="0"/>
              <w:jc w:val="right"/>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（身份证号：</w:t>
            </w:r>
            <w:r>
              <w:rPr>
                <w:rFonts w:hint="default" w:ascii="Calibri" w:hAnsi="宋体" w:eastAsia="宋体" w:cs="Times New Roman"/>
                <w:color w:val="auto"/>
                <w:kern w:val="0"/>
                <w:highlight w:val="none"/>
                <w:u w:val="single"/>
              </w:rPr>
              <w:t xml:space="preserve">         </w:t>
            </w:r>
            <w:r>
              <w:rPr>
                <w:rFonts w:hint="eastAsia" w:ascii="Calibri" w:hAnsi="宋体" w:eastAsia="宋体" w:cs="宋体"/>
                <w:color w:val="auto"/>
                <w:kern w:val="0"/>
                <w:highlight w:val="none"/>
              </w:rPr>
              <w:t>）【全部拟投入专职安全生产管理人员】</w:t>
            </w:r>
          </w:p>
        </w:tc>
      </w:tr>
      <w:tr w14:paraId="193BA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E1C7141">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1206" w:type="dxa"/>
            <w:vMerge w:val="continue"/>
            <w:noWrap w:val="0"/>
            <w:vAlign w:val="center"/>
          </w:tcPr>
          <w:p w14:paraId="5D8755E0">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kern w:val="0"/>
                <w:highlight w:val="none"/>
              </w:rPr>
            </w:pPr>
          </w:p>
        </w:tc>
        <w:tc>
          <w:tcPr>
            <w:tcW w:w="2359" w:type="dxa"/>
            <w:noWrap w:val="0"/>
            <w:tcMar>
              <w:top w:w="0" w:type="dxa"/>
              <w:left w:w="75" w:type="dxa"/>
              <w:bottom w:w="0" w:type="dxa"/>
              <w:right w:w="0" w:type="dxa"/>
            </w:tcMar>
            <w:vAlign w:val="center"/>
          </w:tcPr>
          <w:p w14:paraId="7AECCEFA">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投标所用企业业绩、企业</w:t>
            </w:r>
            <w:r>
              <w:rPr>
                <w:rFonts w:hint="eastAsia" w:ascii="Calibri" w:hAnsi="宋体" w:eastAsia="宋体" w:cs="宋体"/>
                <w:color w:val="auto"/>
                <w:kern w:val="0"/>
                <w:highlight w:val="none"/>
                <w:lang w:eastAsia="zh-CN"/>
              </w:rPr>
              <w:t>诚信综合评价分</w:t>
            </w:r>
            <w:r>
              <w:rPr>
                <w:rFonts w:hint="eastAsia" w:ascii="Calibri" w:hAnsi="宋体" w:eastAsia="宋体" w:cs="宋体"/>
                <w:color w:val="auto"/>
                <w:kern w:val="0"/>
                <w:highlight w:val="none"/>
              </w:rPr>
              <w:t>（</w:t>
            </w:r>
            <w:r>
              <w:rPr>
                <w:rFonts w:hint="default" w:ascii="Calibri" w:hAnsi="宋体" w:eastAsia="宋体" w:cs="宋体"/>
                <w:color w:val="auto"/>
                <w:kern w:val="0"/>
                <w:highlight w:val="none"/>
              </w:rPr>
              <w:t>包括资格要求和</w:t>
            </w:r>
            <w:r>
              <w:rPr>
                <w:rFonts w:hint="eastAsia" w:ascii="Calibri" w:hAnsi="宋体" w:cs="宋体"/>
                <w:color w:val="auto"/>
                <w:kern w:val="0"/>
                <w:highlight w:val="none"/>
                <w:lang w:eastAsia="zh-CN"/>
              </w:rPr>
              <w:t>加分业绩、诚信综合评价分</w:t>
            </w:r>
            <w:r>
              <w:rPr>
                <w:rFonts w:hint="default" w:ascii="Calibri" w:hAnsi="宋体" w:eastAsia="宋体" w:cs="宋体"/>
                <w:color w:val="auto"/>
                <w:kern w:val="0"/>
                <w:highlight w:val="none"/>
              </w:rPr>
              <w:t>）</w:t>
            </w:r>
          </w:p>
        </w:tc>
        <w:tc>
          <w:tcPr>
            <w:tcW w:w="5381" w:type="dxa"/>
            <w:gridSpan w:val="5"/>
            <w:noWrap w:val="0"/>
            <w:tcMar>
              <w:top w:w="0" w:type="dxa"/>
              <w:left w:w="75" w:type="dxa"/>
              <w:bottom w:w="0" w:type="dxa"/>
              <w:right w:w="0" w:type="dxa"/>
            </w:tcMar>
            <w:vAlign w:val="center"/>
          </w:tcPr>
          <w:p w14:paraId="103A45EE">
            <w:pPr>
              <w:keepNext w:val="0"/>
              <w:keepLines w:val="0"/>
              <w:widowControl/>
              <w:suppressLineNumbers w:val="0"/>
              <w:spacing w:before="0" w:beforeAutospacing="0" w:after="0" w:afterAutospacing="0" w:line="360" w:lineRule="exact"/>
              <w:ind w:left="0" w:right="0"/>
              <w:jc w:val="right"/>
              <w:rPr>
                <w:rFonts w:hint="default" w:ascii="Calibri" w:hAnsi="宋体" w:eastAsia="宋体" w:cs="Times New Roman"/>
                <w:color w:val="auto"/>
                <w:kern w:val="0"/>
                <w:highlight w:val="none"/>
              </w:rPr>
            </w:pPr>
            <w:r>
              <w:rPr>
                <w:rFonts w:hint="eastAsia" w:ascii="Calibri" w:hAnsi="Calibri" w:eastAsia="宋体" w:cs="宋体"/>
                <w:color w:val="auto"/>
                <w:kern w:val="0"/>
                <w:highlight w:val="none"/>
              </w:rPr>
              <w:t xml:space="preserve"> </w:t>
            </w:r>
          </w:p>
        </w:tc>
      </w:tr>
      <w:tr w14:paraId="23AB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noWrap w:val="0"/>
            <w:vAlign w:val="center"/>
          </w:tcPr>
          <w:p w14:paraId="064878F8">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被否决投标或不合格的投标人名称、否决原因及依据</w:t>
            </w:r>
          </w:p>
        </w:tc>
        <w:tc>
          <w:tcPr>
            <w:tcW w:w="7740" w:type="dxa"/>
            <w:gridSpan w:val="6"/>
            <w:noWrap w:val="0"/>
            <w:tcMar>
              <w:top w:w="0" w:type="dxa"/>
              <w:left w:w="75" w:type="dxa"/>
              <w:bottom w:w="0" w:type="dxa"/>
              <w:right w:w="0" w:type="dxa"/>
            </w:tcMar>
            <w:vAlign w:val="center"/>
          </w:tcPr>
          <w:p w14:paraId="03570F98">
            <w:pPr>
              <w:keepNext w:val="0"/>
              <w:keepLines w:val="0"/>
              <w:widowControl/>
              <w:suppressLineNumbers w:val="0"/>
              <w:spacing w:before="0" w:beforeAutospacing="0" w:after="0" w:afterAutospacing="0" w:line="360" w:lineRule="exact"/>
              <w:ind w:left="0" w:right="178" w:rightChars="85"/>
              <w:rPr>
                <w:rFonts w:hint="default" w:ascii="Calibri" w:hAnsi="Calibri" w:eastAsia="宋体" w:cs="Times New Roman"/>
                <w:color w:val="auto"/>
                <w:kern w:val="0"/>
                <w:highlight w:val="none"/>
              </w:rPr>
            </w:pPr>
          </w:p>
        </w:tc>
      </w:tr>
      <w:tr w14:paraId="37DA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noWrap w:val="0"/>
            <w:vAlign w:val="center"/>
          </w:tcPr>
          <w:p w14:paraId="569A2AE0">
            <w:pPr>
              <w:keepNext w:val="0"/>
              <w:keepLines w:val="0"/>
              <w:widowControl/>
              <w:suppressLineNumbers w:val="0"/>
              <w:spacing w:before="0" w:beforeAutospacing="0" w:after="0" w:afterAutospacing="0" w:line="360" w:lineRule="exact"/>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其他公示内容（如有）</w:t>
            </w:r>
          </w:p>
        </w:tc>
        <w:tc>
          <w:tcPr>
            <w:tcW w:w="7740" w:type="dxa"/>
            <w:gridSpan w:val="6"/>
            <w:noWrap w:val="0"/>
            <w:tcMar>
              <w:top w:w="0" w:type="dxa"/>
              <w:left w:w="75" w:type="dxa"/>
              <w:bottom w:w="0" w:type="dxa"/>
              <w:right w:w="0" w:type="dxa"/>
            </w:tcMar>
            <w:vAlign w:val="center"/>
          </w:tcPr>
          <w:p w14:paraId="04675311">
            <w:pPr>
              <w:keepNext w:val="0"/>
              <w:keepLines w:val="0"/>
              <w:widowControl/>
              <w:suppressLineNumbers w:val="0"/>
              <w:spacing w:before="0" w:beforeAutospacing="0" w:after="0" w:afterAutospacing="0" w:line="360" w:lineRule="exact"/>
              <w:ind w:left="0" w:right="178" w:rightChars="85"/>
              <w:rPr>
                <w:rFonts w:hint="default" w:ascii="Calibri" w:hAnsi="Calibri" w:eastAsia="宋体" w:cs="Times New Roman"/>
                <w:color w:val="auto"/>
                <w:kern w:val="0"/>
                <w:highlight w:val="none"/>
              </w:rPr>
            </w:pPr>
          </w:p>
        </w:tc>
      </w:tr>
      <w:tr w14:paraId="4E7F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420358F9">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公示媒介</w:t>
            </w:r>
          </w:p>
        </w:tc>
        <w:tc>
          <w:tcPr>
            <w:tcW w:w="7740" w:type="dxa"/>
            <w:gridSpan w:val="6"/>
            <w:noWrap w:val="0"/>
            <w:tcMar>
              <w:top w:w="0" w:type="dxa"/>
              <w:left w:w="75" w:type="dxa"/>
              <w:bottom w:w="0" w:type="dxa"/>
              <w:right w:w="0" w:type="dxa"/>
            </w:tcMar>
            <w:vAlign w:val="center"/>
          </w:tcPr>
          <w:p w14:paraId="1F577504">
            <w:pPr>
              <w:keepNext w:val="0"/>
              <w:keepLines w:val="0"/>
              <w:widowControl/>
              <w:suppressLineNumbers w:val="0"/>
              <w:spacing w:before="0" w:beforeAutospacing="0" w:after="0" w:afterAutospacing="0" w:line="360" w:lineRule="exact"/>
              <w:ind w:left="0" w:right="178" w:rightChars="85"/>
              <w:rPr>
                <w:rFonts w:hint="default" w:ascii="Calibri" w:hAnsi="Calibri" w:eastAsia="宋体" w:cs="Times New Roman"/>
                <w:color w:val="auto"/>
                <w:highlight w:val="none"/>
              </w:rPr>
            </w:pPr>
          </w:p>
        </w:tc>
      </w:tr>
      <w:tr w14:paraId="2D35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6E023C2B">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异议和投诉</w:t>
            </w:r>
          </w:p>
        </w:tc>
        <w:tc>
          <w:tcPr>
            <w:tcW w:w="7740" w:type="dxa"/>
            <w:gridSpan w:val="6"/>
            <w:noWrap w:val="0"/>
            <w:tcMar>
              <w:top w:w="0" w:type="dxa"/>
              <w:left w:w="75" w:type="dxa"/>
              <w:bottom w:w="0" w:type="dxa"/>
              <w:right w:w="0" w:type="dxa"/>
            </w:tcMar>
            <w:vAlign w:val="center"/>
          </w:tcPr>
          <w:p w14:paraId="22641BC8">
            <w:pPr>
              <w:keepNext w:val="0"/>
              <w:keepLines w:val="0"/>
              <w:widowControl/>
              <w:suppressLineNumbers w:val="0"/>
              <w:spacing w:before="0" w:beforeAutospacing="0" w:after="0" w:afterAutospacing="0" w:line="360" w:lineRule="exact"/>
              <w:ind w:left="0" w:right="178" w:rightChars="85"/>
              <w:rPr>
                <w:rFonts w:hint="default" w:ascii="Calibri" w:hAnsi="Calibri" w:eastAsia="宋体" w:cs="Times New Roman"/>
                <w:color w:val="auto"/>
                <w:highlight w:val="none"/>
              </w:rPr>
            </w:pPr>
            <w:r>
              <w:rPr>
                <w:rFonts w:hint="eastAsia" w:ascii="Calibri" w:hAnsi="宋体" w:eastAsia="宋体" w:cs="宋体"/>
                <w:color w:val="auto"/>
                <w:kern w:val="0"/>
                <w:highlight w:val="none"/>
              </w:rPr>
              <w:t>投标人或者其他利害关系人对评标结果有异议的，应当在中标候选人公示期间提出，</w:t>
            </w:r>
            <w:r>
              <w:rPr>
                <w:rFonts w:hint="eastAsia" w:ascii="Calibri" w:hAnsi="Calibri" w:eastAsia="宋体" w:cs="宋体"/>
                <w:color w:val="auto"/>
                <w:highlight w:val="none"/>
              </w:rPr>
              <w:t>招标人应当自收到异议之日起</w:t>
            </w:r>
            <w:r>
              <w:rPr>
                <w:rFonts w:hint="default" w:ascii="Calibri" w:hAnsi="Calibri" w:eastAsia="宋体" w:cs="Times New Roman"/>
                <w:color w:val="auto"/>
                <w:highlight w:val="none"/>
              </w:rPr>
              <w:t>3</w:t>
            </w:r>
            <w:r>
              <w:rPr>
                <w:rFonts w:hint="eastAsia" w:ascii="Calibri" w:hAnsi="Calibri" w:eastAsia="宋体" w:cs="宋体"/>
                <w:color w:val="auto"/>
                <w:highlight w:val="none"/>
              </w:rPr>
              <w:t>日内作出答复；若招标人拒不答复或认为招标人答复内容不符合</w:t>
            </w:r>
            <w:r>
              <w:rPr>
                <w:rFonts w:hint="eastAsia" w:ascii="Calibri" w:hAnsi="Calibri" w:cs="宋体"/>
                <w:color w:val="auto"/>
                <w:highlight w:val="none"/>
                <w:lang w:eastAsia="zh-CN"/>
              </w:rPr>
              <w:t>法律法规</w:t>
            </w:r>
            <w:r>
              <w:rPr>
                <w:rFonts w:hint="eastAsia" w:ascii="Calibri" w:hAnsi="Calibri" w:eastAsia="宋体" w:cs="宋体"/>
                <w:color w:val="auto"/>
                <w:highlight w:val="none"/>
              </w:rPr>
              <w:t>和规章规定或认为权益受到侵害的，请在自知道或应当知道</w:t>
            </w:r>
            <w:r>
              <w:rPr>
                <w:rFonts w:hint="eastAsia" w:ascii="Calibri" w:hAnsi="宋体" w:eastAsia="宋体" w:cs="宋体"/>
                <w:color w:val="auto"/>
                <w:kern w:val="0"/>
                <w:highlight w:val="none"/>
              </w:rPr>
              <w:t>之日起</w:t>
            </w:r>
            <w:r>
              <w:rPr>
                <w:rFonts w:hint="default" w:ascii="Calibri" w:hAnsi="宋体" w:eastAsia="宋体" w:cs="Times New Roman"/>
                <w:color w:val="auto"/>
                <w:kern w:val="0"/>
                <w:highlight w:val="none"/>
              </w:rPr>
              <w:t>10</w:t>
            </w:r>
            <w:r>
              <w:rPr>
                <w:rFonts w:hint="eastAsia" w:ascii="Calibri" w:hAnsi="宋体" w:eastAsia="宋体" w:cs="宋体"/>
                <w:color w:val="auto"/>
                <w:kern w:val="0"/>
                <w:highlight w:val="none"/>
              </w:rPr>
              <w:t>日内通过全国公共资源交易平台（广西壮族自治区）或提交纸质书面材料向投诉受理部门提出书面投诉书，逾期不予受理。若招标人对项目评标结果有异议的，可在</w:t>
            </w:r>
            <w:r>
              <w:rPr>
                <w:rFonts w:hint="eastAsia" w:ascii="Calibri" w:hAnsi="Calibri" w:eastAsia="宋体" w:cs="宋体"/>
                <w:color w:val="auto"/>
                <w:highlight w:val="none"/>
              </w:rPr>
              <w:t>公示开始日起</w:t>
            </w:r>
            <w:r>
              <w:rPr>
                <w:rFonts w:hint="default" w:ascii="Calibri" w:hAnsi="Calibri" w:eastAsia="宋体" w:cs="Times New Roman"/>
                <w:color w:val="auto"/>
                <w:highlight w:val="none"/>
              </w:rPr>
              <w:t>10</w:t>
            </w:r>
            <w:r>
              <w:rPr>
                <w:rFonts w:hint="eastAsia" w:ascii="Calibri" w:hAnsi="Calibri" w:eastAsia="宋体" w:cs="宋体"/>
                <w:color w:val="auto"/>
                <w:highlight w:val="none"/>
              </w:rPr>
              <w:t>日内通过全国公共资源交易平台（广西壮族自治区）或提交纸质书面材料直接向投诉受理部门提交书面投诉书。</w:t>
            </w:r>
          </w:p>
        </w:tc>
      </w:tr>
      <w:tr w14:paraId="1E90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noWrap w:val="0"/>
            <w:vAlign w:val="center"/>
          </w:tcPr>
          <w:p w14:paraId="60292496">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投诉受理部门</w:t>
            </w:r>
          </w:p>
        </w:tc>
        <w:tc>
          <w:tcPr>
            <w:tcW w:w="3294" w:type="dxa"/>
            <w:gridSpan w:val="3"/>
            <w:noWrap w:val="0"/>
            <w:tcMar>
              <w:top w:w="30" w:type="dxa"/>
              <w:left w:w="30" w:type="dxa"/>
              <w:bottom w:w="30" w:type="dxa"/>
              <w:right w:w="30" w:type="dxa"/>
            </w:tcMar>
            <w:vAlign w:val="center"/>
          </w:tcPr>
          <w:p w14:paraId="11961995">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highlight w:val="none"/>
              </w:rPr>
            </w:pPr>
          </w:p>
        </w:tc>
        <w:tc>
          <w:tcPr>
            <w:tcW w:w="1440" w:type="dxa"/>
            <w:gridSpan w:val="2"/>
            <w:noWrap w:val="0"/>
            <w:vAlign w:val="center"/>
          </w:tcPr>
          <w:p w14:paraId="4C3013D3">
            <w:pPr>
              <w:keepNext w:val="0"/>
              <w:keepLines w:val="0"/>
              <w:widowControl/>
              <w:suppressLineNumbers w:val="0"/>
              <w:spacing w:before="0" w:beforeAutospacing="0" w:after="0" w:afterAutospacing="0" w:line="360" w:lineRule="exact"/>
              <w:ind w:left="0" w:right="0"/>
              <w:jc w:val="center"/>
              <w:rPr>
                <w:rFonts w:hint="default" w:ascii="Calibri" w:hAnsi="Calibri" w:eastAsia="宋体" w:cs="Times New Roman"/>
                <w:color w:val="auto"/>
                <w:highlight w:val="none"/>
              </w:rPr>
            </w:pPr>
            <w:r>
              <w:rPr>
                <w:rFonts w:hint="eastAsia" w:ascii="Calibri" w:hAnsi="宋体" w:eastAsia="宋体" w:cs="宋体"/>
                <w:color w:val="auto"/>
                <w:highlight w:val="none"/>
              </w:rPr>
              <w:t>投诉受理电话</w:t>
            </w:r>
          </w:p>
        </w:tc>
        <w:tc>
          <w:tcPr>
            <w:tcW w:w="3006" w:type="dxa"/>
            <w:noWrap w:val="0"/>
            <w:vAlign w:val="center"/>
          </w:tcPr>
          <w:p w14:paraId="75022A67">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highlight w:val="none"/>
              </w:rPr>
            </w:pPr>
          </w:p>
        </w:tc>
      </w:tr>
      <w:tr w14:paraId="04C8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noWrap w:val="0"/>
            <w:vAlign w:val="center"/>
          </w:tcPr>
          <w:p w14:paraId="546CC6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atLeast"/>
              <w:ind w:left="0" w:leftChars="0" w:right="0" w:rightChars="0"/>
              <w:jc w:val="center"/>
              <w:textAlignment w:val="auto"/>
              <w:rPr>
                <w:rFonts w:hint="eastAsia" w:ascii="Calibri" w:hAnsi="宋体" w:eastAsia="宋体" w:cs="宋体"/>
                <w:color w:val="auto"/>
                <w:kern w:val="0"/>
                <w:highlight w:val="none"/>
              </w:rPr>
            </w:pPr>
            <w:r>
              <w:rPr>
                <w:rFonts w:hint="eastAsia" w:hAnsi="宋体" w:cs="宋体"/>
                <w:color w:val="auto"/>
                <w:highlight w:val="none"/>
                <w:lang w:val="en-US" w:eastAsia="zh-CN"/>
              </w:rPr>
              <w:t>附件：</w:t>
            </w:r>
          </w:p>
        </w:tc>
        <w:tc>
          <w:tcPr>
            <w:tcW w:w="7740" w:type="dxa"/>
            <w:gridSpan w:val="6"/>
            <w:noWrap w:val="0"/>
            <w:tcMar>
              <w:top w:w="30" w:type="dxa"/>
              <w:left w:w="30" w:type="dxa"/>
              <w:bottom w:w="30" w:type="dxa"/>
              <w:right w:w="30" w:type="dxa"/>
            </w:tcMar>
            <w:vAlign w:val="center"/>
          </w:tcPr>
          <w:p w14:paraId="7D69806C">
            <w:pPr>
              <w:keepNext w:val="0"/>
              <w:keepLines w:val="0"/>
              <w:widowControl/>
              <w:suppressLineNumbers w:val="0"/>
              <w:spacing w:before="0" w:beforeAutospacing="0" w:after="0" w:afterAutospacing="0" w:line="360" w:lineRule="exact"/>
              <w:ind w:left="0" w:right="0"/>
              <w:jc w:val="left"/>
              <w:rPr>
                <w:rFonts w:hint="default" w:ascii="Calibri" w:hAnsi="Calibri" w:eastAsia="宋体" w:cs="Times New Roman"/>
                <w:color w:val="auto"/>
                <w:highlight w:val="none"/>
              </w:rPr>
            </w:pPr>
            <w:r>
              <w:rPr>
                <w:rFonts w:hint="eastAsia" w:hAnsi="宋体" w:cs="宋体"/>
                <w:color w:val="auto"/>
                <w:highlight w:val="none"/>
                <w:lang w:val="en-US" w:eastAsia="zh-CN"/>
              </w:rPr>
              <w:t>（</w:t>
            </w:r>
            <w:r>
              <w:rPr>
                <w:rFonts w:hint="eastAsia" w:ascii="方正楷体_GB2312" w:hAnsi="方正楷体_GB2312" w:eastAsia="方正楷体_GB2312" w:cs="方正楷体_GB2312"/>
                <w:color w:val="auto"/>
                <w:highlight w:val="none"/>
                <w:lang w:val="en-US" w:eastAsia="zh-CN"/>
              </w:rPr>
              <w:t>评标委员会各成员对中标候选人投标文件商务部分、技术部分、投标报价等的评审结论、打分情况，评标委员会成员姓名应当以编码标注的方式替代</w:t>
            </w:r>
            <w:r>
              <w:rPr>
                <w:rFonts w:hint="eastAsia" w:hAnsi="宋体" w:cs="宋体"/>
                <w:color w:val="auto"/>
                <w:highlight w:val="none"/>
                <w:lang w:val="en-US" w:eastAsia="zh-CN"/>
              </w:rPr>
              <w:t>）</w:t>
            </w:r>
          </w:p>
        </w:tc>
      </w:tr>
    </w:tbl>
    <w:p w14:paraId="1B6626FA">
      <w:pPr>
        <w:pBdr>
          <w:top w:val="none" w:color="auto" w:sz="0" w:space="0"/>
          <w:left w:val="none" w:color="auto" w:sz="0" w:space="0"/>
          <w:bottom w:val="none" w:color="auto" w:sz="0" w:space="0"/>
          <w:right w:val="none" w:color="auto" w:sz="0" w:space="0"/>
          <w:between w:val="none" w:color="auto" w:sz="0" w:space="0"/>
        </w:pBdr>
        <w:spacing w:before="120" w:beforeLines="50"/>
        <w:rPr>
          <w:rFonts w:hint="eastAsia" w:hAnsi="宋体" w:cs="宋体"/>
          <w:color w:val="auto"/>
          <w:highlight w:val="none"/>
        </w:rPr>
      </w:pPr>
      <w:r>
        <w:rPr>
          <w:rFonts w:hint="eastAsia" w:hAnsi="宋体" w:cs="宋体"/>
          <w:color w:val="auto"/>
          <w:highlight w:val="none"/>
        </w:rPr>
        <w:t>一式</w:t>
      </w:r>
      <w:r>
        <w:rPr>
          <w:rFonts w:hAnsi="宋体"/>
          <w:color w:val="auto"/>
          <w:highlight w:val="none"/>
        </w:rPr>
        <w:t>5</w:t>
      </w:r>
      <w:r>
        <w:rPr>
          <w:rFonts w:hint="eastAsia" w:hAnsi="宋体" w:cs="宋体"/>
          <w:color w:val="auto"/>
          <w:highlight w:val="none"/>
        </w:rPr>
        <w:t>份。其中：招标人</w:t>
      </w:r>
      <w:r>
        <w:rPr>
          <w:rFonts w:hAnsi="宋体"/>
          <w:color w:val="auto"/>
          <w:highlight w:val="none"/>
        </w:rPr>
        <w:t>2</w:t>
      </w:r>
      <w:r>
        <w:rPr>
          <w:rFonts w:hint="eastAsia" w:hAnsi="宋体" w:cs="宋体"/>
          <w:color w:val="auto"/>
          <w:highlight w:val="none"/>
        </w:rPr>
        <w:t>份、招标代理单位</w:t>
      </w:r>
      <w:r>
        <w:rPr>
          <w:rFonts w:hAnsi="宋体"/>
          <w:color w:val="auto"/>
          <w:highlight w:val="none"/>
        </w:rPr>
        <w:t>1</w:t>
      </w:r>
      <w:r>
        <w:rPr>
          <w:rFonts w:hint="eastAsia" w:hAnsi="宋体" w:cs="宋体"/>
          <w:color w:val="auto"/>
          <w:highlight w:val="none"/>
        </w:rPr>
        <w:t>份、</w:t>
      </w:r>
      <w:r>
        <w:rPr>
          <w:rFonts w:hint="eastAsia" w:cs="宋体"/>
          <w:color w:val="auto"/>
          <w:highlight w:val="none"/>
        </w:rPr>
        <w:t>招投标监督管理部门</w:t>
      </w:r>
      <w:r>
        <w:rPr>
          <w:color w:val="auto"/>
          <w:highlight w:val="none"/>
        </w:rPr>
        <w:t>1</w:t>
      </w:r>
      <w:r>
        <w:rPr>
          <w:rFonts w:hint="eastAsia" w:cs="宋体"/>
          <w:color w:val="auto"/>
          <w:highlight w:val="none"/>
        </w:rPr>
        <w:t>份、交易中心</w:t>
      </w:r>
      <w:r>
        <w:rPr>
          <w:color w:val="auto"/>
          <w:highlight w:val="none"/>
        </w:rPr>
        <w:t>1</w:t>
      </w:r>
      <w:r>
        <w:rPr>
          <w:rFonts w:hint="eastAsia" w:cs="宋体"/>
          <w:color w:val="auto"/>
          <w:highlight w:val="none"/>
        </w:rPr>
        <w:t>份</w:t>
      </w:r>
      <w:r>
        <w:rPr>
          <w:rFonts w:hint="eastAsia" w:hAnsi="宋体" w:cs="宋体"/>
          <w:color w:val="auto"/>
          <w:highlight w:val="none"/>
        </w:rPr>
        <w:t>。</w:t>
      </w:r>
    </w:p>
    <w:p w14:paraId="64EA5313">
      <w:pPr>
        <w:pStyle w:val="28"/>
        <w:pBdr>
          <w:top w:val="none" w:color="auto" w:sz="0" w:space="0"/>
          <w:left w:val="none" w:color="auto" w:sz="0" w:space="0"/>
          <w:bottom w:val="none" w:color="auto" w:sz="0" w:space="0"/>
          <w:right w:val="none" w:color="auto" w:sz="0" w:space="0"/>
          <w:between w:val="none" w:color="auto" w:sz="0" w:space="0"/>
        </w:pBdr>
        <w:rPr>
          <w:rFonts w:hint="default"/>
          <w:color w:val="auto"/>
          <w:sz w:val="21"/>
          <w:szCs w:val="21"/>
          <w:highlight w:val="none"/>
          <w:u w:val="non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招标人（或招标代理机构）法定代表人（或其授权项目负责人）：</w:t>
      </w:r>
      <w:r>
        <w:rPr>
          <w:rFonts w:hint="eastAsia"/>
          <w:color w:val="auto"/>
          <w:sz w:val="21"/>
          <w:szCs w:val="21"/>
          <w:highlight w:val="none"/>
          <w:u w:val="single"/>
          <w:lang w:val="en-US" w:eastAsia="zh-CN"/>
        </w:rPr>
        <w:t xml:space="preserve">（签名） </w:t>
      </w:r>
    </w:p>
    <w:p w14:paraId="66165400">
      <w:pPr>
        <w:pStyle w:val="28"/>
        <w:pBdr>
          <w:top w:val="none" w:color="auto" w:sz="0" w:space="0"/>
          <w:left w:val="none" w:color="auto" w:sz="0" w:space="0"/>
          <w:bottom w:val="none" w:color="auto" w:sz="0" w:space="0"/>
          <w:right w:val="none" w:color="auto" w:sz="0" w:space="0"/>
          <w:between w:val="none" w:color="auto" w:sz="0" w:space="0"/>
        </w:pBdr>
        <w:spacing w:before="120" w:beforeLines="50"/>
        <w:jc w:val="right"/>
        <w:rPr>
          <w:rFonts w:hint="eastAsia" w:hAnsi="宋体" w:cs="宋体"/>
          <w:color w:val="auto"/>
          <w:sz w:val="21"/>
          <w:szCs w:val="21"/>
          <w:highlight w:val="none"/>
          <w:lang w:val="en-US" w:eastAsia="zh-CN"/>
        </w:rPr>
      </w:pPr>
      <w:r>
        <w:rPr>
          <w:rFonts w:hint="eastAsia" w:hAnsi="宋体" w:cs="宋体"/>
          <w:color w:val="auto"/>
          <w:sz w:val="21"/>
          <w:szCs w:val="21"/>
          <w:highlight w:val="none"/>
          <w:lang w:val="en-US" w:eastAsia="zh-CN"/>
        </w:rPr>
        <w:t>年      月      日</w:t>
      </w:r>
    </w:p>
    <w:p w14:paraId="3AE26855">
      <w:pPr>
        <w:spacing w:before="120" w:beforeLines="5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以上身份证号在公示时应隐藏中间部分数字。</w:t>
      </w:r>
    </w:p>
    <w:p w14:paraId="7275B97D">
      <w:pPr>
        <w:spacing w:before="120" w:beforeLines="50"/>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 中标候选人享受《政府采购促进中小企业发展管理办法》（财库〔2020〕46号）规定的中小企业扶持政策的，招标人应当在公示中标候选人时公开中标候选人的《中小企业声明函》。</w:t>
      </w:r>
    </w:p>
    <w:p w14:paraId="392D7FAD">
      <w:pPr>
        <w:spacing w:before="120" w:beforeLines="50"/>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3. 中标候选人为残疾人福利性单位的，招标人或者其委托的招标代理机构应当在中标候选人公示时公开中标候选人的《残疾人福利性单位声明函》。</w:t>
      </w:r>
    </w:p>
    <w:p w14:paraId="22D252AA">
      <w:pPr>
        <w:spacing w:before="120" w:beforeLines="50"/>
        <w:ind w:firstLineChars="200"/>
        <w:rPr>
          <w:rFonts w:hint="eastAsia"/>
          <w:color w:val="auto"/>
          <w:highlight w:val="none"/>
        </w:rPr>
        <w:sectPr>
          <w:pgSz w:w="11906" w:h="16838"/>
          <w:pgMar w:top="1440" w:right="1440" w:bottom="1440" w:left="1797" w:header="851" w:footer="851" w:gutter="0"/>
          <w:cols w:space="720" w:num="1"/>
          <w:docGrid w:linePitch="312" w:charSpace="0"/>
        </w:sectPr>
      </w:pPr>
      <w:r>
        <w:rPr>
          <w:rFonts w:hint="eastAsia" w:ascii="方正楷体_GB2312" w:hAnsi="方正楷体_GB2312" w:eastAsia="方正楷体_GB2312" w:cs="方正楷体_GB2312"/>
          <w:color w:val="auto"/>
          <w:highlight w:val="none"/>
          <w:lang w:val="en-US" w:eastAsia="zh-CN"/>
        </w:rPr>
        <w:t>4.</w:t>
      </w:r>
      <w:r>
        <w:rPr>
          <w:rFonts w:hint="eastAsia" w:ascii="方正楷体_GB2312" w:hAnsi="方正楷体_GB2312" w:eastAsia="方正楷体_GB2312" w:cs="方正楷体_GB2312"/>
          <w:color w:val="auto"/>
          <w:highlight w:val="none"/>
          <w:lang w:eastAsia="zh-CN"/>
        </w:rPr>
        <w:t>如在招标过程中出现投标人的投标文件存在算术误差及细微偏差，根据招标文件“澄清、说明或补正”规定</w:t>
      </w:r>
      <w:r>
        <w:rPr>
          <w:rFonts w:hint="eastAsia" w:ascii="方正楷体_GB2312" w:hAnsi="方正楷体_GB2312" w:eastAsia="方正楷体_GB2312" w:cs="方正楷体_GB2312"/>
          <w:color w:val="auto"/>
          <w:highlight w:val="none"/>
        </w:rPr>
        <w:t>修正的算术投标总价小于投标函内的投标总价的，</w:t>
      </w:r>
      <w:r>
        <w:rPr>
          <w:rFonts w:hint="eastAsia" w:ascii="方正楷体_GB2312" w:hAnsi="方正楷体_GB2312" w:eastAsia="方正楷体_GB2312" w:cs="方正楷体_GB2312"/>
          <w:color w:val="auto"/>
          <w:highlight w:val="none"/>
          <w:lang w:val="en-US" w:eastAsia="zh-CN"/>
        </w:rPr>
        <w:t>中标候选人公示的投</w:t>
      </w:r>
      <w:r>
        <w:rPr>
          <w:rFonts w:hint="eastAsia" w:ascii="方正楷体_GB2312" w:hAnsi="方正楷体_GB2312" w:eastAsia="方正楷体_GB2312" w:cs="方正楷体_GB2312"/>
          <w:color w:val="auto"/>
          <w:highlight w:val="none"/>
          <w:lang w:eastAsia="zh-CN"/>
        </w:rPr>
        <w:t>标</w:t>
      </w:r>
      <w:r>
        <w:rPr>
          <w:rFonts w:hint="eastAsia" w:ascii="方正楷体_GB2312" w:hAnsi="方正楷体_GB2312" w:eastAsia="方正楷体_GB2312" w:cs="方正楷体_GB2312"/>
          <w:color w:val="auto"/>
          <w:highlight w:val="none"/>
          <w:lang w:val="en-US" w:eastAsia="zh-CN"/>
        </w:rPr>
        <w:t>总</w:t>
      </w:r>
      <w:r>
        <w:rPr>
          <w:rFonts w:hint="eastAsia" w:ascii="方正楷体_GB2312" w:hAnsi="方正楷体_GB2312" w:eastAsia="方正楷体_GB2312" w:cs="方正楷体_GB2312"/>
          <w:color w:val="auto"/>
          <w:highlight w:val="none"/>
          <w:lang w:eastAsia="zh-CN"/>
        </w:rPr>
        <w:t>价</w:t>
      </w:r>
      <w:r>
        <w:rPr>
          <w:rFonts w:hint="eastAsia" w:ascii="方正楷体_GB2312" w:hAnsi="方正楷体_GB2312" w:eastAsia="方正楷体_GB2312" w:cs="方正楷体_GB2312"/>
          <w:color w:val="auto"/>
          <w:highlight w:val="none"/>
          <w:lang w:val="en-US" w:eastAsia="zh-CN"/>
        </w:rPr>
        <w:t>为</w:t>
      </w:r>
      <w:r>
        <w:rPr>
          <w:rFonts w:hint="eastAsia" w:ascii="方正楷体_GB2312" w:hAnsi="方正楷体_GB2312" w:eastAsia="方正楷体_GB2312" w:cs="方正楷体_GB2312"/>
          <w:color w:val="auto"/>
          <w:highlight w:val="none"/>
        </w:rPr>
        <w:t>修正</w:t>
      </w:r>
      <w:r>
        <w:rPr>
          <w:rFonts w:hint="eastAsia" w:ascii="方正楷体_GB2312" w:hAnsi="方正楷体_GB2312" w:eastAsia="方正楷体_GB2312" w:cs="方正楷体_GB2312"/>
          <w:color w:val="auto"/>
          <w:highlight w:val="none"/>
          <w:lang w:eastAsia="zh-CN"/>
        </w:rPr>
        <w:t>后</w:t>
      </w:r>
      <w:r>
        <w:rPr>
          <w:rFonts w:hint="eastAsia" w:ascii="方正楷体_GB2312" w:hAnsi="方正楷体_GB2312" w:eastAsia="方正楷体_GB2312" w:cs="方正楷体_GB2312"/>
          <w:color w:val="auto"/>
          <w:highlight w:val="none"/>
        </w:rPr>
        <w:t>的算术投标总价。</w:t>
      </w:r>
    </w:p>
    <w:p w14:paraId="0CDBC020">
      <w:pPr>
        <w:pStyle w:val="5"/>
        <w:spacing w:line="240" w:lineRule="auto"/>
        <w:rPr>
          <w:color w:val="auto"/>
          <w:sz w:val="28"/>
          <w:szCs w:val="28"/>
          <w:highlight w:val="none"/>
        </w:rPr>
      </w:pPr>
      <w:bookmarkStart w:id="648" w:name="_Toc8034160"/>
      <w:bookmarkStart w:id="649" w:name="_Toc678992507"/>
      <w:bookmarkStart w:id="650" w:name="_Toc18426"/>
      <w:bookmarkStart w:id="651" w:name="_Toc78449774"/>
      <w:bookmarkStart w:id="652" w:name="_Toc18021"/>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8</w:t>
      </w:r>
      <w:r>
        <w:rPr>
          <w:rFonts w:hint="eastAsia"/>
          <w:color w:val="auto"/>
          <w:sz w:val="28"/>
          <w:szCs w:val="28"/>
          <w:highlight w:val="none"/>
        </w:rPr>
        <w:t>：中标通知书</w:t>
      </w:r>
      <w:bookmarkEnd w:id="648"/>
      <w:bookmarkEnd w:id="649"/>
      <w:bookmarkEnd w:id="650"/>
      <w:bookmarkEnd w:id="651"/>
      <w:bookmarkEnd w:id="652"/>
    </w:p>
    <w:p w14:paraId="7933CDB2">
      <w:pPr>
        <w:jc w:val="center"/>
        <w:rPr>
          <w:b/>
          <w:bCs/>
          <w:color w:val="auto"/>
          <w:sz w:val="28"/>
          <w:szCs w:val="28"/>
          <w:highlight w:val="none"/>
        </w:rPr>
      </w:pPr>
      <w:r>
        <w:rPr>
          <w:rFonts w:hint="eastAsia" w:eastAsia="黑体" w:cs="黑体"/>
          <w:color w:val="auto"/>
          <w:sz w:val="28"/>
          <w:szCs w:val="28"/>
          <w:highlight w:val="none"/>
        </w:rPr>
        <w:t>中标通知书</w:t>
      </w:r>
    </w:p>
    <w:p w14:paraId="0F1857D0">
      <w:pPr>
        <w:ind w:firstLine="210" w:firstLineChars="100"/>
        <w:rPr>
          <w:color w:val="auto"/>
          <w:highlight w:val="none"/>
        </w:rPr>
      </w:pPr>
      <w:r>
        <w:rPr>
          <w:rFonts w:hint="eastAsia" w:hAnsi="宋体" w:cs="宋体"/>
          <w:color w:val="auto"/>
          <w:highlight w:val="none"/>
          <w:lang w:eastAsia="zh-CN"/>
        </w:rPr>
        <w:t>招标项目编号</w:t>
      </w:r>
      <w:r>
        <w:rPr>
          <w:rFonts w:hint="eastAsia" w:hAnsi="宋体" w:cs="宋体"/>
          <w:color w:val="auto"/>
          <w:highlight w:val="none"/>
        </w:rPr>
        <w:t>：</w:t>
      </w:r>
      <w:r>
        <w:rPr>
          <w:b/>
          <w:bCs/>
          <w:color w:val="auto"/>
          <w:highlight w:val="none"/>
          <w:u w:val="single"/>
        </w:rPr>
        <w:t xml:space="preserve">   </w:t>
      </w:r>
      <w:r>
        <w:rPr>
          <w:color w:val="auto"/>
          <w:highlight w:val="none"/>
          <w:u w:val="single"/>
        </w:rPr>
        <w:t xml:space="preserve">                   </w:t>
      </w:r>
      <w:r>
        <w:rPr>
          <w:color w:val="auto"/>
          <w:highlight w:val="none"/>
        </w:rPr>
        <w:t xml:space="preserve">                        </w:t>
      </w:r>
      <w:r>
        <w:rPr>
          <w:rFonts w:hint="eastAsia" w:hAnsi="宋体" w:cs="宋体"/>
          <w:color w:val="auto"/>
          <w:highlight w:val="none"/>
        </w:rPr>
        <w:t>中标通知书编号（如有）：</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56"/>
        <w:gridCol w:w="1156"/>
        <w:gridCol w:w="1337"/>
        <w:gridCol w:w="52"/>
        <w:gridCol w:w="1251"/>
        <w:gridCol w:w="583"/>
        <w:gridCol w:w="1431"/>
        <w:gridCol w:w="626"/>
        <w:gridCol w:w="353"/>
        <w:gridCol w:w="1134"/>
        <w:gridCol w:w="1153"/>
      </w:tblGrid>
      <w:tr w14:paraId="6F4BB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35E8AB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招</w:t>
            </w:r>
            <w:r>
              <w:rPr>
                <w:rFonts w:hint="default" w:ascii="Calibri" w:hAnsi="宋体" w:eastAsia="宋体" w:cs="宋体"/>
                <w:color w:val="auto"/>
                <w:highlight w:val="none"/>
              </w:rPr>
              <w:t>标人</w:t>
            </w:r>
          </w:p>
        </w:tc>
        <w:tc>
          <w:tcPr>
            <w:tcW w:w="7920" w:type="dxa"/>
            <w:gridSpan w:val="9"/>
            <w:noWrap w:val="0"/>
            <w:vAlign w:val="center"/>
          </w:tcPr>
          <w:p w14:paraId="53F4F0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66F07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26AE3F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Calibri" w:hAnsi="宋体" w:eastAsia="宋体" w:cs="宋体"/>
                <w:color w:val="auto"/>
                <w:highlight w:val="none"/>
              </w:rPr>
            </w:pPr>
            <w:r>
              <w:rPr>
                <w:rFonts w:hint="eastAsia" w:ascii="Calibri" w:hAnsi="宋体" w:eastAsia="宋体" w:cs="宋体"/>
                <w:color w:val="auto"/>
                <w:highlight w:val="none"/>
              </w:rPr>
              <w:t>建设单位</w:t>
            </w:r>
          </w:p>
        </w:tc>
        <w:tc>
          <w:tcPr>
            <w:tcW w:w="7920" w:type="dxa"/>
            <w:gridSpan w:val="9"/>
            <w:noWrap w:val="0"/>
            <w:vAlign w:val="center"/>
          </w:tcPr>
          <w:p w14:paraId="026F84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3B62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5AA189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代建单位（如有）</w:t>
            </w:r>
          </w:p>
        </w:tc>
        <w:tc>
          <w:tcPr>
            <w:tcW w:w="7920" w:type="dxa"/>
            <w:gridSpan w:val="9"/>
            <w:noWrap w:val="0"/>
            <w:vAlign w:val="center"/>
          </w:tcPr>
          <w:p w14:paraId="10234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794A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876" w:type="dxa"/>
            <w:gridSpan w:val="3"/>
            <w:vMerge w:val="restart"/>
            <w:noWrap w:val="0"/>
            <w:vAlign w:val="center"/>
          </w:tcPr>
          <w:p w14:paraId="62AAF3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中标单位</w:t>
            </w:r>
          </w:p>
        </w:tc>
        <w:tc>
          <w:tcPr>
            <w:tcW w:w="2640" w:type="dxa"/>
            <w:gridSpan w:val="3"/>
            <w:vMerge w:val="restart"/>
            <w:noWrap w:val="0"/>
            <w:vAlign w:val="center"/>
          </w:tcPr>
          <w:p w14:paraId="12633C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right"/>
              <w:textAlignment w:val="auto"/>
              <w:rPr>
                <w:rFonts w:hint="default" w:ascii="Calibri" w:hAnsi="Calibri" w:eastAsia="宋体" w:cs="Times New Roman"/>
                <w:b/>
                <w:bCs/>
                <w:color w:val="auto"/>
                <w:highlight w:val="none"/>
              </w:rPr>
            </w:pPr>
            <w:r>
              <w:rPr>
                <w:rFonts w:hint="eastAsia" w:ascii="Calibri" w:hAnsi="Calibri" w:eastAsia="宋体" w:cs="Times New Roman"/>
                <w:color w:val="auto"/>
                <w:highlight w:val="none"/>
              </w:rPr>
              <w:t>（非联合体）</w:t>
            </w:r>
          </w:p>
        </w:tc>
        <w:tc>
          <w:tcPr>
            <w:tcW w:w="2640" w:type="dxa"/>
            <w:gridSpan w:val="3"/>
            <w:vMerge w:val="restart"/>
            <w:noWrap w:val="0"/>
            <w:vAlign w:val="center"/>
          </w:tcPr>
          <w:p w14:paraId="5FCE68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b/>
                <w:bCs/>
                <w:color w:val="auto"/>
                <w:highlight w:val="none"/>
              </w:rPr>
            </w:pPr>
            <w:r>
              <w:rPr>
                <w:rFonts w:hint="eastAsia" w:ascii="Calibri" w:hAnsi="Calibri" w:eastAsia="宋体" w:cs="Times New Roman"/>
                <w:color w:val="auto"/>
                <w:highlight w:val="none"/>
              </w:rPr>
              <w:t>联合体</w:t>
            </w:r>
          </w:p>
        </w:tc>
        <w:tc>
          <w:tcPr>
            <w:tcW w:w="2640" w:type="dxa"/>
            <w:gridSpan w:val="3"/>
            <w:noWrap w:val="0"/>
            <w:vAlign w:val="center"/>
          </w:tcPr>
          <w:p w14:paraId="37AA32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r>
              <w:rPr>
                <w:rFonts w:hint="eastAsia" w:ascii="Calibri" w:hAnsi="Calibri" w:eastAsia="宋体" w:cs="Times New Roman"/>
                <w:color w:val="auto"/>
                <w:highlight w:val="none"/>
              </w:rPr>
              <w:t>牵头人：</w:t>
            </w:r>
          </w:p>
        </w:tc>
      </w:tr>
      <w:tr w14:paraId="136AB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876" w:type="dxa"/>
            <w:gridSpan w:val="3"/>
            <w:vMerge w:val="continue"/>
            <w:noWrap w:val="0"/>
            <w:vAlign w:val="center"/>
          </w:tcPr>
          <w:p w14:paraId="093558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Calibri" w:hAnsi="宋体" w:eastAsia="宋体" w:cs="宋体"/>
                <w:color w:val="auto"/>
                <w:highlight w:val="none"/>
              </w:rPr>
            </w:pPr>
          </w:p>
        </w:tc>
        <w:tc>
          <w:tcPr>
            <w:tcW w:w="2640" w:type="dxa"/>
            <w:gridSpan w:val="3"/>
            <w:vMerge w:val="continue"/>
            <w:noWrap w:val="0"/>
            <w:vAlign w:val="center"/>
          </w:tcPr>
          <w:p w14:paraId="604EEB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c>
          <w:tcPr>
            <w:tcW w:w="2640" w:type="dxa"/>
            <w:gridSpan w:val="3"/>
            <w:vMerge w:val="continue"/>
            <w:noWrap w:val="0"/>
            <w:vAlign w:val="center"/>
          </w:tcPr>
          <w:p w14:paraId="7844C3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c>
          <w:tcPr>
            <w:tcW w:w="2640" w:type="dxa"/>
            <w:gridSpan w:val="3"/>
            <w:noWrap w:val="0"/>
            <w:vAlign w:val="center"/>
          </w:tcPr>
          <w:p w14:paraId="1DC61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r>
              <w:rPr>
                <w:rFonts w:hint="eastAsia" w:ascii="Calibri" w:hAnsi="Calibri" w:eastAsia="宋体" w:cs="Times New Roman"/>
                <w:color w:val="auto"/>
                <w:highlight w:val="none"/>
              </w:rPr>
              <w:t>成员单位：</w:t>
            </w:r>
          </w:p>
        </w:tc>
      </w:tr>
      <w:tr w14:paraId="509CD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425C48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设计单位</w:t>
            </w:r>
          </w:p>
        </w:tc>
        <w:tc>
          <w:tcPr>
            <w:tcW w:w="7920" w:type="dxa"/>
            <w:gridSpan w:val="9"/>
            <w:noWrap w:val="0"/>
            <w:vAlign w:val="center"/>
          </w:tcPr>
          <w:p w14:paraId="6D28E9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7A82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0AFF17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招标代理机构</w:t>
            </w:r>
          </w:p>
        </w:tc>
        <w:tc>
          <w:tcPr>
            <w:tcW w:w="7920" w:type="dxa"/>
            <w:gridSpan w:val="9"/>
            <w:noWrap w:val="0"/>
            <w:vAlign w:val="center"/>
          </w:tcPr>
          <w:p w14:paraId="6A4CF3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677A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2FD85A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Calibri" w:cs="宋体"/>
                <w:color w:val="auto"/>
                <w:highlight w:val="none"/>
                <w:lang w:val="en-US" w:eastAsia="zh-CN"/>
              </w:rPr>
              <w:t>招标</w:t>
            </w:r>
            <w:r>
              <w:rPr>
                <w:rFonts w:hint="eastAsia" w:ascii="Calibri" w:hAnsi="宋体" w:eastAsia="宋体" w:cs="宋体"/>
                <w:color w:val="auto"/>
                <w:highlight w:val="none"/>
              </w:rPr>
              <w:t>项目名称</w:t>
            </w:r>
          </w:p>
        </w:tc>
        <w:tc>
          <w:tcPr>
            <w:tcW w:w="7920" w:type="dxa"/>
            <w:gridSpan w:val="9"/>
            <w:noWrap w:val="0"/>
            <w:vAlign w:val="center"/>
          </w:tcPr>
          <w:p w14:paraId="154A88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14D1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56A886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工程地址</w:t>
            </w:r>
          </w:p>
        </w:tc>
        <w:tc>
          <w:tcPr>
            <w:tcW w:w="7920" w:type="dxa"/>
            <w:gridSpan w:val="9"/>
            <w:noWrap w:val="0"/>
            <w:vAlign w:val="center"/>
          </w:tcPr>
          <w:p w14:paraId="543A20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4466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087497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中标范围</w:t>
            </w:r>
          </w:p>
        </w:tc>
        <w:tc>
          <w:tcPr>
            <w:tcW w:w="7920" w:type="dxa"/>
            <w:gridSpan w:val="9"/>
            <w:noWrap w:val="0"/>
            <w:vAlign w:val="center"/>
          </w:tcPr>
          <w:p w14:paraId="429449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6DA09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77E10A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结构类型</w:t>
            </w:r>
          </w:p>
        </w:tc>
        <w:tc>
          <w:tcPr>
            <w:tcW w:w="3223" w:type="dxa"/>
            <w:gridSpan w:val="4"/>
            <w:noWrap w:val="0"/>
            <w:vAlign w:val="center"/>
          </w:tcPr>
          <w:p w14:paraId="33BD5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b/>
                <w:bCs/>
                <w:color w:val="auto"/>
                <w:highlight w:val="none"/>
              </w:rPr>
            </w:pPr>
            <w:r>
              <w:rPr>
                <w:rFonts w:hint="eastAsia" w:ascii="Calibri" w:hAnsi="Calibri" w:eastAsia="宋体" w:cs="宋体"/>
                <w:color w:val="auto"/>
                <w:kern w:val="0"/>
                <w:highlight w:val="none"/>
              </w:rPr>
              <w:t>（</w:t>
            </w:r>
            <w:r>
              <w:rPr>
                <w:rFonts w:hint="eastAsia" w:ascii="仿宋_GB2312" w:hAnsi="宋体" w:eastAsia="宋体" w:cs="Times New Roman"/>
                <w:color w:val="auto"/>
                <w:highlight w:val="none"/>
              </w:rPr>
              <w:t>房建</w:t>
            </w:r>
            <w:r>
              <w:rPr>
                <w:rFonts w:hint="default" w:ascii="仿宋_GB2312" w:hAnsi="宋体" w:eastAsia="宋体" w:cs="Times New Roman"/>
                <w:color w:val="auto"/>
                <w:highlight w:val="none"/>
              </w:rPr>
              <w:t>项目</w:t>
            </w:r>
            <w:r>
              <w:rPr>
                <w:rFonts w:hint="eastAsia" w:ascii="仿宋_GB2312" w:hAnsi="宋体" w:eastAsia="宋体" w:cs="Times New Roman"/>
                <w:color w:val="auto"/>
                <w:highlight w:val="none"/>
              </w:rPr>
              <w:t>应</w:t>
            </w:r>
            <w:r>
              <w:rPr>
                <w:rFonts w:hint="default" w:ascii="仿宋_GB2312" w:hAnsi="宋体" w:eastAsia="宋体" w:cs="Times New Roman"/>
                <w:color w:val="auto"/>
                <w:highlight w:val="none"/>
              </w:rPr>
              <w:t>注明结构、层数、</w:t>
            </w:r>
            <w:r>
              <w:rPr>
                <w:rFonts w:hint="eastAsia" w:ascii="仿宋_GB2312" w:hAnsi="宋体" w:eastAsia="宋体" w:cs="Times New Roman"/>
                <w:color w:val="auto"/>
                <w:highlight w:val="none"/>
              </w:rPr>
              <w:t>最大</w:t>
            </w:r>
            <w:r>
              <w:rPr>
                <w:rFonts w:hint="default" w:ascii="仿宋_GB2312" w:hAnsi="宋体" w:eastAsia="宋体" w:cs="Times New Roman"/>
                <w:color w:val="auto"/>
                <w:highlight w:val="none"/>
              </w:rPr>
              <w:t>单跨</w:t>
            </w:r>
            <w:r>
              <w:rPr>
                <w:rFonts w:hint="eastAsia" w:ascii="仿宋_GB2312" w:hAnsi="宋体" w:eastAsia="宋体" w:cs="Times New Roman"/>
                <w:color w:val="auto"/>
                <w:highlight w:val="none"/>
              </w:rPr>
              <w:t>、</w:t>
            </w:r>
            <w:r>
              <w:rPr>
                <w:rFonts w:hint="default" w:ascii="仿宋_GB2312" w:hAnsi="宋体" w:eastAsia="宋体" w:cs="Times New Roman"/>
                <w:color w:val="auto"/>
                <w:highlight w:val="none"/>
              </w:rPr>
              <w:t>建筑高度、</w:t>
            </w:r>
            <w:r>
              <w:rPr>
                <w:rFonts w:hint="eastAsia" w:ascii="仿宋_GB2312" w:hAnsi="宋体" w:eastAsia="宋体" w:cs="Times New Roman"/>
                <w:color w:val="auto"/>
                <w:highlight w:val="none"/>
              </w:rPr>
              <w:t>建筑</w:t>
            </w:r>
            <w:r>
              <w:rPr>
                <w:rFonts w:hint="default" w:ascii="仿宋_GB2312" w:hAnsi="宋体" w:eastAsia="宋体" w:cs="Times New Roman"/>
                <w:color w:val="auto"/>
                <w:highlight w:val="none"/>
              </w:rPr>
              <w:t>面积、是否</w:t>
            </w:r>
            <w:r>
              <w:rPr>
                <w:rFonts w:hint="eastAsia" w:ascii="仿宋_GB2312" w:hAnsi="宋体" w:eastAsia="宋体" w:cs="Times New Roman"/>
                <w:color w:val="auto"/>
                <w:highlight w:val="none"/>
              </w:rPr>
              <w:t>为</w:t>
            </w:r>
            <w:r>
              <w:rPr>
                <w:rFonts w:hint="default" w:ascii="仿宋_GB2312" w:hAnsi="宋体" w:eastAsia="宋体" w:cs="Times New Roman"/>
                <w:color w:val="auto"/>
                <w:highlight w:val="none"/>
              </w:rPr>
              <w:t>装配式</w:t>
            </w:r>
            <w:r>
              <w:rPr>
                <w:rFonts w:hint="eastAsia" w:ascii="仿宋_GB2312" w:hAnsi="宋体" w:eastAsia="宋体" w:cs="Times New Roman"/>
                <w:color w:val="auto"/>
                <w:highlight w:val="none"/>
              </w:rPr>
              <w:t>建筑</w:t>
            </w:r>
            <w:r>
              <w:rPr>
                <w:rFonts w:hint="default" w:ascii="仿宋_GB2312" w:hAnsi="宋体" w:eastAsia="宋体" w:cs="Times New Roman"/>
                <w:color w:val="auto"/>
                <w:highlight w:val="none"/>
              </w:rPr>
              <w:t>等</w:t>
            </w:r>
            <w:r>
              <w:rPr>
                <w:rFonts w:hint="eastAsia" w:ascii="仿宋_GB2312" w:hAnsi="宋体" w:eastAsia="宋体" w:cs="Times New Roman"/>
                <w:color w:val="auto"/>
                <w:highlight w:val="none"/>
              </w:rPr>
              <w:t>；</w:t>
            </w:r>
            <w:r>
              <w:rPr>
                <w:rFonts w:hint="default" w:ascii="仿宋_GB2312" w:hAnsi="宋体" w:eastAsia="宋体" w:cs="Times New Roman"/>
                <w:color w:val="auto"/>
                <w:highlight w:val="none"/>
              </w:rPr>
              <w:t>桥梁</w:t>
            </w:r>
            <w:r>
              <w:rPr>
                <w:rFonts w:hint="eastAsia" w:ascii="仿宋_GB2312" w:hAnsi="宋体" w:eastAsia="宋体" w:cs="Times New Roman"/>
                <w:color w:val="auto"/>
                <w:highlight w:val="none"/>
              </w:rPr>
              <w:t>应</w:t>
            </w:r>
            <w:r>
              <w:rPr>
                <w:rFonts w:hint="default" w:ascii="仿宋_GB2312" w:hAnsi="宋体" w:eastAsia="宋体" w:cs="Times New Roman"/>
                <w:color w:val="auto"/>
                <w:highlight w:val="none"/>
              </w:rPr>
              <w:t>注明</w:t>
            </w:r>
            <w:r>
              <w:rPr>
                <w:rFonts w:hint="eastAsia" w:ascii="仿宋_GB2312" w:hAnsi="宋体" w:eastAsia="宋体" w:cs="Times New Roman"/>
                <w:color w:val="auto"/>
                <w:highlight w:val="none"/>
              </w:rPr>
              <w:t>长度、</w:t>
            </w:r>
            <w:r>
              <w:rPr>
                <w:rFonts w:hint="default" w:ascii="仿宋_GB2312" w:hAnsi="宋体" w:eastAsia="宋体" w:cs="Times New Roman"/>
                <w:color w:val="auto"/>
                <w:highlight w:val="none"/>
              </w:rPr>
              <w:t>最大单跨、宽度</w:t>
            </w:r>
            <w:r>
              <w:rPr>
                <w:rFonts w:hint="eastAsia" w:ascii="仿宋_GB2312" w:hAnsi="宋体" w:eastAsia="宋体" w:cs="Times New Roman"/>
                <w:color w:val="auto"/>
                <w:highlight w:val="none"/>
              </w:rPr>
              <w:t>等；</w:t>
            </w:r>
            <w:r>
              <w:rPr>
                <w:rFonts w:hint="default" w:ascii="仿宋_GB2312" w:hAnsi="宋体" w:eastAsia="宋体" w:cs="Times New Roman"/>
                <w:color w:val="auto"/>
                <w:highlight w:val="none"/>
              </w:rPr>
              <w:t>市政道路应注明道路类型</w:t>
            </w:r>
            <w:r>
              <w:rPr>
                <w:rFonts w:hint="eastAsia" w:ascii="仿宋_GB2312" w:hAnsi="宋体" w:eastAsia="宋体" w:cs="Times New Roman"/>
                <w:color w:val="auto"/>
                <w:highlight w:val="none"/>
              </w:rPr>
              <w:t>、长度</w:t>
            </w:r>
            <w:r>
              <w:rPr>
                <w:rFonts w:hint="default" w:ascii="仿宋_GB2312" w:hAnsi="宋体" w:eastAsia="宋体" w:cs="Times New Roman"/>
                <w:color w:val="auto"/>
                <w:highlight w:val="none"/>
              </w:rPr>
              <w:t>、宽度</w:t>
            </w:r>
            <w:r>
              <w:rPr>
                <w:rFonts w:hint="eastAsia" w:ascii="仿宋_GB2312" w:hAnsi="宋体" w:eastAsia="宋体" w:cs="Times New Roman"/>
                <w:color w:val="auto"/>
                <w:highlight w:val="none"/>
              </w:rPr>
              <w:t>等</w:t>
            </w:r>
            <w:r>
              <w:rPr>
                <w:rFonts w:hint="eastAsia" w:ascii="Calibri" w:hAnsi="Calibri" w:eastAsia="宋体" w:cs="宋体"/>
                <w:color w:val="auto"/>
                <w:kern w:val="0"/>
                <w:highlight w:val="none"/>
              </w:rPr>
              <w:t>）</w:t>
            </w:r>
          </w:p>
        </w:tc>
        <w:tc>
          <w:tcPr>
            <w:tcW w:w="2410" w:type="dxa"/>
            <w:gridSpan w:val="3"/>
            <w:noWrap w:val="0"/>
            <w:vAlign w:val="center"/>
          </w:tcPr>
          <w:p w14:paraId="313F00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工程规模</w:t>
            </w:r>
          </w:p>
        </w:tc>
        <w:tc>
          <w:tcPr>
            <w:tcW w:w="2287" w:type="dxa"/>
            <w:gridSpan w:val="2"/>
            <w:noWrap w:val="0"/>
            <w:vAlign w:val="center"/>
          </w:tcPr>
          <w:p w14:paraId="45FA50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071A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76" w:type="dxa"/>
            <w:gridSpan w:val="3"/>
            <w:noWrap w:val="0"/>
            <w:vAlign w:val="center"/>
          </w:tcPr>
          <w:p w14:paraId="0D0A44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承包方式</w:t>
            </w:r>
          </w:p>
        </w:tc>
        <w:tc>
          <w:tcPr>
            <w:tcW w:w="3223" w:type="dxa"/>
            <w:gridSpan w:val="4"/>
            <w:noWrap w:val="0"/>
            <w:vAlign w:val="center"/>
          </w:tcPr>
          <w:p w14:paraId="28CA78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b/>
                <w:bCs/>
                <w:color w:val="auto"/>
                <w:highlight w:val="none"/>
              </w:rPr>
            </w:pPr>
          </w:p>
        </w:tc>
        <w:tc>
          <w:tcPr>
            <w:tcW w:w="2410" w:type="dxa"/>
            <w:gridSpan w:val="3"/>
            <w:noWrap w:val="0"/>
            <w:vAlign w:val="center"/>
          </w:tcPr>
          <w:p w14:paraId="3E82C6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承包类型</w:t>
            </w:r>
          </w:p>
        </w:tc>
        <w:tc>
          <w:tcPr>
            <w:tcW w:w="2287" w:type="dxa"/>
            <w:gridSpan w:val="2"/>
            <w:noWrap w:val="0"/>
            <w:vAlign w:val="center"/>
          </w:tcPr>
          <w:p w14:paraId="2D2DDF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43B0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76" w:type="dxa"/>
            <w:gridSpan w:val="3"/>
            <w:noWrap w:val="0"/>
            <w:vAlign w:val="center"/>
          </w:tcPr>
          <w:p w14:paraId="4F0CA9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项目经理</w:t>
            </w:r>
          </w:p>
        </w:tc>
        <w:tc>
          <w:tcPr>
            <w:tcW w:w="1337" w:type="dxa"/>
            <w:noWrap w:val="0"/>
            <w:vAlign w:val="center"/>
          </w:tcPr>
          <w:p w14:paraId="04919C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b/>
                <w:bCs/>
                <w:color w:val="auto"/>
                <w:highlight w:val="none"/>
              </w:rPr>
            </w:pPr>
          </w:p>
        </w:tc>
        <w:tc>
          <w:tcPr>
            <w:tcW w:w="1886" w:type="dxa"/>
            <w:gridSpan w:val="3"/>
            <w:noWrap w:val="0"/>
            <w:vAlign w:val="center"/>
          </w:tcPr>
          <w:p w14:paraId="55DBCE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注册专业、等级及注册编号</w:t>
            </w:r>
          </w:p>
        </w:tc>
        <w:tc>
          <w:tcPr>
            <w:tcW w:w="2410" w:type="dxa"/>
            <w:gridSpan w:val="3"/>
            <w:noWrap w:val="0"/>
            <w:vAlign w:val="center"/>
          </w:tcPr>
          <w:p w14:paraId="766555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b/>
                <w:bCs/>
                <w:color w:val="auto"/>
                <w:highlight w:val="none"/>
              </w:rPr>
            </w:pPr>
          </w:p>
        </w:tc>
        <w:tc>
          <w:tcPr>
            <w:tcW w:w="1134" w:type="dxa"/>
            <w:noWrap w:val="0"/>
            <w:vAlign w:val="center"/>
          </w:tcPr>
          <w:p w14:paraId="58A703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kern w:val="0"/>
                <w:highlight w:val="none"/>
              </w:rPr>
              <w:t>身份证号</w:t>
            </w:r>
          </w:p>
        </w:tc>
        <w:tc>
          <w:tcPr>
            <w:tcW w:w="1153" w:type="dxa"/>
            <w:noWrap w:val="0"/>
            <w:vAlign w:val="center"/>
          </w:tcPr>
          <w:p w14:paraId="2C53AF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2DC1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jc w:val="center"/>
        </w:trPr>
        <w:tc>
          <w:tcPr>
            <w:tcW w:w="1876" w:type="dxa"/>
            <w:gridSpan w:val="3"/>
            <w:vMerge w:val="restart"/>
            <w:noWrap w:val="0"/>
            <w:vAlign w:val="center"/>
          </w:tcPr>
          <w:p w14:paraId="51163C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宋体" w:eastAsia="宋体" w:cs="Times New Roman"/>
                <w:color w:val="auto"/>
                <w:highlight w:val="none"/>
              </w:rPr>
            </w:pPr>
            <w:r>
              <w:rPr>
                <w:rFonts w:hint="eastAsia" w:ascii="Calibri" w:hAnsi="宋体" w:eastAsia="宋体" w:cs="宋体"/>
                <w:color w:val="auto"/>
                <w:highlight w:val="none"/>
              </w:rPr>
              <w:t>技术负责人及证书编号</w:t>
            </w:r>
          </w:p>
        </w:tc>
        <w:tc>
          <w:tcPr>
            <w:tcW w:w="3223" w:type="dxa"/>
            <w:gridSpan w:val="4"/>
            <w:vMerge w:val="restart"/>
            <w:noWrap w:val="0"/>
            <w:vAlign w:val="center"/>
          </w:tcPr>
          <w:p w14:paraId="65CFF4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宋体" w:eastAsia="宋体" w:cs="Times New Roman"/>
                <w:color w:val="auto"/>
                <w:highlight w:val="none"/>
              </w:rPr>
            </w:pPr>
          </w:p>
        </w:tc>
        <w:tc>
          <w:tcPr>
            <w:tcW w:w="2410" w:type="dxa"/>
            <w:gridSpan w:val="3"/>
            <w:vMerge w:val="restart"/>
            <w:noWrap w:val="0"/>
            <w:vAlign w:val="center"/>
          </w:tcPr>
          <w:p w14:paraId="43E96B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b/>
                <w:bCs/>
                <w:color w:val="auto"/>
                <w:highlight w:val="none"/>
              </w:rPr>
            </w:pPr>
            <w:r>
              <w:rPr>
                <w:rFonts w:hint="eastAsia" w:ascii="Calibri" w:hAnsi="宋体" w:eastAsia="宋体" w:cs="宋体"/>
                <w:color w:val="auto"/>
                <w:highlight w:val="none"/>
              </w:rPr>
              <w:t>专职安全生产管理人员及安全生产考核合格证书编号、身份证</w:t>
            </w:r>
            <w:r>
              <w:rPr>
                <w:rFonts w:hint="default" w:ascii="Calibri" w:hAnsi="宋体" w:eastAsia="宋体" w:cs="宋体"/>
                <w:color w:val="auto"/>
                <w:highlight w:val="none"/>
              </w:rPr>
              <w:t>号</w:t>
            </w:r>
            <w:r>
              <w:rPr>
                <w:rFonts w:hint="eastAsia" w:ascii="Calibri" w:hAnsi="宋体" w:eastAsia="宋体" w:cs="宋体"/>
                <w:color w:val="auto"/>
                <w:highlight w:val="none"/>
              </w:rPr>
              <w:t>（全部）</w:t>
            </w:r>
          </w:p>
        </w:tc>
        <w:tc>
          <w:tcPr>
            <w:tcW w:w="2287" w:type="dxa"/>
            <w:gridSpan w:val="2"/>
            <w:noWrap w:val="0"/>
            <w:vAlign w:val="center"/>
          </w:tcPr>
          <w:p w14:paraId="1756AA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4EDC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76" w:type="dxa"/>
            <w:gridSpan w:val="3"/>
            <w:vMerge w:val="continue"/>
            <w:noWrap w:val="0"/>
            <w:vAlign w:val="center"/>
          </w:tcPr>
          <w:p w14:paraId="7FC0D4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宋体" w:eastAsia="宋体" w:cs="Times New Roman"/>
                <w:color w:val="auto"/>
                <w:highlight w:val="none"/>
              </w:rPr>
            </w:pPr>
          </w:p>
        </w:tc>
        <w:tc>
          <w:tcPr>
            <w:tcW w:w="3223" w:type="dxa"/>
            <w:gridSpan w:val="4"/>
            <w:vMerge w:val="continue"/>
            <w:noWrap w:val="0"/>
            <w:vAlign w:val="center"/>
          </w:tcPr>
          <w:p w14:paraId="1631C7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宋体" w:eastAsia="宋体" w:cs="Times New Roman"/>
                <w:color w:val="auto"/>
                <w:highlight w:val="none"/>
              </w:rPr>
            </w:pPr>
          </w:p>
        </w:tc>
        <w:tc>
          <w:tcPr>
            <w:tcW w:w="2410" w:type="dxa"/>
            <w:gridSpan w:val="3"/>
            <w:vMerge w:val="continue"/>
            <w:noWrap w:val="0"/>
            <w:vAlign w:val="center"/>
          </w:tcPr>
          <w:p w14:paraId="1B6FDE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b/>
                <w:bCs/>
                <w:color w:val="auto"/>
                <w:highlight w:val="none"/>
              </w:rPr>
            </w:pPr>
          </w:p>
        </w:tc>
        <w:tc>
          <w:tcPr>
            <w:tcW w:w="2287" w:type="dxa"/>
            <w:gridSpan w:val="2"/>
            <w:noWrap w:val="0"/>
            <w:vAlign w:val="center"/>
          </w:tcPr>
          <w:p w14:paraId="5459C1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5E7E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76" w:type="dxa"/>
            <w:gridSpan w:val="3"/>
            <w:vMerge w:val="continue"/>
            <w:noWrap w:val="0"/>
            <w:vAlign w:val="center"/>
          </w:tcPr>
          <w:p w14:paraId="74B140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p>
        </w:tc>
        <w:tc>
          <w:tcPr>
            <w:tcW w:w="3223" w:type="dxa"/>
            <w:gridSpan w:val="4"/>
            <w:vMerge w:val="continue"/>
            <w:noWrap w:val="0"/>
            <w:vAlign w:val="center"/>
          </w:tcPr>
          <w:p w14:paraId="061CA4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p>
        </w:tc>
        <w:tc>
          <w:tcPr>
            <w:tcW w:w="2410" w:type="dxa"/>
            <w:gridSpan w:val="3"/>
            <w:vMerge w:val="continue"/>
            <w:noWrap w:val="0"/>
            <w:vAlign w:val="center"/>
          </w:tcPr>
          <w:p w14:paraId="1AA279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b/>
                <w:bCs/>
                <w:color w:val="auto"/>
                <w:highlight w:val="none"/>
              </w:rPr>
            </w:pPr>
          </w:p>
        </w:tc>
        <w:tc>
          <w:tcPr>
            <w:tcW w:w="2287" w:type="dxa"/>
            <w:gridSpan w:val="2"/>
            <w:noWrap w:val="0"/>
            <w:vAlign w:val="center"/>
          </w:tcPr>
          <w:p w14:paraId="1B59C8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b/>
                <w:bCs/>
                <w:color w:val="auto"/>
                <w:highlight w:val="none"/>
              </w:rPr>
            </w:pPr>
          </w:p>
        </w:tc>
      </w:tr>
      <w:tr w14:paraId="1A18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20" w:type="dxa"/>
            <w:gridSpan w:val="2"/>
            <w:vMerge w:val="restart"/>
            <w:noWrap w:val="0"/>
            <w:vAlign w:val="center"/>
          </w:tcPr>
          <w:p w14:paraId="3746E0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中标</w:t>
            </w:r>
          </w:p>
          <w:p w14:paraId="4E6D43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主要</w:t>
            </w:r>
          </w:p>
          <w:p w14:paraId="367431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条件</w:t>
            </w:r>
          </w:p>
        </w:tc>
        <w:tc>
          <w:tcPr>
            <w:tcW w:w="1156" w:type="dxa"/>
            <w:noWrap w:val="0"/>
            <w:vAlign w:val="center"/>
          </w:tcPr>
          <w:p w14:paraId="30E5D6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中标价</w:t>
            </w:r>
          </w:p>
        </w:tc>
        <w:tc>
          <w:tcPr>
            <w:tcW w:w="3223" w:type="dxa"/>
            <w:gridSpan w:val="4"/>
            <w:noWrap w:val="0"/>
            <w:vAlign w:val="center"/>
          </w:tcPr>
          <w:p w14:paraId="55356C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right"/>
              <w:textAlignment w:val="auto"/>
              <w:rPr>
                <w:rFonts w:hint="default" w:ascii="Calibri" w:hAnsi="Calibri" w:eastAsia="宋体" w:cs="Times New Roman"/>
                <w:b/>
                <w:bCs/>
                <w:color w:val="auto"/>
                <w:highlight w:val="none"/>
              </w:rPr>
            </w:pPr>
          </w:p>
        </w:tc>
        <w:tc>
          <w:tcPr>
            <w:tcW w:w="2410" w:type="dxa"/>
            <w:gridSpan w:val="3"/>
            <w:vMerge w:val="restart"/>
            <w:noWrap w:val="0"/>
            <w:vAlign w:val="center"/>
          </w:tcPr>
          <w:p w14:paraId="31D15A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主要材料</w:t>
            </w:r>
          </w:p>
        </w:tc>
        <w:tc>
          <w:tcPr>
            <w:tcW w:w="1134" w:type="dxa"/>
            <w:noWrap w:val="0"/>
            <w:vAlign w:val="center"/>
          </w:tcPr>
          <w:p w14:paraId="668D28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钢</w:t>
            </w:r>
            <w:r>
              <w:rPr>
                <w:rFonts w:hint="default" w:ascii="Calibri" w:hAnsi="Calibri" w:eastAsia="宋体" w:cs="Times New Roman"/>
                <w:color w:val="auto"/>
                <w:highlight w:val="none"/>
              </w:rPr>
              <w:t xml:space="preserve">  </w:t>
            </w:r>
            <w:r>
              <w:rPr>
                <w:rFonts w:hint="eastAsia" w:ascii="Calibri" w:hAnsi="宋体" w:eastAsia="宋体" w:cs="宋体"/>
                <w:color w:val="auto"/>
                <w:highlight w:val="none"/>
              </w:rPr>
              <w:t>筋</w:t>
            </w:r>
          </w:p>
        </w:tc>
        <w:tc>
          <w:tcPr>
            <w:tcW w:w="1153" w:type="dxa"/>
            <w:noWrap w:val="0"/>
            <w:vAlign w:val="center"/>
          </w:tcPr>
          <w:p w14:paraId="7D34F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right"/>
              <w:textAlignment w:val="auto"/>
              <w:rPr>
                <w:rFonts w:hint="default" w:ascii="Calibri" w:hAnsi="Calibri" w:eastAsia="宋体" w:cs="Times New Roman"/>
                <w:b/>
                <w:bCs/>
                <w:color w:val="auto"/>
                <w:highlight w:val="none"/>
              </w:rPr>
            </w:pPr>
          </w:p>
        </w:tc>
      </w:tr>
      <w:tr w14:paraId="7A02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20" w:type="dxa"/>
            <w:gridSpan w:val="2"/>
            <w:vMerge w:val="continue"/>
            <w:noWrap w:val="0"/>
            <w:vAlign w:val="top"/>
          </w:tcPr>
          <w:p w14:paraId="3AD46C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tc>
        <w:tc>
          <w:tcPr>
            <w:tcW w:w="1156" w:type="dxa"/>
            <w:noWrap w:val="0"/>
            <w:vAlign w:val="center"/>
          </w:tcPr>
          <w:p w14:paraId="2BFDF8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工期</w:t>
            </w:r>
          </w:p>
        </w:tc>
        <w:tc>
          <w:tcPr>
            <w:tcW w:w="3223" w:type="dxa"/>
            <w:gridSpan w:val="4"/>
            <w:noWrap w:val="0"/>
            <w:vAlign w:val="center"/>
          </w:tcPr>
          <w:p w14:paraId="6496C6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right"/>
              <w:textAlignment w:val="auto"/>
              <w:rPr>
                <w:rFonts w:hint="default" w:ascii="Calibri" w:hAnsi="Calibri" w:eastAsia="宋体" w:cs="Times New Roman"/>
                <w:b/>
                <w:bCs/>
                <w:color w:val="auto"/>
                <w:highlight w:val="none"/>
              </w:rPr>
            </w:pPr>
          </w:p>
        </w:tc>
        <w:tc>
          <w:tcPr>
            <w:tcW w:w="2410" w:type="dxa"/>
            <w:gridSpan w:val="3"/>
            <w:vMerge w:val="continue"/>
            <w:noWrap w:val="0"/>
            <w:vAlign w:val="top"/>
          </w:tcPr>
          <w:p w14:paraId="71FBC5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tc>
        <w:tc>
          <w:tcPr>
            <w:tcW w:w="1134" w:type="dxa"/>
            <w:noWrap w:val="0"/>
            <w:vAlign w:val="center"/>
          </w:tcPr>
          <w:p w14:paraId="4C16FA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水</w:t>
            </w:r>
            <w:r>
              <w:rPr>
                <w:rFonts w:hint="default" w:ascii="Calibri" w:hAnsi="Calibri" w:eastAsia="宋体" w:cs="Times New Roman"/>
                <w:color w:val="auto"/>
                <w:highlight w:val="none"/>
              </w:rPr>
              <w:t xml:space="preserve">  </w:t>
            </w:r>
            <w:r>
              <w:rPr>
                <w:rFonts w:hint="eastAsia" w:ascii="Calibri" w:hAnsi="宋体" w:eastAsia="宋体" w:cs="宋体"/>
                <w:color w:val="auto"/>
                <w:highlight w:val="none"/>
              </w:rPr>
              <w:t>泥</w:t>
            </w:r>
          </w:p>
        </w:tc>
        <w:tc>
          <w:tcPr>
            <w:tcW w:w="1153" w:type="dxa"/>
            <w:noWrap w:val="0"/>
            <w:vAlign w:val="center"/>
          </w:tcPr>
          <w:p w14:paraId="3E1FA7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right"/>
              <w:textAlignment w:val="auto"/>
              <w:rPr>
                <w:rFonts w:hint="default" w:ascii="Calibri" w:hAnsi="Calibri" w:eastAsia="宋体" w:cs="Times New Roman"/>
                <w:b/>
                <w:bCs/>
                <w:color w:val="auto"/>
                <w:highlight w:val="none"/>
              </w:rPr>
            </w:pPr>
          </w:p>
        </w:tc>
      </w:tr>
      <w:tr w14:paraId="7E41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gridSpan w:val="2"/>
            <w:vMerge w:val="continue"/>
            <w:noWrap w:val="0"/>
            <w:vAlign w:val="top"/>
          </w:tcPr>
          <w:p w14:paraId="42ABCF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tc>
        <w:tc>
          <w:tcPr>
            <w:tcW w:w="1156" w:type="dxa"/>
            <w:noWrap w:val="0"/>
            <w:vAlign w:val="center"/>
          </w:tcPr>
          <w:p w14:paraId="2AE8F7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质量</w:t>
            </w:r>
          </w:p>
        </w:tc>
        <w:tc>
          <w:tcPr>
            <w:tcW w:w="3223" w:type="dxa"/>
            <w:gridSpan w:val="4"/>
            <w:noWrap w:val="0"/>
            <w:vAlign w:val="center"/>
          </w:tcPr>
          <w:p w14:paraId="2A3DC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right"/>
              <w:textAlignment w:val="auto"/>
              <w:rPr>
                <w:rFonts w:hint="default" w:ascii="Calibri" w:hAnsi="Calibri" w:eastAsia="宋体" w:cs="Times New Roman"/>
                <w:b/>
                <w:bCs/>
                <w:color w:val="auto"/>
                <w:highlight w:val="none"/>
              </w:rPr>
            </w:pPr>
          </w:p>
        </w:tc>
        <w:tc>
          <w:tcPr>
            <w:tcW w:w="2410" w:type="dxa"/>
            <w:gridSpan w:val="3"/>
            <w:vMerge w:val="continue"/>
            <w:noWrap w:val="0"/>
            <w:vAlign w:val="top"/>
          </w:tcPr>
          <w:p w14:paraId="7269DC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tc>
        <w:tc>
          <w:tcPr>
            <w:tcW w:w="1134" w:type="dxa"/>
            <w:noWrap w:val="0"/>
            <w:vAlign w:val="center"/>
          </w:tcPr>
          <w:p w14:paraId="1126D7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商品砼</w:t>
            </w:r>
          </w:p>
        </w:tc>
        <w:tc>
          <w:tcPr>
            <w:tcW w:w="1153" w:type="dxa"/>
            <w:noWrap w:val="0"/>
            <w:vAlign w:val="center"/>
          </w:tcPr>
          <w:p w14:paraId="4CED09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right"/>
              <w:textAlignment w:val="auto"/>
              <w:rPr>
                <w:rFonts w:hint="default" w:ascii="Calibri" w:hAnsi="Calibri" w:eastAsia="宋体" w:cs="Times New Roman"/>
                <w:b/>
                <w:bCs/>
                <w:color w:val="auto"/>
                <w:highlight w:val="none"/>
              </w:rPr>
            </w:pPr>
          </w:p>
        </w:tc>
      </w:tr>
      <w:tr w14:paraId="5D6A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720" w:type="dxa"/>
            <w:gridSpan w:val="2"/>
            <w:vMerge w:val="continue"/>
            <w:noWrap w:val="0"/>
            <w:vAlign w:val="top"/>
          </w:tcPr>
          <w:p w14:paraId="0E90D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tc>
        <w:tc>
          <w:tcPr>
            <w:tcW w:w="9076" w:type="dxa"/>
            <w:gridSpan w:val="10"/>
            <w:noWrap w:val="0"/>
            <w:vAlign w:val="center"/>
          </w:tcPr>
          <w:p w14:paraId="1E4EDC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Calibri" w:hAnsi="宋体" w:eastAsia="宋体" w:cs="Times New Roman"/>
                <w:color w:val="auto"/>
                <w:highlight w:val="none"/>
              </w:rPr>
            </w:pPr>
            <w:r>
              <w:rPr>
                <w:rFonts w:hint="eastAsia" w:ascii="Calibri" w:hAnsi="宋体" w:eastAsia="宋体" w:cs="宋体"/>
                <w:color w:val="auto"/>
                <w:highlight w:val="none"/>
              </w:rPr>
              <w:t>其中：安全</w:t>
            </w:r>
            <w:r>
              <w:rPr>
                <w:rFonts w:hint="eastAsia" w:ascii="Calibri" w:hAnsi="宋体" w:eastAsia="宋体" w:cs="宋体"/>
                <w:color w:val="auto"/>
                <w:highlight w:val="none"/>
                <w:lang w:val="en-US" w:eastAsia="zh-CN"/>
              </w:rPr>
              <w:t>生产</w:t>
            </w:r>
            <w:r>
              <w:rPr>
                <w:rFonts w:hint="eastAsia" w:ascii="Calibri" w:hAnsi="宋体" w:eastAsia="宋体" w:cs="宋体"/>
                <w:color w:val="auto"/>
                <w:highlight w:val="none"/>
              </w:rPr>
              <w:t>费：</w:t>
            </w:r>
          </w:p>
        </w:tc>
      </w:tr>
      <w:tr w14:paraId="44A8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3265" w:type="dxa"/>
            <w:gridSpan w:val="5"/>
            <w:noWrap w:val="0"/>
            <w:vAlign w:val="top"/>
          </w:tcPr>
          <w:p w14:paraId="4758A9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代建单位（如有）：</w:t>
            </w:r>
          </w:p>
          <w:p w14:paraId="7CB4B9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（盖</w:t>
            </w:r>
            <w:r>
              <w:rPr>
                <w:rFonts w:hint="eastAsia" w:ascii="Calibri" w:hAnsi="宋体" w:eastAsia="宋体" w:cs="Times New Roman"/>
                <w:color w:val="auto"/>
                <w:highlight w:val="none"/>
              </w:rPr>
              <w:t>单位公</w:t>
            </w:r>
            <w:r>
              <w:rPr>
                <w:rFonts w:hint="default" w:ascii="Calibri" w:hAnsi="宋体" w:eastAsia="宋体" w:cs="Times New Roman"/>
                <w:color w:val="auto"/>
                <w:highlight w:val="none"/>
              </w:rPr>
              <w:t>章）</w:t>
            </w:r>
          </w:p>
          <w:p w14:paraId="13E4D0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p w14:paraId="5891E0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p w14:paraId="27030A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法定代表人：</w:t>
            </w:r>
          </w:p>
          <w:p w14:paraId="1F599B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宋体" w:eastAsia="宋体" w:cs="Times New Roman"/>
                <w:color w:val="auto"/>
                <w:highlight w:val="none"/>
              </w:rPr>
            </w:pPr>
            <w:r>
              <w:rPr>
                <w:rFonts w:hint="default" w:ascii="Calibri" w:hAnsi="宋体" w:eastAsia="宋体" w:cs="Times New Roman"/>
                <w:color w:val="auto"/>
                <w:highlight w:val="none"/>
              </w:rPr>
              <w:t>（签字或盖章）</w:t>
            </w:r>
          </w:p>
          <w:p w14:paraId="0A9BE1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p w14:paraId="317BC8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Calibri" w:hAnsi="宋体" w:eastAsia="宋体" w:cs="宋体"/>
                <w:color w:val="auto"/>
                <w:highlight w:val="none"/>
              </w:rPr>
            </w:pPr>
            <w:r>
              <w:rPr>
                <w:rFonts w:hint="default" w:ascii="Calibri" w:hAnsi="宋体" w:eastAsia="宋体" w:cs="Times New Roman"/>
                <w:color w:val="auto"/>
                <w:highlight w:val="none"/>
              </w:rPr>
              <w:t>年</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月</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日</w:t>
            </w:r>
          </w:p>
        </w:tc>
        <w:tc>
          <w:tcPr>
            <w:tcW w:w="3265" w:type="dxa"/>
            <w:gridSpan w:val="3"/>
            <w:noWrap w:val="0"/>
            <w:vAlign w:val="top"/>
          </w:tcPr>
          <w:p w14:paraId="05BDBE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建设单位：</w:t>
            </w:r>
          </w:p>
          <w:p w14:paraId="68A2B8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（盖</w:t>
            </w:r>
            <w:r>
              <w:rPr>
                <w:rFonts w:hint="eastAsia" w:ascii="Calibri" w:hAnsi="宋体" w:eastAsia="宋体" w:cs="Times New Roman"/>
                <w:color w:val="auto"/>
                <w:highlight w:val="none"/>
              </w:rPr>
              <w:t>单位公</w:t>
            </w:r>
            <w:r>
              <w:rPr>
                <w:rFonts w:hint="default" w:ascii="Calibri" w:hAnsi="宋体" w:eastAsia="宋体" w:cs="Times New Roman"/>
                <w:color w:val="auto"/>
                <w:highlight w:val="none"/>
              </w:rPr>
              <w:t>章）</w:t>
            </w:r>
          </w:p>
          <w:p w14:paraId="549B3B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p w14:paraId="06F00E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p w14:paraId="07FB5F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法定代表人：</w:t>
            </w:r>
          </w:p>
          <w:p w14:paraId="1CDD3C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宋体" w:eastAsia="宋体" w:cs="Times New Roman"/>
                <w:color w:val="auto"/>
                <w:highlight w:val="none"/>
              </w:rPr>
            </w:pPr>
            <w:r>
              <w:rPr>
                <w:rFonts w:hint="default" w:ascii="Calibri" w:hAnsi="宋体" w:eastAsia="宋体" w:cs="Times New Roman"/>
                <w:color w:val="auto"/>
                <w:highlight w:val="none"/>
              </w:rPr>
              <w:t>（签字或盖章）</w:t>
            </w:r>
          </w:p>
          <w:p w14:paraId="2EB68B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p w14:paraId="0BBE53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1260" w:firstLineChars="600"/>
              <w:jc w:val="right"/>
              <w:textAlignment w:val="auto"/>
              <w:rPr>
                <w:rFonts w:hint="default" w:ascii="Calibri" w:hAnsi="宋体" w:eastAsia="宋体" w:cs="Times New Roman"/>
                <w:color w:val="auto"/>
                <w:highlight w:val="none"/>
              </w:rPr>
            </w:pPr>
            <w:r>
              <w:rPr>
                <w:rFonts w:hint="default" w:ascii="Calibri" w:hAnsi="宋体" w:eastAsia="宋体" w:cs="Times New Roman"/>
                <w:color w:val="auto"/>
                <w:highlight w:val="none"/>
              </w:rPr>
              <w:t>年</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月</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日</w:t>
            </w:r>
          </w:p>
          <w:p w14:paraId="7B2F15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Calibri" w:hAnsi="宋体" w:eastAsia="宋体" w:cs="宋体"/>
                <w:color w:val="auto"/>
                <w:highlight w:val="none"/>
              </w:rPr>
            </w:pPr>
          </w:p>
        </w:tc>
        <w:tc>
          <w:tcPr>
            <w:tcW w:w="3266" w:type="dxa"/>
            <w:gridSpan w:val="4"/>
            <w:noWrap w:val="0"/>
            <w:vAlign w:val="top"/>
          </w:tcPr>
          <w:p w14:paraId="51EC2B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eastAsia" w:ascii="Calibri" w:hAnsi="宋体" w:eastAsia="宋体" w:cs="Times New Roman"/>
                <w:color w:val="auto"/>
                <w:highlight w:val="none"/>
              </w:rPr>
              <w:t>招标</w:t>
            </w:r>
            <w:r>
              <w:rPr>
                <w:rFonts w:hint="default" w:ascii="Calibri" w:hAnsi="宋体" w:eastAsia="宋体" w:cs="Times New Roman"/>
                <w:color w:val="auto"/>
                <w:highlight w:val="none"/>
              </w:rPr>
              <w:t>代理</w:t>
            </w:r>
            <w:r>
              <w:rPr>
                <w:rFonts w:hint="eastAsia" w:ascii="Calibri" w:hAnsi="宋体" w:eastAsia="宋体" w:cs="Times New Roman"/>
                <w:color w:val="auto"/>
                <w:highlight w:val="none"/>
              </w:rPr>
              <w:t>机构</w:t>
            </w:r>
            <w:r>
              <w:rPr>
                <w:rFonts w:hint="default" w:ascii="Calibri" w:hAnsi="宋体" w:eastAsia="宋体" w:cs="Times New Roman"/>
                <w:color w:val="auto"/>
                <w:highlight w:val="none"/>
              </w:rPr>
              <w:t>：</w:t>
            </w:r>
          </w:p>
          <w:p w14:paraId="13E837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（盖</w:t>
            </w:r>
            <w:r>
              <w:rPr>
                <w:rFonts w:hint="eastAsia" w:ascii="Calibri" w:hAnsi="宋体" w:eastAsia="宋体" w:cs="Times New Roman"/>
                <w:color w:val="auto"/>
                <w:highlight w:val="none"/>
              </w:rPr>
              <w:t>单位公</w:t>
            </w:r>
            <w:r>
              <w:rPr>
                <w:rFonts w:hint="default" w:ascii="Calibri" w:hAnsi="宋体" w:eastAsia="宋体" w:cs="Times New Roman"/>
                <w:color w:val="auto"/>
                <w:highlight w:val="none"/>
              </w:rPr>
              <w:t>章）</w:t>
            </w:r>
          </w:p>
          <w:p w14:paraId="6EC0EF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p w14:paraId="568A78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p>
          <w:p w14:paraId="72E342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法定代表人：</w:t>
            </w:r>
          </w:p>
          <w:p w14:paraId="0FDD08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default" w:ascii="Calibri" w:hAnsi="宋体" w:eastAsia="宋体" w:cs="Times New Roman"/>
                <w:color w:val="auto"/>
                <w:highlight w:val="none"/>
              </w:rPr>
              <w:t>（签字或盖章）</w:t>
            </w:r>
          </w:p>
          <w:p w14:paraId="4E83C6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1155" w:firstLineChars="550"/>
              <w:textAlignment w:val="auto"/>
              <w:rPr>
                <w:rFonts w:hint="default" w:ascii="Calibri" w:hAnsi="宋体" w:eastAsia="宋体" w:cs="Times New Roman"/>
                <w:color w:val="auto"/>
                <w:highlight w:val="none"/>
              </w:rPr>
            </w:pPr>
          </w:p>
          <w:p w14:paraId="65B44B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Calibri" w:hAnsi="宋体" w:eastAsia="宋体" w:cs="宋体"/>
                <w:color w:val="auto"/>
                <w:highlight w:val="none"/>
              </w:rPr>
            </w:pPr>
            <w:r>
              <w:rPr>
                <w:rFonts w:hint="default" w:ascii="Calibri" w:hAnsi="宋体" w:eastAsia="宋体" w:cs="Times New Roman"/>
                <w:color w:val="auto"/>
                <w:highlight w:val="none"/>
              </w:rPr>
              <w:t>年</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月</w:t>
            </w:r>
            <w:r>
              <w:rPr>
                <w:rFonts w:hint="default" w:ascii="Calibri" w:hAnsi="Calibri" w:eastAsia="宋体" w:cs="Times New Roman"/>
                <w:color w:val="auto"/>
                <w:highlight w:val="none"/>
              </w:rPr>
              <w:t xml:space="preserve">    </w:t>
            </w:r>
            <w:r>
              <w:rPr>
                <w:rFonts w:hint="default" w:ascii="Calibri" w:hAnsi="宋体" w:eastAsia="宋体" w:cs="Times New Roman"/>
                <w:color w:val="auto"/>
                <w:highlight w:val="none"/>
              </w:rPr>
              <w:t>日</w:t>
            </w:r>
          </w:p>
        </w:tc>
      </w:tr>
      <w:tr w14:paraId="5112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64" w:type="dxa"/>
            <w:noWrap w:val="0"/>
            <w:vAlign w:val="center"/>
          </w:tcPr>
          <w:p w14:paraId="5B9C09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Calibri" w:hAnsi="Calibri" w:eastAsia="宋体" w:cs="Times New Roman"/>
                <w:color w:val="auto"/>
                <w:highlight w:val="none"/>
              </w:rPr>
            </w:pPr>
            <w:r>
              <w:rPr>
                <w:rFonts w:hint="eastAsia" w:ascii="Calibri" w:hAnsi="宋体" w:eastAsia="宋体" w:cs="宋体"/>
                <w:color w:val="auto"/>
                <w:highlight w:val="none"/>
              </w:rPr>
              <w:t>备注</w:t>
            </w:r>
          </w:p>
        </w:tc>
        <w:tc>
          <w:tcPr>
            <w:tcW w:w="9232" w:type="dxa"/>
            <w:gridSpan w:val="11"/>
            <w:noWrap w:val="0"/>
            <w:vAlign w:val="center"/>
          </w:tcPr>
          <w:p w14:paraId="7278F8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中标人在收到中标通知书后，须在</w:t>
            </w: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日内向招标人足额提交履约保证金，否则招标人可以取消其中标资格。招标人和中标人应当在投标有效期内以及中标通知书发出之日起</w:t>
            </w:r>
            <w:r>
              <w:rPr>
                <w:rFonts w:hint="default" w:ascii="Calibri" w:hAnsi="Calibri" w:eastAsia="宋体" w:cs="Times New Roman"/>
                <w:color w:val="auto"/>
                <w:highlight w:val="none"/>
              </w:rPr>
              <w:t>30</w:t>
            </w:r>
            <w:r>
              <w:rPr>
                <w:rFonts w:hint="eastAsia" w:ascii="Calibri" w:hAnsi="Calibri" w:eastAsia="宋体" w:cs="宋体"/>
                <w:color w:val="auto"/>
                <w:highlight w:val="none"/>
              </w:rPr>
              <w:t>天内，根据招标文件和中标人的投标文件订立书面合同。</w:t>
            </w:r>
          </w:p>
        </w:tc>
      </w:tr>
    </w:tbl>
    <w:p w14:paraId="65FE0780">
      <w:pPr>
        <w:spacing w:before="120" w:beforeLines="50"/>
        <w:rPr>
          <w:rFonts w:hAnsi="宋体"/>
          <w:color w:val="auto"/>
          <w:highlight w:val="none"/>
        </w:rPr>
      </w:pPr>
      <w:r>
        <w:rPr>
          <w:rFonts w:hint="eastAsia" w:hAnsi="宋体" w:cs="宋体"/>
          <w:color w:val="auto"/>
          <w:highlight w:val="none"/>
        </w:rPr>
        <w:t>一式</w:t>
      </w:r>
      <w:r>
        <w:rPr>
          <w:rFonts w:hAnsi="宋体"/>
          <w:color w:val="auto"/>
          <w:highlight w:val="none"/>
        </w:rPr>
        <w:t>1</w:t>
      </w:r>
      <w:r>
        <w:rPr>
          <w:rFonts w:hint="eastAsia" w:hAnsi="宋体"/>
          <w:color w:val="auto"/>
          <w:highlight w:val="none"/>
        </w:rPr>
        <w:t>2</w:t>
      </w:r>
      <w:r>
        <w:rPr>
          <w:rFonts w:hint="eastAsia" w:hAnsi="宋体" w:cs="宋体"/>
          <w:color w:val="auto"/>
          <w:highlight w:val="none"/>
        </w:rPr>
        <w:t>份。其中：建设单位</w:t>
      </w:r>
      <w:r>
        <w:rPr>
          <w:rFonts w:hAnsi="宋体"/>
          <w:color w:val="auto"/>
          <w:highlight w:val="none"/>
        </w:rPr>
        <w:t>6</w:t>
      </w:r>
      <w:r>
        <w:rPr>
          <w:rFonts w:hint="eastAsia" w:hAnsi="宋体" w:cs="宋体"/>
          <w:color w:val="auto"/>
          <w:highlight w:val="none"/>
        </w:rPr>
        <w:t>份（用于办理工程质量监督、安全监督、施工许可证以及存档等有关手续）、中标单位</w:t>
      </w:r>
      <w:r>
        <w:rPr>
          <w:rFonts w:hint="eastAsia" w:hAnsi="宋体"/>
          <w:color w:val="auto"/>
          <w:highlight w:val="none"/>
        </w:rPr>
        <w:t>3</w:t>
      </w:r>
      <w:r>
        <w:rPr>
          <w:rFonts w:hint="eastAsia" w:hAnsi="宋体" w:cs="宋体"/>
          <w:color w:val="auto"/>
          <w:highlight w:val="none"/>
        </w:rPr>
        <w:t>份、招标代理单位</w:t>
      </w:r>
      <w:r>
        <w:rPr>
          <w:rFonts w:hAnsi="宋体"/>
          <w:color w:val="auto"/>
          <w:highlight w:val="none"/>
        </w:rPr>
        <w:t>1</w:t>
      </w:r>
      <w:r>
        <w:rPr>
          <w:rFonts w:hint="eastAsia" w:hAnsi="宋体" w:cs="宋体"/>
          <w:color w:val="auto"/>
          <w:highlight w:val="none"/>
        </w:rPr>
        <w:t>份、</w:t>
      </w:r>
      <w:r>
        <w:rPr>
          <w:rFonts w:hint="eastAsia" w:cs="宋体"/>
          <w:color w:val="auto"/>
          <w:highlight w:val="none"/>
        </w:rPr>
        <w:t>招投标监督管理部门</w:t>
      </w:r>
      <w:r>
        <w:rPr>
          <w:color w:val="auto"/>
          <w:highlight w:val="none"/>
        </w:rPr>
        <w:t>1</w:t>
      </w:r>
      <w:r>
        <w:rPr>
          <w:rFonts w:hint="eastAsia" w:cs="宋体"/>
          <w:color w:val="auto"/>
          <w:highlight w:val="none"/>
        </w:rPr>
        <w:t>份、交易中心</w:t>
      </w:r>
      <w:r>
        <w:rPr>
          <w:color w:val="auto"/>
          <w:highlight w:val="none"/>
        </w:rPr>
        <w:t>1</w:t>
      </w:r>
      <w:r>
        <w:rPr>
          <w:rFonts w:hint="eastAsia" w:cs="宋体"/>
          <w:color w:val="auto"/>
          <w:highlight w:val="none"/>
        </w:rPr>
        <w:t>份</w:t>
      </w:r>
      <w:r>
        <w:rPr>
          <w:rFonts w:hint="eastAsia" w:hAnsi="宋体" w:cs="宋体"/>
          <w:color w:val="auto"/>
          <w:highlight w:val="none"/>
        </w:rPr>
        <w:t>。</w:t>
      </w:r>
    </w:p>
    <w:p w14:paraId="45640B02">
      <w:pPr>
        <w:spacing w:before="120" w:beforeLines="50"/>
        <w:rPr>
          <w:rFonts w:hint="eastAsia"/>
          <w:color w:val="auto"/>
          <w:highlight w:val="none"/>
        </w:rPr>
      </w:pPr>
    </w:p>
    <w:p w14:paraId="74885E42">
      <w:pPr>
        <w:pStyle w:val="5"/>
        <w:spacing w:line="240" w:lineRule="auto"/>
        <w:rPr>
          <w:rFonts w:hint="eastAsia" w:eastAsia="黑体"/>
          <w:color w:val="auto"/>
          <w:sz w:val="28"/>
          <w:szCs w:val="28"/>
          <w:highlight w:val="none"/>
          <w:lang w:eastAsia="zh-CN"/>
        </w:rPr>
      </w:pPr>
      <w:bookmarkStart w:id="653" w:name="_Toc78449775"/>
      <w:bookmarkStart w:id="654" w:name="_Toc601584160"/>
      <w:bookmarkStart w:id="655" w:name="_Toc1449024083"/>
      <w:bookmarkStart w:id="656" w:name="_Toc18588"/>
      <w:bookmarkStart w:id="657" w:name="_Toc25718"/>
      <w:r>
        <w:rPr>
          <w:rFonts w:hint="eastAsia"/>
          <w:color w:val="auto"/>
          <w:sz w:val="28"/>
          <w:szCs w:val="28"/>
          <w:highlight w:val="none"/>
        </w:rPr>
        <w:t>附表</w:t>
      </w:r>
      <w:r>
        <w:rPr>
          <w:color w:val="auto"/>
          <w:sz w:val="28"/>
          <w:szCs w:val="28"/>
          <w:highlight w:val="none"/>
        </w:rPr>
        <w:t>A-1</w:t>
      </w:r>
      <w:r>
        <w:rPr>
          <w:rFonts w:hint="eastAsia"/>
          <w:color w:val="auto"/>
          <w:sz w:val="28"/>
          <w:szCs w:val="28"/>
          <w:highlight w:val="none"/>
          <w:lang w:val="en-US" w:eastAsia="zh-CN"/>
        </w:rPr>
        <w:t>9</w:t>
      </w:r>
      <w:r>
        <w:rPr>
          <w:rFonts w:hint="eastAsia"/>
          <w:color w:val="auto"/>
          <w:sz w:val="28"/>
          <w:szCs w:val="28"/>
          <w:highlight w:val="none"/>
        </w:rPr>
        <w:t>：</w:t>
      </w:r>
      <w:bookmarkEnd w:id="653"/>
      <w:bookmarkEnd w:id="654"/>
      <w:bookmarkEnd w:id="655"/>
      <w:r>
        <w:rPr>
          <w:rFonts w:hint="eastAsia"/>
          <w:color w:val="auto"/>
          <w:sz w:val="28"/>
          <w:szCs w:val="28"/>
          <w:highlight w:val="none"/>
          <w:lang w:eastAsia="zh-CN"/>
        </w:rPr>
        <w:t>中标结果公告</w:t>
      </w:r>
      <w:bookmarkEnd w:id="656"/>
      <w:bookmarkEnd w:id="657"/>
    </w:p>
    <w:p w14:paraId="21A7B3B8">
      <w:pPr>
        <w:jc w:val="center"/>
        <w:rPr>
          <w:rFonts w:hint="eastAsia" w:eastAsia="黑体"/>
          <w:b/>
          <w:bCs/>
          <w:color w:val="auto"/>
          <w:sz w:val="28"/>
          <w:szCs w:val="28"/>
          <w:highlight w:val="none"/>
          <w:lang w:eastAsia="zh-CN"/>
        </w:rPr>
      </w:pPr>
      <w:r>
        <w:rPr>
          <w:rFonts w:hint="eastAsia" w:eastAsia="黑体" w:cs="黑体"/>
          <w:color w:val="auto"/>
          <w:sz w:val="28"/>
          <w:szCs w:val="28"/>
          <w:highlight w:val="none"/>
          <w:lang w:eastAsia="zh-CN"/>
        </w:rPr>
        <w:t>中标结果公告</w:t>
      </w:r>
    </w:p>
    <w:tbl>
      <w:tblPr>
        <w:tblStyle w:val="41"/>
        <w:tblW w:w="9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26"/>
        <w:gridCol w:w="2580"/>
        <w:gridCol w:w="714"/>
        <w:gridCol w:w="10"/>
        <w:gridCol w:w="797"/>
        <w:gridCol w:w="633"/>
        <w:gridCol w:w="25"/>
        <w:gridCol w:w="2981"/>
      </w:tblGrid>
      <w:tr w14:paraId="2129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66D599A8">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cs="宋体"/>
                <w:color w:val="auto"/>
                <w:highlight w:val="none"/>
                <w:lang w:val="en-US" w:eastAsia="zh-CN"/>
              </w:rPr>
              <w:t>招标</w:t>
            </w:r>
            <w:r>
              <w:rPr>
                <w:rFonts w:hint="eastAsia" w:ascii="Calibri" w:hAnsi="宋体" w:eastAsia="宋体" w:cs="宋体"/>
                <w:color w:val="auto"/>
                <w:kern w:val="0"/>
                <w:highlight w:val="none"/>
              </w:rPr>
              <w:t>项目名称</w:t>
            </w:r>
          </w:p>
        </w:tc>
        <w:tc>
          <w:tcPr>
            <w:tcW w:w="7740" w:type="dxa"/>
            <w:gridSpan w:val="7"/>
            <w:noWrap w:val="0"/>
            <w:tcMar>
              <w:top w:w="0" w:type="dxa"/>
              <w:left w:w="75" w:type="dxa"/>
              <w:bottom w:w="0" w:type="dxa"/>
              <w:right w:w="0" w:type="dxa"/>
            </w:tcMar>
            <w:vAlign w:val="center"/>
          </w:tcPr>
          <w:p w14:paraId="3D017BDB">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r>
      <w:tr w14:paraId="13A2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278E8247">
            <w:pPr>
              <w:keepNext w:val="0"/>
              <w:keepLines w:val="0"/>
              <w:widowControl/>
              <w:suppressLineNumbers w:val="0"/>
              <w:spacing w:before="0" w:beforeAutospacing="0" w:after="0" w:afterAutospacing="0" w:line="360" w:lineRule="auto"/>
              <w:ind w:left="0" w:right="0"/>
              <w:jc w:val="center"/>
              <w:rPr>
                <w:rFonts w:hint="eastAsia" w:ascii="Calibri" w:hAnsi="宋体" w:eastAsia="宋体" w:cs="Times New Roman"/>
                <w:color w:val="auto"/>
                <w:kern w:val="0"/>
                <w:highlight w:val="none"/>
                <w:lang w:eastAsia="zh-CN"/>
              </w:rPr>
            </w:pPr>
            <w:r>
              <w:rPr>
                <w:rFonts w:hint="eastAsia" w:ascii="Calibri" w:hAnsi="宋体" w:eastAsia="宋体" w:cs="宋体"/>
                <w:color w:val="auto"/>
                <w:highlight w:val="none"/>
                <w:lang w:eastAsia="zh-CN"/>
              </w:rPr>
              <w:t>招标项目编号</w:t>
            </w:r>
          </w:p>
        </w:tc>
        <w:tc>
          <w:tcPr>
            <w:tcW w:w="7740" w:type="dxa"/>
            <w:gridSpan w:val="7"/>
            <w:noWrap w:val="0"/>
            <w:tcMar>
              <w:top w:w="0" w:type="dxa"/>
              <w:left w:w="75" w:type="dxa"/>
              <w:bottom w:w="0" w:type="dxa"/>
              <w:right w:w="0" w:type="dxa"/>
            </w:tcMar>
            <w:vAlign w:val="center"/>
          </w:tcPr>
          <w:p w14:paraId="7F03B6B9">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r>
      <w:tr w14:paraId="63424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926" w:type="dxa"/>
            <w:noWrap w:val="0"/>
            <w:vAlign w:val="center"/>
          </w:tcPr>
          <w:p w14:paraId="75D8C7B7">
            <w:pPr>
              <w:keepNext w:val="0"/>
              <w:keepLines w:val="0"/>
              <w:widowControl/>
              <w:suppressLineNumbers w:val="0"/>
              <w:spacing w:before="0" w:beforeAutospacing="0" w:after="0" w:afterAutospacing="0" w:line="360" w:lineRule="auto"/>
              <w:ind w:left="0" w:right="0"/>
              <w:jc w:val="center"/>
              <w:rPr>
                <w:rFonts w:hint="eastAsia" w:ascii="Calibri" w:hAnsi="宋体" w:eastAsia="宋体" w:cs="宋体"/>
                <w:color w:val="auto"/>
                <w:highlight w:val="none"/>
              </w:rPr>
            </w:pPr>
            <w:r>
              <w:rPr>
                <w:rFonts w:hint="eastAsia" w:ascii="Calibri" w:hAnsi="宋体" w:eastAsia="宋体" w:cs="宋体"/>
                <w:color w:val="auto"/>
                <w:kern w:val="0"/>
                <w:highlight w:val="none"/>
              </w:rPr>
              <w:t>招标人</w:t>
            </w:r>
          </w:p>
        </w:tc>
        <w:tc>
          <w:tcPr>
            <w:tcW w:w="7740" w:type="dxa"/>
            <w:gridSpan w:val="7"/>
            <w:noWrap w:val="0"/>
            <w:tcMar>
              <w:top w:w="0" w:type="dxa"/>
              <w:left w:w="75" w:type="dxa"/>
              <w:bottom w:w="0" w:type="dxa"/>
              <w:right w:w="0" w:type="dxa"/>
            </w:tcMar>
            <w:vAlign w:val="center"/>
          </w:tcPr>
          <w:p w14:paraId="36D79723">
            <w:pPr>
              <w:keepNext w:val="0"/>
              <w:keepLines w:val="0"/>
              <w:widowControl/>
              <w:suppressLineNumbers w:val="0"/>
              <w:spacing w:before="0" w:beforeAutospacing="0" w:after="0" w:afterAutospacing="0" w:line="360" w:lineRule="auto"/>
              <w:ind w:left="0" w:right="0"/>
              <w:jc w:val="left"/>
              <w:rPr>
                <w:rFonts w:hint="default" w:ascii="Calibri" w:hAnsi="Calibri"/>
                <w:color w:val="auto"/>
                <w:kern w:val="0"/>
                <w:highlight w:val="none"/>
              </w:rPr>
            </w:pPr>
            <w:r>
              <w:rPr>
                <w:rFonts w:hint="eastAsia" w:ascii="Times New Roman" w:hAnsi="Times New Roman" w:cs="Times New Roman"/>
                <w:b w:val="0"/>
                <w:bCs w:val="0"/>
                <w:color w:val="auto"/>
                <w:highlight w:val="none"/>
                <w:u w:val="single"/>
                <w:vertAlign w:val="baseline"/>
                <w:lang w:val="en-US" w:eastAsia="zh-CN"/>
              </w:rPr>
              <w:t>名称（</w:t>
            </w:r>
            <w:r>
              <w:rPr>
                <w:rFonts w:hint="eastAsia" w:ascii="Times New Roman" w:hAnsi="Times New Roman" w:eastAsia="宋体" w:cs="Times New Roman"/>
                <w:b w:val="0"/>
                <w:bCs w:val="0"/>
                <w:color w:val="auto"/>
                <w:highlight w:val="none"/>
                <w:u w:val="single"/>
                <w:vertAlign w:val="baseline"/>
                <w:lang w:val="en-US" w:eastAsia="zh-CN"/>
              </w:rPr>
              <w:t>加盖</w:t>
            </w:r>
            <w:r>
              <w:rPr>
                <w:rFonts w:hint="eastAsia" w:cs="Times New Roman"/>
                <w:b w:val="0"/>
                <w:bCs w:val="0"/>
                <w:color w:val="auto"/>
                <w:highlight w:val="none"/>
                <w:u w:val="single"/>
                <w:vertAlign w:val="baseline"/>
                <w:lang w:val="en-US" w:eastAsia="zh-CN"/>
              </w:rPr>
              <w:t>单位</w:t>
            </w:r>
            <w:r>
              <w:rPr>
                <w:rFonts w:hint="eastAsia" w:ascii="Times New Roman" w:hAnsi="Times New Roman" w:eastAsia="宋体" w:cs="Times New Roman"/>
                <w:b w:val="0"/>
                <w:bCs w:val="0"/>
                <w:color w:val="auto"/>
                <w:highlight w:val="none"/>
                <w:u w:val="single"/>
                <w:vertAlign w:val="baseline"/>
                <w:lang w:val="en-US" w:eastAsia="zh-CN"/>
              </w:rPr>
              <w:t>公章</w:t>
            </w:r>
            <w:r>
              <w:rPr>
                <w:rFonts w:hint="eastAsia" w:ascii="Times New Roman" w:hAnsi="Times New Roman" w:cs="Times New Roman"/>
                <w:b w:val="0"/>
                <w:bCs w:val="0"/>
                <w:color w:val="auto"/>
                <w:highlight w:val="none"/>
                <w:u w:val="single"/>
                <w:vertAlign w:val="baseline"/>
                <w:lang w:val="en-US" w:eastAsia="zh-CN"/>
              </w:rPr>
              <w:t xml:space="preserve">） </w:t>
            </w:r>
          </w:p>
        </w:tc>
      </w:tr>
      <w:tr w14:paraId="2080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5AD1347B">
            <w:pPr>
              <w:keepNext w:val="0"/>
              <w:keepLines w:val="0"/>
              <w:widowControl/>
              <w:suppressLineNumbers w:val="0"/>
              <w:spacing w:before="0" w:beforeAutospacing="0" w:after="0" w:afterAutospacing="0" w:line="360" w:lineRule="auto"/>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建设单位</w:t>
            </w:r>
          </w:p>
        </w:tc>
        <w:tc>
          <w:tcPr>
            <w:tcW w:w="7740" w:type="dxa"/>
            <w:gridSpan w:val="7"/>
            <w:noWrap w:val="0"/>
            <w:tcMar>
              <w:top w:w="0" w:type="dxa"/>
              <w:left w:w="75" w:type="dxa"/>
              <w:bottom w:w="0" w:type="dxa"/>
              <w:right w:w="0" w:type="dxa"/>
            </w:tcMar>
            <w:vAlign w:val="center"/>
          </w:tcPr>
          <w:p w14:paraId="3D90630E">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r>
      <w:tr w14:paraId="1136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1926" w:type="dxa"/>
            <w:noWrap w:val="0"/>
            <w:vAlign w:val="center"/>
          </w:tcPr>
          <w:p w14:paraId="09638027">
            <w:pPr>
              <w:keepNext w:val="0"/>
              <w:keepLines w:val="0"/>
              <w:widowControl/>
              <w:suppressLineNumbers w:val="0"/>
              <w:spacing w:before="0" w:beforeAutospacing="0" w:after="0" w:afterAutospacing="0" w:line="360" w:lineRule="auto"/>
              <w:ind w:left="0" w:right="0"/>
              <w:jc w:val="center"/>
              <w:rPr>
                <w:rFonts w:hint="default" w:ascii="Calibri" w:hAnsi="Calibri"/>
                <w:color w:val="auto"/>
                <w:kern w:val="0"/>
                <w:highlight w:val="none"/>
              </w:rPr>
            </w:pPr>
            <w:r>
              <w:rPr>
                <w:rFonts w:hint="eastAsia" w:ascii="Calibri" w:hAnsi="宋体" w:cs="宋体"/>
                <w:color w:val="auto"/>
                <w:highlight w:val="none"/>
              </w:rPr>
              <w:t>代建</w:t>
            </w:r>
            <w:r>
              <w:rPr>
                <w:rFonts w:hint="default" w:ascii="Calibri" w:hAnsi="宋体" w:cs="宋体"/>
                <w:color w:val="auto"/>
                <w:highlight w:val="none"/>
              </w:rPr>
              <w:t>单位（如有）</w:t>
            </w:r>
          </w:p>
        </w:tc>
        <w:tc>
          <w:tcPr>
            <w:tcW w:w="7740" w:type="dxa"/>
            <w:gridSpan w:val="7"/>
            <w:noWrap w:val="0"/>
            <w:tcMar>
              <w:top w:w="0" w:type="dxa"/>
              <w:left w:w="75" w:type="dxa"/>
              <w:bottom w:w="0" w:type="dxa"/>
              <w:right w:w="0" w:type="dxa"/>
            </w:tcMar>
            <w:vAlign w:val="center"/>
          </w:tcPr>
          <w:p w14:paraId="17629DFA">
            <w:pPr>
              <w:keepNext w:val="0"/>
              <w:keepLines w:val="0"/>
              <w:widowControl/>
              <w:suppressLineNumbers w:val="0"/>
              <w:spacing w:before="0" w:beforeAutospacing="0" w:after="0" w:afterAutospacing="0" w:line="360" w:lineRule="auto"/>
              <w:ind w:left="0" w:right="0"/>
              <w:jc w:val="center"/>
              <w:rPr>
                <w:rFonts w:hint="default" w:ascii="Calibri" w:hAnsi="Calibri"/>
                <w:color w:val="auto"/>
                <w:kern w:val="0"/>
                <w:highlight w:val="none"/>
              </w:rPr>
            </w:pPr>
          </w:p>
        </w:tc>
      </w:tr>
      <w:tr w14:paraId="0D45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3BB7F9A9">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招标类别</w:t>
            </w:r>
          </w:p>
        </w:tc>
        <w:tc>
          <w:tcPr>
            <w:tcW w:w="3294" w:type="dxa"/>
            <w:gridSpan w:val="2"/>
            <w:noWrap w:val="0"/>
            <w:tcMar>
              <w:top w:w="0" w:type="dxa"/>
              <w:left w:w="75" w:type="dxa"/>
              <w:bottom w:w="0" w:type="dxa"/>
              <w:right w:w="0" w:type="dxa"/>
            </w:tcMar>
            <w:vAlign w:val="center"/>
          </w:tcPr>
          <w:p w14:paraId="0AEAFE31">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委托招标</w:t>
            </w:r>
            <w:r>
              <w:rPr>
                <w:rFonts w:hint="default" w:ascii="Calibri" w:hAnsi="Calibri" w:eastAsia="宋体" w:cs="Times New Roman"/>
                <w:color w:val="auto"/>
                <w:kern w:val="0"/>
                <w:highlight w:val="none"/>
              </w:rPr>
              <w:t xml:space="preserve">    </w:t>
            </w: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自行招标</w:t>
            </w:r>
          </w:p>
        </w:tc>
        <w:tc>
          <w:tcPr>
            <w:tcW w:w="1440" w:type="dxa"/>
            <w:gridSpan w:val="3"/>
            <w:noWrap w:val="0"/>
            <w:vAlign w:val="center"/>
          </w:tcPr>
          <w:p w14:paraId="50106B6F">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招标方式</w:t>
            </w:r>
          </w:p>
        </w:tc>
        <w:tc>
          <w:tcPr>
            <w:tcW w:w="3006" w:type="dxa"/>
            <w:gridSpan w:val="2"/>
            <w:noWrap w:val="0"/>
            <w:tcMar>
              <w:top w:w="0" w:type="dxa"/>
              <w:left w:w="75" w:type="dxa"/>
              <w:bottom w:w="0" w:type="dxa"/>
              <w:right w:w="0" w:type="dxa"/>
            </w:tcMar>
            <w:vAlign w:val="center"/>
          </w:tcPr>
          <w:p w14:paraId="0D37E4AF">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公开招标</w:t>
            </w:r>
            <w:r>
              <w:rPr>
                <w:rFonts w:hint="default" w:ascii="Calibri" w:hAnsi="Calibri" w:eastAsia="宋体" w:cs="Times New Roman"/>
                <w:color w:val="auto"/>
                <w:kern w:val="0"/>
                <w:highlight w:val="none"/>
              </w:rPr>
              <w:t xml:space="preserve">    </w:t>
            </w:r>
            <w:r>
              <w:rPr>
                <w:rFonts w:hint="eastAsia" w:ascii="Calibri" w:hAnsi="Calibri" w:eastAsia="宋体" w:cs="宋体"/>
                <w:color w:val="auto"/>
                <w:kern w:val="0"/>
                <w:highlight w:val="none"/>
              </w:rPr>
              <w:t>□</w:t>
            </w:r>
            <w:r>
              <w:rPr>
                <w:rFonts w:hint="eastAsia" w:ascii="Calibri" w:hAnsi="宋体" w:eastAsia="宋体" w:cs="宋体"/>
                <w:color w:val="auto"/>
                <w:kern w:val="0"/>
                <w:highlight w:val="none"/>
              </w:rPr>
              <w:t>邀请招标</w:t>
            </w:r>
          </w:p>
        </w:tc>
      </w:tr>
      <w:tr w14:paraId="59D5C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5A77B6B5">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招标代理机构</w:t>
            </w:r>
          </w:p>
        </w:tc>
        <w:tc>
          <w:tcPr>
            <w:tcW w:w="7740" w:type="dxa"/>
            <w:gridSpan w:val="7"/>
            <w:noWrap w:val="0"/>
            <w:tcMar>
              <w:top w:w="0" w:type="dxa"/>
              <w:left w:w="75" w:type="dxa"/>
              <w:bottom w:w="0" w:type="dxa"/>
              <w:right w:w="0" w:type="dxa"/>
            </w:tcMar>
            <w:vAlign w:val="center"/>
          </w:tcPr>
          <w:p w14:paraId="15A8DEA0">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r>
              <w:rPr>
                <w:rFonts w:hint="eastAsia" w:ascii="Times New Roman" w:hAnsi="Times New Roman" w:cs="Times New Roman"/>
                <w:b w:val="0"/>
                <w:bCs w:val="0"/>
                <w:color w:val="auto"/>
                <w:highlight w:val="none"/>
                <w:u w:val="single"/>
                <w:vertAlign w:val="baseline"/>
                <w:lang w:val="en-US" w:eastAsia="zh-CN"/>
              </w:rPr>
              <w:t>名称（</w:t>
            </w:r>
            <w:r>
              <w:rPr>
                <w:rFonts w:hint="eastAsia" w:ascii="Times New Roman" w:hAnsi="Times New Roman" w:eastAsia="宋体" w:cs="Times New Roman"/>
                <w:b w:val="0"/>
                <w:bCs w:val="0"/>
                <w:color w:val="auto"/>
                <w:highlight w:val="none"/>
                <w:u w:val="single"/>
                <w:vertAlign w:val="baseline"/>
                <w:lang w:val="en-US" w:eastAsia="zh-CN"/>
              </w:rPr>
              <w:t>加盖</w:t>
            </w:r>
            <w:r>
              <w:rPr>
                <w:rFonts w:hint="eastAsia" w:cs="Times New Roman"/>
                <w:b w:val="0"/>
                <w:bCs w:val="0"/>
                <w:color w:val="auto"/>
                <w:highlight w:val="none"/>
                <w:u w:val="single"/>
                <w:vertAlign w:val="baseline"/>
                <w:lang w:val="en-US" w:eastAsia="zh-CN"/>
              </w:rPr>
              <w:t>单位</w:t>
            </w:r>
            <w:r>
              <w:rPr>
                <w:rFonts w:hint="eastAsia" w:ascii="Times New Roman" w:hAnsi="Times New Roman" w:eastAsia="宋体" w:cs="Times New Roman"/>
                <w:b w:val="0"/>
                <w:bCs w:val="0"/>
                <w:color w:val="auto"/>
                <w:highlight w:val="none"/>
                <w:u w:val="single"/>
                <w:vertAlign w:val="baseline"/>
                <w:lang w:val="en-US" w:eastAsia="zh-CN"/>
              </w:rPr>
              <w:t>公章</w:t>
            </w:r>
            <w:r>
              <w:rPr>
                <w:rFonts w:hint="eastAsia" w:ascii="Times New Roman" w:hAnsi="Times New Roman" w:cs="Times New Roman"/>
                <w:b w:val="0"/>
                <w:bCs w:val="0"/>
                <w:color w:val="auto"/>
                <w:highlight w:val="none"/>
                <w:u w:val="single"/>
                <w:vertAlign w:val="baseline"/>
                <w:lang w:val="en-US" w:eastAsia="zh-CN"/>
              </w:rPr>
              <w:t xml:space="preserve">） </w:t>
            </w:r>
          </w:p>
        </w:tc>
      </w:tr>
      <w:tr w14:paraId="6DD3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3F53D5F2">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中标范围</w:t>
            </w:r>
          </w:p>
        </w:tc>
        <w:tc>
          <w:tcPr>
            <w:tcW w:w="7740" w:type="dxa"/>
            <w:gridSpan w:val="7"/>
            <w:noWrap w:val="0"/>
            <w:tcMar>
              <w:top w:w="0" w:type="dxa"/>
              <w:left w:w="75" w:type="dxa"/>
              <w:bottom w:w="0" w:type="dxa"/>
              <w:right w:w="0" w:type="dxa"/>
            </w:tcMar>
            <w:vAlign w:val="center"/>
          </w:tcPr>
          <w:p w14:paraId="79F52F90">
            <w:pPr>
              <w:keepNext w:val="0"/>
              <w:keepLines w:val="0"/>
              <w:widowControl/>
              <w:suppressLineNumbers w:val="0"/>
              <w:spacing w:before="0" w:beforeAutospacing="0" w:after="0" w:afterAutospacing="0" w:line="360" w:lineRule="auto"/>
              <w:ind w:left="0" w:right="185" w:rightChars="88"/>
              <w:jc w:val="left"/>
              <w:rPr>
                <w:rFonts w:hint="default" w:ascii="Calibri" w:hAnsi="Calibri" w:eastAsia="宋体" w:cs="Times New Roman"/>
                <w:color w:val="auto"/>
                <w:kern w:val="0"/>
                <w:highlight w:val="none"/>
              </w:rPr>
            </w:pPr>
          </w:p>
        </w:tc>
      </w:tr>
      <w:tr w14:paraId="52B7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145EE279">
            <w:pPr>
              <w:keepNext w:val="0"/>
              <w:keepLines w:val="0"/>
              <w:widowControl/>
              <w:suppressLineNumbers w:val="0"/>
              <w:spacing w:before="0" w:beforeAutospacing="0" w:after="0" w:afterAutospacing="0" w:line="360" w:lineRule="auto"/>
              <w:ind w:left="0" w:right="0"/>
              <w:jc w:val="center"/>
              <w:rPr>
                <w:rFonts w:hint="eastAsia" w:ascii="Calibri" w:hAnsi="宋体" w:eastAsia="宋体" w:cs="宋体"/>
                <w:color w:val="auto"/>
                <w:kern w:val="0"/>
                <w:highlight w:val="none"/>
              </w:rPr>
            </w:pPr>
            <w:r>
              <w:rPr>
                <w:rFonts w:hint="eastAsia" w:ascii="Calibri" w:hAnsi="宋体" w:eastAsia="宋体" w:cs="宋体"/>
                <w:color w:val="auto"/>
                <w:kern w:val="0"/>
                <w:highlight w:val="none"/>
              </w:rPr>
              <w:t>评</w:t>
            </w:r>
            <w:r>
              <w:rPr>
                <w:rFonts w:hint="default" w:ascii="Calibri" w:hAnsi="宋体" w:eastAsia="宋体" w:cs="宋体"/>
                <w:color w:val="auto"/>
                <w:kern w:val="0"/>
                <w:highlight w:val="none"/>
              </w:rPr>
              <w:t>标委员会</w:t>
            </w:r>
            <w:r>
              <w:rPr>
                <w:rFonts w:hint="eastAsia" w:ascii="Calibri" w:hAnsi="宋体" w:eastAsia="宋体" w:cs="宋体"/>
                <w:color w:val="auto"/>
                <w:kern w:val="0"/>
                <w:highlight w:val="none"/>
              </w:rPr>
              <w:t>成员</w:t>
            </w:r>
          </w:p>
        </w:tc>
        <w:tc>
          <w:tcPr>
            <w:tcW w:w="7740" w:type="dxa"/>
            <w:gridSpan w:val="7"/>
            <w:noWrap w:val="0"/>
            <w:tcMar>
              <w:top w:w="0" w:type="dxa"/>
              <w:left w:w="75" w:type="dxa"/>
              <w:bottom w:w="0" w:type="dxa"/>
              <w:right w:w="0" w:type="dxa"/>
            </w:tcMar>
            <w:vAlign w:val="center"/>
          </w:tcPr>
          <w:p w14:paraId="273613E4">
            <w:pPr>
              <w:keepNext w:val="0"/>
              <w:keepLines w:val="0"/>
              <w:widowControl/>
              <w:suppressLineNumbers w:val="0"/>
              <w:spacing w:before="0" w:beforeAutospacing="0" w:after="0" w:afterAutospacing="0" w:line="360" w:lineRule="auto"/>
              <w:ind w:left="0" w:right="185" w:rightChars="88"/>
              <w:jc w:val="left"/>
              <w:rPr>
                <w:rFonts w:hint="default" w:ascii="Calibri" w:hAnsi="Calibri" w:eastAsia="宋体" w:cs="Times New Roman"/>
                <w:color w:val="auto"/>
                <w:kern w:val="0"/>
                <w:highlight w:val="none"/>
              </w:rPr>
            </w:pPr>
          </w:p>
        </w:tc>
      </w:tr>
      <w:tr w14:paraId="350E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 w:hRule="atLeast"/>
          <w:jc w:val="center"/>
        </w:trPr>
        <w:tc>
          <w:tcPr>
            <w:tcW w:w="1926" w:type="dxa"/>
            <w:noWrap w:val="0"/>
            <w:vAlign w:val="center"/>
          </w:tcPr>
          <w:p w14:paraId="2228BBE9">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开标时间</w:t>
            </w:r>
          </w:p>
        </w:tc>
        <w:tc>
          <w:tcPr>
            <w:tcW w:w="3304" w:type="dxa"/>
            <w:gridSpan w:val="3"/>
            <w:noWrap w:val="0"/>
            <w:tcMar>
              <w:top w:w="0" w:type="dxa"/>
              <w:left w:w="75" w:type="dxa"/>
              <w:bottom w:w="0" w:type="dxa"/>
              <w:right w:w="0" w:type="dxa"/>
            </w:tcMar>
            <w:vAlign w:val="center"/>
          </w:tcPr>
          <w:p w14:paraId="63C6C005">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c>
          <w:tcPr>
            <w:tcW w:w="1455" w:type="dxa"/>
            <w:gridSpan w:val="3"/>
            <w:noWrap w:val="0"/>
            <w:tcMar>
              <w:top w:w="0" w:type="dxa"/>
              <w:left w:w="75" w:type="dxa"/>
              <w:bottom w:w="0" w:type="dxa"/>
              <w:right w:w="0" w:type="dxa"/>
            </w:tcMar>
            <w:vAlign w:val="center"/>
          </w:tcPr>
          <w:p w14:paraId="64A215C6">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开标地点</w:t>
            </w:r>
          </w:p>
        </w:tc>
        <w:tc>
          <w:tcPr>
            <w:tcW w:w="2981" w:type="dxa"/>
            <w:noWrap w:val="0"/>
            <w:tcMar>
              <w:top w:w="0" w:type="dxa"/>
              <w:left w:w="75" w:type="dxa"/>
              <w:bottom w:w="0" w:type="dxa"/>
              <w:right w:w="0" w:type="dxa"/>
            </w:tcMar>
            <w:vAlign w:val="center"/>
          </w:tcPr>
          <w:p w14:paraId="06EB8252">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r>
      <w:tr w14:paraId="4D0D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926" w:type="dxa"/>
            <w:vMerge w:val="restart"/>
            <w:noWrap w:val="0"/>
            <w:vAlign w:val="center"/>
          </w:tcPr>
          <w:p w14:paraId="1F488AF5">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中标人</w:t>
            </w:r>
          </w:p>
        </w:tc>
        <w:tc>
          <w:tcPr>
            <w:tcW w:w="2580" w:type="dxa"/>
            <w:vMerge w:val="restart"/>
            <w:noWrap w:val="0"/>
            <w:tcMar>
              <w:top w:w="0" w:type="dxa"/>
              <w:left w:w="75" w:type="dxa"/>
              <w:bottom w:w="0" w:type="dxa"/>
              <w:right w:w="0" w:type="dxa"/>
            </w:tcMar>
            <w:vAlign w:val="center"/>
          </w:tcPr>
          <w:p w14:paraId="28A076A7">
            <w:pPr>
              <w:keepNext w:val="0"/>
              <w:keepLines w:val="0"/>
              <w:widowControl/>
              <w:suppressLineNumbers w:val="0"/>
              <w:spacing w:before="0" w:beforeAutospacing="0" w:after="0" w:afterAutospacing="0" w:line="360" w:lineRule="auto"/>
              <w:ind w:left="0" w:right="0"/>
              <w:jc w:val="righ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（非联合体）</w:t>
            </w:r>
          </w:p>
        </w:tc>
        <w:tc>
          <w:tcPr>
            <w:tcW w:w="1521" w:type="dxa"/>
            <w:gridSpan w:val="3"/>
            <w:vMerge w:val="restart"/>
            <w:noWrap w:val="0"/>
            <w:vAlign w:val="center"/>
          </w:tcPr>
          <w:p w14:paraId="3DD1B261">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联合体</w:t>
            </w:r>
          </w:p>
        </w:tc>
        <w:tc>
          <w:tcPr>
            <w:tcW w:w="3639" w:type="dxa"/>
            <w:gridSpan w:val="3"/>
            <w:noWrap w:val="0"/>
            <w:vAlign w:val="center"/>
          </w:tcPr>
          <w:p w14:paraId="3E132904">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牵头人：</w:t>
            </w:r>
          </w:p>
        </w:tc>
      </w:tr>
      <w:tr w14:paraId="599B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 w:hRule="atLeast"/>
          <w:jc w:val="center"/>
        </w:trPr>
        <w:tc>
          <w:tcPr>
            <w:tcW w:w="1926" w:type="dxa"/>
            <w:vMerge w:val="continue"/>
            <w:noWrap w:val="0"/>
            <w:vAlign w:val="center"/>
          </w:tcPr>
          <w:p w14:paraId="0504332D">
            <w:pPr>
              <w:keepNext w:val="0"/>
              <w:keepLines w:val="0"/>
              <w:widowControl/>
              <w:suppressLineNumbers w:val="0"/>
              <w:spacing w:before="0" w:beforeAutospacing="0" w:after="0" w:afterAutospacing="0" w:line="360" w:lineRule="auto"/>
              <w:ind w:left="0" w:right="0"/>
              <w:jc w:val="center"/>
              <w:rPr>
                <w:rFonts w:hint="eastAsia" w:ascii="Calibri" w:hAnsi="宋体" w:eastAsia="宋体" w:cs="宋体"/>
                <w:color w:val="auto"/>
                <w:kern w:val="0"/>
                <w:highlight w:val="none"/>
              </w:rPr>
            </w:pPr>
          </w:p>
        </w:tc>
        <w:tc>
          <w:tcPr>
            <w:tcW w:w="2580" w:type="dxa"/>
            <w:vMerge w:val="continue"/>
            <w:noWrap w:val="0"/>
            <w:tcMar>
              <w:top w:w="0" w:type="dxa"/>
              <w:left w:w="75" w:type="dxa"/>
              <w:bottom w:w="0" w:type="dxa"/>
              <w:right w:w="0" w:type="dxa"/>
            </w:tcMar>
            <w:vAlign w:val="center"/>
          </w:tcPr>
          <w:p w14:paraId="584F7DE3">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c>
          <w:tcPr>
            <w:tcW w:w="1521" w:type="dxa"/>
            <w:gridSpan w:val="3"/>
            <w:vMerge w:val="continue"/>
            <w:noWrap w:val="0"/>
            <w:vAlign w:val="center"/>
          </w:tcPr>
          <w:p w14:paraId="058AC9C9">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c>
          <w:tcPr>
            <w:tcW w:w="3639" w:type="dxa"/>
            <w:gridSpan w:val="3"/>
            <w:noWrap w:val="0"/>
            <w:vAlign w:val="center"/>
          </w:tcPr>
          <w:p w14:paraId="151A86DB">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r>
              <w:rPr>
                <w:rFonts w:hint="eastAsia" w:ascii="Calibri" w:hAnsi="Calibri" w:eastAsia="宋体" w:cs="Times New Roman"/>
                <w:color w:val="auto"/>
                <w:highlight w:val="none"/>
              </w:rPr>
              <w:t>成员单位：</w:t>
            </w:r>
          </w:p>
        </w:tc>
      </w:tr>
      <w:tr w14:paraId="323D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1C97DB53">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中标价</w:t>
            </w:r>
          </w:p>
        </w:tc>
        <w:tc>
          <w:tcPr>
            <w:tcW w:w="7740" w:type="dxa"/>
            <w:gridSpan w:val="7"/>
            <w:noWrap w:val="0"/>
            <w:tcMar>
              <w:top w:w="0" w:type="dxa"/>
              <w:left w:w="75" w:type="dxa"/>
              <w:bottom w:w="0" w:type="dxa"/>
              <w:right w:w="0" w:type="dxa"/>
            </w:tcMar>
            <w:vAlign w:val="center"/>
          </w:tcPr>
          <w:p w14:paraId="3B13858D">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r>
      <w:tr w14:paraId="530D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45041238">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工期</w:t>
            </w:r>
          </w:p>
        </w:tc>
        <w:tc>
          <w:tcPr>
            <w:tcW w:w="7740" w:type="dxa"/>
            <w:gridSpan w:val="7"/>
            <w:noWrap w:val="0"/>
            <w:tcMar>
              <w:top w:w="0" w:type="dxa"/>
              <w:left w:w="75" w:type="dxa"/>
              <w:bottom w:w="0" w:type="dxa"/>
              <w:right w:w="0" w:type="dxa"/>
            </w:tcMar>
            <w:vAlign w:val="center"/>
          </w:tcPr>
          <w:p w14:paraId="28878858">
            <w:pPr>
              <w:keepNext w:val="0"/>
              <w:keepLines w:val="0"/>
              <w:widowControl/>
              <w:suppressLineNumbers w:val="0"/>
              <w:spacing w:before="0" w:beforeAutospacing="0" w:after="0" w:afterAutospacing="0" w:line="360" w:lineRule="auto"/>
              <w:ind w:left="0" w:right="0"/>
              <w:jc w:val="left"/>
              <w:rPr>
                <w:rFonts w:hint="default" w:ascii="Calibri" w:hAnsi="Calibri" w:eastAsia="宋体" w:cs="Times New Roman"/>
                <w:color w:val="auto"/>
                <w:kern w:val="0"/>
                <w:highlight w:val="none"/>
              </w:rPr>
            </w:pPr>
          </w:p>
        </w:tc>
      </w:tr>
      <w:tr w14:paraId="6046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20B8568A">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质量等级</w:t>
            </w:r>
          </w:p>
        </w:tc>
        <w:tc>
          <w:tcPr>
            <w:tcW w:w="7740" w:type="dxa"/>
            <w:gridSpan w:val="7"/>
            <w:noWrap w:val="0"/>
            <w:tcMar>
              <w:top w:w="0" w:type="dxa"/>
              <w:left w:w="75" w:type="dxa"/>
              <w:bottom w:w="0" w:type="dxa"/>
              <w:right w:w="0" w:type="dxa"/>
            </w:tcMar>
            <w:vAlign w:val="center"/>
          </w:tcPr>
          <w:p w14:paraId="3C971B8E">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p>
        </w:tc>
      </w:tr>
      <w:tr w14:paraId="3AF6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1926" w:type="dxa"/>
            <w:noWrap w:val="0"/>
            <w:vAlign w:val="center"/>
          </w:tcPr>
          <w:p w14:paraId="281F65A3">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项目经理</w:t>
            </w:r>
          </w:p>
        </w:tc>
        <w:tc>
          <w:tcPr>
            <w:tcW w:w="7740" w:type="dxa"/>
            <w:gridSpan w:val="7"/>
            <w:noWrap w:val="0"/>
            <w:tcMar>
              <w:top w:w="0" w:type="dxa"/>
              <w:left w:w="75" w:type="dxa"/>
              <w:bottom w:w="0" w:type="dxa"/>
              <w:right w:w="0" w:type="dxa"/>
            </w:tcMar>
            <w:vAlign w:val="center"/>
          </w:tcPr>
          <w:p w14:paraId="67BC294C">
            <w:pPr>
              <w:keepNext w:val="0"/>
              <w:keepLines w:val="0"/>
              <w:widowControl/>
              <w:suppressLineNumbers w:val="0"/>
              <w:spacing w:before="0" w:beforeAutospacing="0" w:after="0" w:afterAutospacing="0" w:line="360" w:lineRule="auto"/>
              <w:ind w:left="0" w:right="0"/>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注册编号：</w:t>
            </w:r>
            <w:r>
              <w:rPr>
                <w:rFonts w:hint="default" w:ascii="Calibri" w:hAnsi="Calibri" w:eastAsia="宋体" w:cs="Times New Roman"/>
                <w:color w:val="auto"/>
                <w:kern w:val="0"/>
                <w:highlight w:val="none"/>
              </w:rPr>
              <w:t xml:space="preserve"> </w:t>
            </w:r>
            <w:r>
              <w:rPr>
                <w:rFonts w:hint="default" w:ascii="Calibri" w:hAnsi="Calibri" w:eastAsia="宋体" w:cs="Times New Roman"/>
                <w:color w:val="auto"/>
                <w:kern w:val="0"/>
                <w:highlight w:val="none"/>
                <w:u w:val="single"/>
              </w:rPr>
              <w:t xml:space="preserve">              </w:t>
            </w:r>
            <w:r>
              <w:rPr>
                <w:rFonts w:hint="default" w:ascii="Calibri" w:hAnsi="Calibri" w:eastAsia="宋体" w:cs="Times New Roman"/>
                <w:color w:val="auto"/>
                <w:kern w:val="0"/>
                <w:highlight w:val="none"/>
              </w:rPr>
              <w:t xml:space="preserve">    </w:t>
            </w:r>
            <w:r>
              <w:rPr>
                <w:rFonts w:hint="eastAsia" w:ascii="Calibri" w:hAnsi="宋体" w:eastAsia="宋体" w:cs="宋体"/>
                <w:color w:val="auto"/>
                <w:kern w:val="0"/>
                <w:highlight w:val="none"/>
              </w:rPr>
              <w:t>；身份证号：</w:t>
            </w:r>
            <w:r>
              <w:rPr>
                <w:rFonts w:hint="default" w:ascii="Calibri" w:hAnsi="Calibri" w:eastAsia="宋体" w:cs="Times New Roman"/>
                <w:color w:val="auto"/>
                <w:kern w:val="0"/>
                <w:highlight w:val="none"/>
              </w:rPr>
              <w:t xml:space="preserve">  </w:t>
            </w:r>
            <w:r>
              <w:rPr>
                <w:rFonts w:hint="default" w:ascii="Calibri" w:hAnsi="Calibri" w:eastAsia="宋体" w:cs="Times New Roman"/>
                <w:color w:val="auto"/>
                <w:kern w:val="0"/>
                <w:highlight w:val="none"/>
                <w:u w:val="single"/>
              </w:rPr>
              <w:t xml:space="preserve">     </w:t>
            </w:r>
            <w:r>
              <w:rPr>
                <w:rFonts w:hint="eastAsia" w:ascii="Calibri" w:hAnsi="Calibri" w:eastAsia="宋体" w:cs="Times New Roman"/>
                <w:color w:val="auto"/>
                <w:kern w:val="0"/>
                <w:highlight w:val="none"/>
                <w:u w:val="single"/>
                <w:lang w:val="en-US" w:eastAsia="zh-CN"/>
              </w:rPr>
              <w:t xml:space="preserve">        </w:t>
            </w:r>
            <w:r>
              <w:rPr>
                <w:rFonts w:hint="default" w:ascii="Calibri" w:hAnsi="Calibri" w:eastAsia="宋体" w:cs="Times New Roman"/>
                <w:color w:val="auto"/>
                <w:kern w:val="0"/>
                <w:highlight w:val="none"/>
                <w:u w:val="single"/>
              </w:rPr>
              <w:t xml:space="preserve"> </w:t>
            </w:r>
          </w:p>
        </w:tc>
      </w:tr>
      <w:tr w14:paraId="00B7C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2B583D1A">
            <w:pPr>
              <w:keepNext w:val="0"/>
              <w:keepLines w:val="0"/>
              <w:widowControl/>
              <w:suppressLineNumbers w:val="0"/>
              <w:spacing w:before="0" w:beforeAutospacing="0" w:after="0" w:afterAutospacing="0" w:line="360" w:lineRule="auto"/>
              <w:ind w:left="0" w:right="0"/>
              <w:jc w:val="center"/>
              <w:rPr>
                <w:rFonts w:hint="default" w:ascii="Calibri" w:hAnsi="Calibri" w:eastAsia="宋体" w:cs="Times New Roman"/>
                <w:color w:val="auto"/>
                <w:kern w:val="0"/>
                <w:highlight w:val="none"/>
              </w:rPr>
            </w:pPr>
            <w:r>
              <w:rPr>
                <w:rFonts w:hint="eastAsia" w:ascii="Calibri" w:hAnsi="宋体" w:eastAsia="宋体" w:cs="宋体"/>
                <w:color w:val="auto"/>
                <w:kern w:val="0"/>
                <w:highlight w:val="none"/>
              </w:rPr>
              <w:t>公告媒介</w:t>
            </w:r>
          </w:p>
        </w:tc>
        <w:tc>
          <w:tcPr>
            <w:tcW w:w="7740" w:type="dxa"/>
            <w:gridSpan w:val="7"/>
            <w:noWrap w:val="0"/>
            <w:tcMar>
              <w:top w:w="0" w:type="dxa"/>
              <w:left w:w="75" w:type="dxa"/>
              <w:bottom w:w="0" w:type="dxa"/>
              <w:right w:w="0" w:type="dxa"/>
            </w:tcMar>
            <w:vAlign w:val="center"/>
          </w:tcPr>
          <w:p w14:paraId="13AB44F5">
            <w:pPr>
              <w:keepNext w:val="0"/>
              <w:keepLines w:val="0"/>
              <w:widowControl/>
              <w:suppressLineNumbers w:val="0"/>
              <w:spacing w:before="0" w:beforeAutospacing="0" w:after="0" w:afterAutospacing="0" w:line="360" w:lineRule="auto"/>
              <w:ind w:left="0" w:right="178" w:rightChars="85"/>
              <w:rPr>
                <w:rFonts w:hint="default" w:ascii="Calibri" w:hAnsi="Calibri" w:eastAsia="宋体" w:cs="Times New Roman"/>
                <w:color w:val="auto"/>
                <w:highlight w:val="none"/>
              </w:rPr>
            </w:pPr>
          </w:p>
        </w:tc>
      </w:tr>
      <w:tr w14:paraId="5D2C7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926" w:type="dxa"/>
            <w:noWrap w:val="0"/>
            <w:vAlign w:val="center"/>
          </w:tcPr>
          <w:p w14:paraId="16456C4F">
            <w:pPr>
              <w:keepNext w:val="0"/>
              <w:keepLines w:val="0"/>
              <w:widowControl/>
              <w:suppressLineNumbers w:val="0"/>
              <w:spacing w:before="0" w:beforeAutospacing="0" w:after="0" w:afterAutospacing="0" w:line="360" w:lineRule="auto"/>
              <w:ind w:left="0" w:right="0"/>
              <w:jc w:val="center"/>
              <w:rPr>
                <w:rFonts w:hint="default" w:ascii="Calibri" w:hAnsi="宋体" w:eastAsia="宋体" w:cs="Times New Roman"/>
                <w:color w:val="auto"/>
                <w:kern w:val="0"/>
                <w:highlight w:val="none"/>
              </w:rPr>
            </w:pPr>
            <w:r>
              <w:rPr>
                <w:rFonts w:hint="eastAsia" w:ascii="Calibri" w:hAnsi="宋体" w:eastAsia="宋体" w:cs="宋体"/>
                <w:color w:val="auto"/>
                <w:kern w:val="0"/>
                <w:highlight w:val="none"/>
              </w:rPr>
              <w:t>公告日期（即中标通知书签发日期）</w:t>
            </w:r>
          </w:p>
        </w:tc>
        <w:tc>
          <w:tcPr>
            <w:tcW w:w="7740" w:type="dxa"/>
            <w:gridSpan w:val="7"/>
            <w:noWrap w:val="0"/>
            <w:tcMar>
              <w:top w:w="0" w:type="dxa"/>
              <w:left w:w="75" w:type="dxa"/>
              <w:bottom w:w="0" w:type="dxa"/>
              <w:right w:w="0" w:type="dxa"/>
            </w:tcMar>
            <w:vAlign w:val="center"/>
          </w:tcPr>
          <w:p w14:paraId="0DF6FDF4">
            <w:pPr>
              <w:keepNext w:val="0"/>
              <w:keepLines w:val="0"/>
              <w:widowControl/>
              <w:suppressLineNumbers w:val="0"/>
              <w:spacing w:before="0" w:beforeAutospacing="0" w:after="0" w:afterAutospacing="0" w:line="360" w:lineRule="auto"/>
              <w:ind w:left="0" w:right="178" w:rightChars="85"/>
              <w:rPr>
                <w:rFonts w:hint="default" w:ascii="Calibri" w:hAnsi="Calibri" w:eastAsia="宋体" w:cs="Times New Roman"/>
                <w:color w:val="auto"/>
                <w:highlight w:val="none"/>
              </w:rPr>
            </w:pPr>
          </w:p>
        </w:tc>
      </w:tr>
    </w:tbl>
    <w:p w14:paraId="7D25D8F0">
      <w:pPr>
        <w:rPr>
          <w:b/>
          <w:bCs/>
          <w:color w:val="auto"/>
          <w:highlight w:val="none"/>
        </w:rPr>
      </w:pPr>
    </w:p>
    <w:p w14:paraId="33755E4D">
      <w:pPr>
        <w:pStyle w:val="28"/>
        <w:pBdr>
          <w:top w:val="none" w:color="auto" w:sz="0" w:space="0"/>
          <w:left w:val="none" w:color="auto" w:sz="0" w:space="0"/>
          <w:bottom w:val="none" w:color="auto" w:sz="0" w:space="1"/>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招标人（或招标代理机构）法定代表人（或其授权项目负责人）：</w:t>
      </w:r>
      <w:r>
        <w:rPr>
          <w:rFonts w:hint="eastAsia"/>
          <w:color w:val="auto"/>
          <w:sz w:val="21"/>
          <w:szCs w:val="21"/>
          <w:highlight w:val="none"/>
          <w:u w:val="single"/>
          <w:lang w:val="en-US" w:eastAsia="zh-CN"/>
        </w:rPr>
        <w:t>（签名）</w:t>
      </w:r>
    </w:p>
    <w:p w14:paraId="74A2A238">
      <w:pPr>
        <w:pStyle w:val="28"/>
        <w:pBdr>
          <w:top w:val="none" w:color="auto" w:sz="0" w:space="0"/>
          <w:left w:val="none" w:color="auto" w:sz="0" w:space="0"/>
          <w:bottom w:val="none" w:color="auto" w:sz="0" w:space="1"/>
          <w:right w:val="none" w:color="auto" w:sz="0" w:space="0"/>
          <w:between w:val="none" w:color="auto" w:sz="0" w:space="0"/>
        </w:pBdr>
        <w:spacing w:before="120" w:beforeLines="50"/>
        <w:jc w:val="right"/>
        <w:rPr>
          <w:rFonts w:hint="eastAsia" w:hAnsi="宋体" w:cs="宋体"/>
          <w:color w:val="auto"/>
          <w:sz w:val="21"/>
          <w:szCs w:val="21"/>
          <w:highlight w:val="none"/>
          <w:lang w:val="en-US" w:eastAsia="zh-CN"/>
        </w:rPr>
      </w:pPr>
      <w:r>
        <w:rPr>
          <w:rFonts w:hint="eastAsia" w:hAnsi="宋体" w:cs="宋体"/>
          <w:color w:val="auto"/>
          <w:sz w:val="21"/>
          <w:szCs w:val="21"/>
          <w:highlight w:val="none"/>
          <w:lang w:val="en-US" w:eastAsia="zh-CN"/>
        </w:rPr>
        <w:t>年      月      日</w:t>
      </w:r>
    </w:p>
    <w:p w14:paraId="160C65B4">
      <w:pPr>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招标人应在发布媒介上发布</w:t>
      </w:r>
      <w:r>
        <w:rPr>
          <w:rFonts w:hint="eastAsia" w:ascii="方正楷体_GB2312" w:hAnsi="方正楷体_GB2312" w:eastAsia="方正楷体_GB2312" w:cs="方正楷体_GB2312"/>
          <w:color w:val="auto"/>
          <w:highlight w:val="none"/>
          <w:lang w:eastAsia="zh-CN"/>
        </w:rPr>
        <w:t>中标结果公告</w:t>
      </w: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以上身份证号在公告时应隐藏中间部分数字</w:t>
      </w:r>
      <w:r>
        <w:rPr>
          <w:rFonts w:hint="eastAsia" w:ascii="方正楷体_GB2312" w:hAnsi="方正楷体_GB2312" w:eastAsia="方正楷体_GB2312" w:cs="方正楷体_GB2312"/>
          <w:color w:val="auto"/>
          <w:highlight w:val="none"/>
          <w:lang w:eastAsia="zh-CN"/>
        </w:rPr>
        <w:t>】</w:t>
      </w:r>
    </w:p>
    <w:bookmarkEnd w:id="434"/>
    <w:p w14:paraId="38E2A00D">
      <w:pPr>
        <w:pStyle w:val="3"/>
        <w:jc w:val="both"/>
        <w:rPr>
          <w:rFonts w:hint="eastAsia" w:cs="黑体"/>
          <w:color w:val="auto"/>
          <w:highlight w:val="none"/>
        </w:rPr>
        <w:sectPr>
          <w:pgSz w:w="11907" w:h="16840"/>
          <w:pgMar w:top="1440" w:right="1440" w:bottom="1797" w:left="1440" w:header="851" w:footer="851" w:gutter="0"/>
          <w:cols w:space="720" w:num="1"/>
          <w:docGrid w:linePitch="312" w:charSpace="0"/>
        </w:sectPr>
      </w:pPr>
      <w:bookmarkStart w:id="658" w:name="_Toc407135190"/>
      <w:bookmarkStart w:id="659" w:name="_Toc163918790"/>
      <w:bookmarkStart w:id="660" w:name="_Toc4213"/>
      <w:bookmarkStart w:id="661" w:name="_Toc78449776"/>
      <w:bookmarkStart w:id="662" w:name="_Toc358476596"/>
    </w:p>
    <w:p w14:paraId="7E30452C">
      <w:pPr>
        <w:pStyle w:val="3"/>
        <w:jc w:val="center"/>
        <w:rPr>
          <w:rFonts w:cs="黑体"/>
          <w:color w:val="auto"/>
          <w:highlight w:val="none"/>
        </w:rPr>
      </w:pPr>
      <w:r>
        <w:rPr>
          <w:rFonts w:hint="eastAsia" w:cs="黑体"/>
          <w:color w:val="auto"/>
          <w:highlight w:val="none"/>
        </w:rPr>
        <w:t>第四章</w:t>
      </w:r>
      <w:r>
        <w:rPr>
          <w:rFonts w:cs="黑体"/>
          <w:color w:val="auto"/>
          <w:highlight w:val="none"/>
        </w:rPr>
        <w:t xml:space="preserve">  </w:t>
      </w:r>
      <w:r>
        <w:rPr>
          <w:rFonts w:hint="eastAsia" w:cs="黑体"/>
          <w:color w:val="auto"/>
          <w:highlight w:val="none"/>
        </w:rPr>
        <w:t>合同条款及格式</w:t>
      </w:r>
      <w:bookmarkEnd w:id="658"/>
      <w:bookmarkEnd w:id="659"/>
      <w:bookmarkEnd w:id="660"/>
      <w:bookmarkEnd w:id="661"/>
    </w:p>
    <w:bookmarkEnd w:id="662"/>
    <w:p w14:paraId="4F01DC34">
      <w:pPr>
        <w:pStyle w:val="3"/>
        <w:jc w:val="center"/>
        <w:rPr>
          <w:color w:val="auto"/>
          <w:highlight w:val="none"/>
        </w:rPr>
      </w:pPr>
      <w:bookmarkStart w:id="663" w:name="_Toc407135191"/>
      <w:bookmarkStart w:id="664" w:name="_Toc296890982"/>
      <w:bookmarkStart w:id="665" w:name="_Toc724920571"/>
      <w:bookmarkStart w:id="666" w:name="_Toc296503025"/>
      <w:bookmarkStart w:id="667" w:name="_Toc389065255"/>
      <w:bookmarkStart w:id="668" w:name="_Toc373478199"/>
      <w:bookmarkStart w:id="669" w:name="_Toc373227552"/>
      <w:bookmarkStart w:id="670" w:name="_Toc4704"/>
      <w:bookmarkStart w:id="671" w:name="_Toc78449777"/>
      <w:bookmarkStart w:id="672" w:name="_Toc351203480"/>
      <w:r>
        <w:rPr>
          <w:rFonts w:hint="eastAsia" w:cs="黑体"/>
          <w:color w:val="auto"/>
          <w:highlight w:val="none"/>
        </w:rPr>
        <w:t>第一部分</w:t>
      </w:r>
      <w:r>
        <w:rPr>
          <w:color w:val="auto"/>
          <w:highlight w:val="none"/>
        </w:rPr>
        <w:t xml:space="preserve"> </w:t>
      </w:r>
      <w:r>
        <w:rPr>
          <w:rFonts w:hint="eastAsia" w:cs="黑体"/>
          <w:color w:val="auto"/>
          <w:highlight w:val="none"/>
        </w:rPr>
        <w:t>合同协议书</w:t>
      </w:r>
      <w:bookmarkEnd w:id="663"/>
      <w:bookmarkEnd w:id="664"/>
      <w:bookmarkEnd w:id="665"/>
      <w:bookmarkEnd w:id="666"/>
      <w:bookmarkEnd w:id="667"/>
      <w:bookmarkEnd w:id="668"/>
      <w:bookmarkEnd w:id="669"/>
      <w:bookmarkEnd w:id="670"/>
      <w:bookmarkEnd w:id="671"/>
      <w:bookmarkEnd w:id="672"/>
    </w:p>
    <w:p w14:paraId="3E11756D">
      <w:pPr>
        <w:spacing w:line="360" w:lineRule="auto"/>
        <w:rPr>
          <w:color w:val="auto"/>
          <w:highlight w:val="none"/>
          <w:u w:val="single"/>
        </w:rPr>
      </w:pPr>
      <w:r>
        <w:rPr>
          <w:rFonts w:hint="eastAsia" w:hAnsi="宋体" w:cs="宋体"/>
          <w:color w:val="auto"/>
          <w:highlight w:val="none"/>
        </w:rPr>
        <w:t>发包人（全称）：</w:t>
      </w:r>
      <w:r>
        <w:rPr>
          <w:rFonts w:hAnsi="宋体"/>
          <w:color w:val="auto"/>
          <w:highlight w:val="none"/>
          <w:u w:val="single"/>
        </w:rPr>
        <w:t xml:space="preserve">      </w:t>
      </w:r>
      <w:r>
        <w:rPr>
          <w:rFonts w:hint="eastAsia" w:hAnsi="宋体"/>
          <w:color w:val="auto"/>
          <w:highlight w:val="none"/>
          <w:u w:val="single"/>
          <w:lang w:eastAsia="zh-CN"/>
        </w:rPr>
        <w:t>广西警察学院</w:t>
      </w:r>
      <w:r>
        <w:rPr>
          <w:rFonts w:hAnsi="宋体"/>
          <w:color w:val="auto"/>
          <w:highlight w:val="none"/>
          <w:u w:val="single"/>
        </w:rPr>
        <w:t xml:space="preserve">  </w:t>
      </w:r>
    </w:p>
    <w:p w14:paraId="719D1229">
      <w:pPr>
        <w:spacing w:line="360" w:lineRule="auto"/>
        <w:rPr>
          <w:color w:val="auto"/>
          <w:highlight w:val="none"/>
          <w:u w:val="single"/>
        </w:rPr>
      </w:pPr>
      <w:r>
        <w:rPr>
          <w:rFonts w:hint="eastAsia" w:hAnsi="宋体" w:cs="宋体"/>
          <w:color w:val="auto"/>
          <w:highlight w:val="none"/>
        </w:rPr>
        <w:t>承包人（全称）：</w:t>
      </w:r>
      <w:r>
        <w:rPr>
          <w:rFonts w:hAnsi="宋体"/>
          <w:color w:val="auto"/>
          <w:highlight w:val="none"/>
          <w:u w:val="single"/>
        </w:rPr>
        <w:t xml:space="preserve">                              </w:t>
      </w:r>
    </w:p>
    <w:p w14:paraId="4442EA9B">
      <w:pPr>
        <w:spacing w:line="360" w:lineRule="auto"/>
        <w:ind w:firstLine="420" w:firstLineChars="200"/>
        <w:rPr>
          <w:rFonts w:hAnsi="宋体"/>
          <w:color w:val="auto"/>
          <w:highlight w:val="none"/>
        </w:rPr>
      </w:pPr>
      <w:r>
        <w:rPr>
          <w:rFonts w:hint="eastAsia" w:hAnsi="宋体" w:cs="宋体"/>
          <w:color w:val="auto"/>
          <w:highlight w:val="none"/>
        </w:rPr>
        <w:t>根据《中华人民共和国民法典</w:t>
      </w:r>
      <w:r>
        <w:rPr>
          <w:rFonts w:hint="eastAsia" w:hAnsi="宋体" w:cs="宋体"/>
          <w:color w:val="auto"/>
          <w:highlight w:val="none"/>
          <w:lang w:eastAsia="zh-CN"/>
        </w:rPr>
        <w:t>》《</w:t>
      </w:r>
      <w:r>
        <w:rPr>
          <w:rFonts w:hint="eastAsia" w:hAnsi="宋体" w:cs="宋体"/>
          <w:color w:val="auto"/>
          <w:highlight w:val="none"/>
        </w:rPr>
        <w:t>中华人民共和国建筑法》及有关法律规定，遵循平等、自愿、公平和诚实信用的原则，双方就</w:t>
      </w:r>
      <w:r>
        <w:rPr>
          <w:color w:val="auto"/>
          <w:highlight w:val="none"/>
          <w:u w:val="single"/>
        </w:rPr>
        <w:t xml:space="preserve">                       </w:t>
      </w:r>
      <w:r>
        <w:rPr>
          <w:rFonts w:hint="eastAsia" w:hAnsi="宋体" w:cs="宋体"/>
          <w:color w:val="auto"/>
          <w:highlight w:val="none"/>
        </w:rPr>
        <w:t>工程施工及有关事项协商一致，共同达成如下协议：</w:t>
      </w:r>
      <w:bookmarkStart w:id="673" w:name="_Toc351203481"/>
    </w:p>
    <w:p w14:paraId="700BF95D">
      <w:pPr>
        <w:spacing w:line="360" w:lineRule="auto"/>
        <w:ind w:firstLine="422" w:firstLineChars="200"/>
        <w:outlineLvl w:val="0"/>
        <w:rPr>
          <w:b/>
          <w:bCs/>
          <w:color w:val="auto"/>
          <w:highlight w:val="none"/>
        </w:rPr>
      </w:pPr>
      <w:r>
        <w:rPr>
          <w:rFonts w:hint="eastAsia" w:hAnsi="宋体" w:cs="宋体"/>
          <w:b/>
          <w:bCs/>
          <w:color w:val="auto"/>
          <w:highlight w:val="none"/>
        </w:rPr>
        <w:t>一、工程概况</w:t>
      </w:r>
      <w:bookmarkEnd w:id="673"/>
    </w:p>
    <w:p w14:paraId="4BB7A8E3">
      <w:pPr>
        <w:spacing w:line="360" w:lineRule="auto"/>
        <w:ind w:firstLine="411" w:firstLineChars="196"/>
        <w:rPr>
          <w:color w:val="auto"/>
          <w:highlight w:val="none"/>
          <w:u w:val="single"/>
        </w:rPr>
      </w:pPr>
      <w:r>
        <w:rPr>
          <w:color w:val="auto"/>
          <w:highlight w:val="none"/>
        </w:rPr>
        <w:t xml:space="preserve">1. </w:t>
      </w:r>
      <w:r>
        <w:rPr>
          <w:rFonts w:hint="eastAsia" w:hAnsi="宋体" w:cs="宋体"/>
          <w:color w:val="auto"/>
          <w:highlight w:val="none"/>
        </w:rPr>
        <w:t>工程名称：</w:t>
      </w:r>
      <w:r>
        <w:rPr>
          <w:rFonts w:hint="eastAsia" w:hAnsi="宋体" w:cs="宋体"/>
          <w:color w:val="auto"/>
          <w:highlight w:val="none"/>
          <w:u w:val="single"/>
        </w:rPr>
        <w:t xml:space="preserve"> </w:t>
      </w:r>
      <w:r>
        <w:rPr>
          <w:rFonts w:hint="eastAsia" w:hAnsi="宋体" w:cs="宋体"/>
          <w:color w:val="auto"/>
          <w:highlight w:val="none"/>
          <w:u w:val="single"/>
          <w:lang w:eastAsia="zh-CN"/>
        </w:rPr>
        <w:t>广西警察学院长湖校区3号学员公寓楼改造工程（重）</w:t>
      </w:r>
    </w:p>
    <w:p w14:paraId="19557A1E">
      <w:pPr>
        <w:spacing w:line="360" w:lineRule="auto"/>
        <w:ind w:firstLine="411" w:firstLineChars="196"/>
        <w:rPr>
          <w:color w:val="auto"/>
          <w:highlight w:val="none"/>
          <w:u w:val="single"/>
        </w:rPr>
      </w:pPr>
      <w:r>
        <w:rPr>
          <w:color w:val="auto"/>
          <w:highlight w:val="none"/>
        </w:rPr>
        <w:t xml:space="preserve">2. </w:t>
      </w:r>
      <w:r>
        <w:rPr>
          <w:rFonts w:hint="eastAsia" w:hAnsi="宋体" w:cs="宋体"/>
          <w:color w:val="auto"/>
          <w:highlight w:val="none"/>
        </w:rPr>
        <w:t>工程地点：</w:t>
      </w:r>
      <w:r>
        <w:rPr>
          <w:color w:val="auto"/>
          <w:highlight w:val="none"/>
          <w:u w:val="single"/>
        </w:rPr>
        <w:t xml:space="preserve">   </w:t>
      </w:r>
      <w:r>
        <w:rPr>
          <w:rFonts w:hint="eastAsia"/>
          <w:color w:val="auto"/>
          <w:highlight w:val="none"/>
          <w:u w:val="single"/>
        </w:rPr>
        <w:t xml:space="preserve">    </w:t>
      </w:r>
      <w:r>
        <w:rPr>
          <w:rFonts w:hint="eastAsia" w:hAnsi="宋体" w:cs="宋体"/>
          <w:color w:val="auto"/>
          <w:u w:val="single"/>
          <w:lang w:val="en-US" w:eastAsia="zh-CN"/>
        </w:rPr>
        <w:t>广西南宁市青秀区长湖路6号</w:t>
      </w:r>
      <w:r>
        <w:rPr>
          <w:rFonts w:hint="eastAsia" w:hAnsi="宋体" w:cs="宋体"/>
          <w:color w:val="auto"/>
          <w:u w:val="single"/>
        </w:rPr>
        <w:t>。</w:t>
      </w:r>
      <w:r>
        <w:rPr>
          <w:color w:val="auto"/>
          <w:highlight w:val="none"/>
          <w:u w:val="single"/>
        </w:rPr>
        <w:t xml:space="preserve"> </w:t>
      </w:r>
    </w:p>
    <w:p w14:paraId="2DD80950">
      <w:pPr>
        <w:spacing w:line="360" w:lineRule="auto"/>
        <w:ind w:firstLine="411" w:firstLineChars="196"/>
        <w:rPr>
          <w:color w:val="auto"/>
          <w:highlight w:val="none"/>
        </w:rPr>
      </w:pPr>
      <w:r>
        <w:rPr>
          <w:color w:val="auto"/>
          <w:highlight w:val="none"/>
        </w:rPr>
        <w:t xml:space="preserve">3. </w:t>
      </w:r>
      <w:r>
        <w:rPr>
          <w:rFonts w:hint="eastAsia" w:hAnsi="宋体" w:cs="宋体"/>
          <w:color w:val="auto"/>
          <w:highlight w:val="none"/>
        </w:rPr>
        <w:t>工程立项批准文号：</w:t>
      </w:r>
      <w:r>
        <w:rPr>
          <w:color w:val="auto"/>
          <w:highlight w:val="none"/>
          <w:u w:val="single"/>
        </w:rPr>
        <w:t xml:space="preserve">   </w:t>
      </w:r>
      <w:r>
        <w:rPr>
          <w:color w:val="auto"/>
          <w:highlight w:val="none"/>
          <w:u w:val="single"/>
          <w:lang w:val="en-US" w:eastAsia="zh-CN"/>
        </w:rPr>
        <w:t>2510-450000-04-02-876660</w:t>
      </w:r>
      <w:r>
        <w:rPr>
          <w:color w:val="auto"/>
          <w:highlight w:val="none"/>
          <w:u w:val="single"/>
        </w:rPr>
        <w:t xml:space="preserve">    </w:t>
      </w:r>
      <w:r>
        <w:rPr>
          <w:rFonts w:hint="eastAsia" w:hAnsi="宋体" w:cs="宋体"/>
          <w:color w:val="auto"/>
          <w:highlight w:val="none"/>
        </w:rPr>
        <w:t>。</w:t>
      </w:r>
    </w:p>
    <w:p w14:paraId="20F01E65">
      <w:pPr>
        <w:spacing w:line="360" w:lineRule="auto"/>
        <w:ind w:firstLine="411" w:firstLineChars="196"/>
        <w:rPr>
          <w:rFonts w:hint="eastAsia" w:hAnsi="宋体" w:cs="宋体"/>
          <w:color w:val="auto"/>
          <w:u w:val="single"/>
        </w:rPr>
      </w:pPr>
      <w:r>
        <w:rPr>
          <w:color w:val="auto"/>
          <w:highlight w:val="none"/>
        </w:rPr>
        <w:t xml:space="preserve">4. </w:t>
      </w:r>
      <w:r>
        <w:rPr>
          <w:rFonts w:hint="eastAsia" w:hAnsi="宋体" w:cs="宋体"/>
          <w:color w:val="auto"/>
          <w:highlight w:val="none"/>
        </w:rPr>
        <w:t>资金来源：</w:t>
      </w:r>
      <w:r>
        <w:rPr>
          <w:color w:val="auto"/>
          <w:highlight w:val="none"/>
          <w:u w:val="single"/>
        </w:rPr>
        <w:t xml:space="preserve">  </w:t>
      </w:r>
      <w:r>
        <w:rPr>
          <w:rFonts w:hint="eastAsia"/>
          <w:color w:val="auto"/>
          <w:u w:val="single"/>
        </w:rPr>
        <w:t>财政资金</w:t>
      </w:r>
      <w:r>
        <w:rPr>
          <w:rFonts w:hint="eastAsia" w:hAnsi="宋体" w:cs="宋体"/>
          <w:color w:val="auto"/>
          <w:u w:val="single"/>
        </w:rPr>
        <w:t>。</w:t>
      </w:r>
    </w:p>
    <w:p w14:paraId="3DA23B85">
      <w:pPr>
        <w:spacing w:line="360" w:lineRule="auto"/>
        <w:ind w:firstLine="411" w:firstLineChars="196"/>
        <w:rPr>
          <w:color w:val="auto"/>
          <w:highlight w:val="none"/>
          <w:u w:val="single"/>
        </w:rPr>
      </w:pPr>
      <w:r>
        <w:rPr>
          <w:color w:val="auto"/>
          <w:highlight w:val="none"/>
        </w:rPr>
        <w:t xml:space="preserve">5. </w:t>
      </w:r>
      <w:r>
        <w:rPr>
          <w:rFonts w:hint="eastAsia" w:hAnsi="宋体" w:cs="宋体"/>
          <w:color w:val="auto"/>
          <w:highlight w:val="none"/>
        </w:rPr>
        <w:t>工程内容：</w:t>
      </w:r>
      <w:r>
        <w:rPr>
          <w:color w:val="auto"/>
          <w:highlight w:val="none"/>
          <w:u w:val="single"/>
        </w:rPr>
        <w:t xml:space="preserve">  </w:t>
      </w:r>
      <w:r>
        <w:rPr>
          <w:rFonts w:hint="eastAsia" w:ascii="Calibri" w:hAnsi="宋体" w:eastAsia="宋体" w:cs="宋体"/>
          <w:color w:val="auto"/>
          <w:szCs w:val="22"/>
          <w:u w:val="single"/>
          <w:lang w:val="en-US" w:eastAsia="zh-CN"/>
        </w:rPr>
        <w:t>广西警察学院长湖校区3号学员公寓楼改造工程项目位于南宁市青秀区长湖路6号广西警察学院长湖校区</w:t>
      </w:r>
      <w:r>
        <w:rPr>
          <w:rFonts w:hint="eastAsia" w:ascii="Calibri" w:hAnsi="宋体" w:eastAsia="宋体" w:cs="宋体"/>
          <w:color w:val="auto"/>
          <w:szCs w:val="22"/>
          <w:u w:val="single"/>
        </w:rPr>
        <w:t>，3号学员公寓楼为砖混建筑5层，改造套间51间，改造建筑面积约</w:t>
      </w:r>
      <w:r>
        <w:rPr>
          <w:rFonts w:hint="eastAsia" w:ascii="Calibri" w:hAnsi="宋体" w:eastAsia="宋体" w:cs="宋体"/>
          <w:color w:val="auto"/>
          <w:szCs w:val="22"/>
          <w:u w:val="single"/>
          <w:lang w:val="en-US" w:eastAsia="zh-CN"/>
        </w:rPr>
        <w:t>2679.04</w:t>
      </w:r>
      <w:r>
        <w:rPr>
          <w:rFonts w:hint="eastAsia" w:ascii="Calibri" w:hAnsi="宋体" w:eastAsia="宋体" w:cs="宋体"/>
          <w:color w:val="auto"/>
          <w:szCs w:val="22"/>
          <w:u w:val="single"/>
        </w:rPr>
        <w:t>㎡。建设内容主要包括</w:t>
      </w:r>
      <w:r>
        <w:rPr>
          <w:rFonts w:hint="eastAsia" w:ascii="Calibri" w:hAnsi="宋体" w:eastAsia="宋体" w:cs="宋体"/>
          <w:color w:val="auto"/>
          <w:szCs w:val="22"/>
          <w:u w:val="single"/>
          <w:lang w:eastAsia="zh-CN"/>
        </w:rPr>
        <w:t>：</w:t>
      </w:r>
      <w:r>
        <w:rPr>
          <w:rFonts w:hint="eastAsia" w:ascii="Calibri" w:hAnsi="宋体" w:eastAsia="宋体" w:cs="宋体"/>
          <w:color w:val="auto"/>
          <w:szCs w:val="22"/>
          <w:u w:val="single"/>
        </w:rPr>
        <w:t>旧地面、旧栏杆等拆除工程，室内外墙面、地面、栏杆、顶棚等装饰装修工程，电气、智能化、给排水等安装工程，外立面装饰工程，室外楼前场地防排水整平等工程。本次招标范围不包含电梯工程。</w:t>
      </w:r>
    </w:p>
    <w:p w14:paraId="6BE2DF9B">
      <w:pPr>
        <w:spacing w:line="400" w:lineRule="exact"/>
        <w:ind w:firstLine="411" w:firstLineChars="196"/>
        <w:rPr>
          <w:color w:val="auto"/>
        </w:rPr>
      </w:pPr>
      <w:r>
        <w:rPr>
          <w:color w:val="auto"/>
          <w:highlight w:val="none"/>
        </w:rPr>
        <w:t xml:space="preserve">6. </w:t>
      </w:r>
      <w:r>
        <w:rPr>
          <w:rFonts w:hint="eastAsia" w:hAnsi="宋体" w:cs="宋体"/>
          <w:color w:val="auto"/>
          <w:highlight w:val="none"/>
        </w:rPr>
        <w:t>工程承包范围：</w:t>
      </w:r>
      <w:r>
        <w:rPr>
          <w:rFonts w:hint="eastAsia" w:hAnsi="宋体" w:cs="宋体"/>
          <w:color w:val="auto"/>
          <w:u w:val="single"/>
        </w:rPr>
        <w:t>旧地面、旧栏杆等拆除工程，室内外墙面、地面、栏杆、顶棚等装饰装修工程，电气、智能化、给排水等安装工程，外立面装饰工程，室外楼前场地防排水整平等工程。本次招标范围不包含电梯工程。具体按工程量清单及图纸</w:t>
      </w:r>
      <w:r>
        <w:rPr>
          <w:rFonts w:hint="eastAsia"/>
          <w:color w:val="auto"/>
          <w:u w:val="single"/>
        </w:rPr>
        <w:t>。</w:t>
      </w:r>
      <w:bookmarkStart w:id="674" w:name="_Toc351203482"/>
    </w:p>
    <w:p w14:paraId="0BA1F616">
      <w:pPr>
        <w:spacing w:line="360" w:lineRule="auto"/>
        <w:ind w:firstLine="407" w:firstLineChars="193"/>
        <w:outlineLvl w:val="0"/>
        <w:rPr>
          <w:b/>
          <w:bCs/>
          <w:color w:val="auto"/>
          <w:highlight w:val="none"/>
        </w:rPr>
      </w:pPr>
      <w:r>
        <w:rPr>
          <w:rFonts w:hint="eastAsia" w:hAnsi="宋体" w:cs="宋体"/>
          <w:b/>
          <w:bCs/>
          <w:color w:val="auto"/>
          <w:highlight w:val="none"/>
        </w:rPr>
        <w:t>二、合同工期</w:t>
      </w:r>
      <w:bookmarkEnd w:id="674"/>
    </w:p>
    <w:p w14:paraId="6A687E37">
      <w:pPr>
        <w:spacing w:line="360" w:lineRule="auto"/>
        <w:ind w:firstLine="459"/>
        <w:rPr>
          <w:color w:val="auto"/>
          <w:highlight w:val="none"/>
        </w:rPr>
      </w:pPr>
      <w:r>
        <w:rPr>
          <w:rFonts w:hint="eastAsia" w:hAnsi="宋体" w:cs="宋体"/>
          <w:color w:val="auto"/>
          <w:highlight w:val="none"/>
        </w:rPr>
        <w:t>计划开工日期：</w:t>
      </w:r>
      <w:r>
        <w:rPr>
          <w:rFonts w:hint="eastAsia" w:hAnsi="宋体"/>
          <w:color w:val="auto"/>
          <w:highlight w:val="none"/>
          <w:u w:val="single"/>
          <w:lang w:eastAsia="zh-CN"/>
        </w:rPr>
        <w:t xml:space="preserve">   </w:t>
      </w:r>
      <w:r>
        <w:rPr>
          <w:rFonts w:hint="eastAsia" w:hAnsi="宋体"/>
          <w:color w:val="auto"/>
          <w:highlight w:val="none"/>
          <w:u w:val="single"/>
          <w:lang w:val="en-US" w:eastAsia="zh-CN"/>
        </w:rPr>
        <w:t>2026</w:t>
      </w:r>
      <w:r>
        <w:rPr>
          <w:rFonts w:hint="eastAsia" w:hAnsi="宋体"/>
          <w:color w:val="auto"/>
          <w:highlight w:val="none"/>
          <w:u w:val="single"/>
          <w:lang w:eastAsia="zh-CN"/>
        </w:rPr>
        <w:t xml:space="preserve">       </w:t>
      </w:r>
      <w:r>
        <w:rPr>
          <w:rFonts w:hAnsi="宋体"/>
          <w:color w:val="auto"/>
          <w:highlight w:val="none"/>
        </w:rPr>
        <w:t>年</w:t>
      </w:r>
      <w:r>
        <w:rPr>
          <w:rFonts w:hint="eastAsia" w:hAnsi="宋体"/>
          <w:color w:val="auto"/>
          <w:highlight w:val="none"/>
          <w:u w:val="single"/>
          <w:lang w:eastAsia="zh-CN"/>
        </w:rPr>
        <w:t xml:space="preserve">      </w:t>
      </w:r>
      <w:r>
        <w:rPr>
          <w:rFonts w:hAnsi="宋体"/>
          <w:color w:val="auto"/>
          <w:highlight w:val="none"/>
        </w:rPr>
        <w:t>月</w:t>
      </w:r>
      <w:r>
        <w:rPr>
          <w:rFonts w:hint="eastAsia" w:hAnsi="宋体"/>
          <w:color w:val="auto"/>
          <w:highlight w:val="none"/>
          <w:u w:val="single"/>
          <w:lang w:eastAsia="zh-CN"/>
        </w:rPr>
        <w:t xml:space="preserve">      </w:t>
      </w:r>
      <w:r>
        <w:rPr>
          <w:rFonts w:hAnsi="宋体"/>
          <w:color w:val="auto"/>
          <w:highlight w:val="none"/>
        </w:rPr>
        <w:t>日。</w:t>
      </w:r>
      <w:r>
        <w:rPr>
          <w:rFonts w:hint="eastAsia" w:hAnsi="宋体" w:cs="宋体"/>
          <w:color w:val="auto"/>
          <w:highlight w:val="none"/>
        </w:rPr>
        <w:t>（具体以发包人书面通知为准）</w:t>
      </w:r>
    </w:p>
    <w:p w14:paraId="6C7554FF">
      <w:pPr>
        <w:spacing w:line="360" w:lineRule="auto"/>
        <w:ind w:firstLine="459"/>
        <w:rPr>
          <w:color w:val="auto"/>
          <w:highlight w:val="none"/>
        </w:rPr>
      </w:pPr>
      <w:r>
        <w:rPr>
          <w:rFonts w:hint="eastAsia" w:hAnsi="宋体" w:cs="宋体"/>
          <w:color w:val="auto"/>
          <w:highlight w:val="none"/>
        </w:rPr>
        <w:t>计划竣工日期：</w:t>
      </w:r>
      <w:r>
        <w:rPr>
          <w:rFonts w:hint="eastAsia" w:hAnsi="宋体"/>
          <w:color w:val="auto"/>
          <w:highlight w:val="none"/>
          <w:u w:val="single"/>
          <w:lang w:eastAsia="zh-CN"/>
        </w:rPr>
        <w:t xml:space="preserve">   </w:t>
      </w:r>
      <w:r>
        <w:rPr>
          <w:rFonts w:hint="eastAsia" w:hAnsi="宋体"/>
          <w:color w:val="auto"/>
          <w:highlight w:val="none"/>
          <w:u w:val="single"/>
          <w:lang w:val="en-US" w:eastAsia="zh-CN"/>
        </w:rPr>
        <w:t>2026</w:t>
      </w:r>
      <w:r>
        <w:rPr>
          <w:rFonts w:hint="eastAsia" w:hAnsi="宋体"/>
          <w:color w:val="auto"/>
          <w:highlight w:val="none"/>
          <w:u w:val="single"/>
          <w:lang w:eastAsia="zh-CN"/>
        </w:rPr>
        <w:t xml:space="preserve">       </w:t>
      </w:r>
      <w:r>
        <w:rPr>
          <w:rFonts w:hAnsi="宋体"/>
          <w:color w:val="auto"/>
          <w:highlight w:val="none"/>
        </w:rPr>
        <w:t>年</w:t>
      </w:r>
      <w:r>
        <w:rPr>
          <w:rFonts w:hint="eastAsia" w:hAnsi="宋体"/>
          <w:color w:val="auto"/>
          <w:highlight w:val="none"/>
          <w:u w:val="single"/>
          <w:lang w:eastAsia="zh-CN"/>
        </w:rPr>
        <w:t xml:space="preserve">      </w:t>
      </w:r>
      <w:r>
        <w:rPr>
          <w:rFonts w:hAnsi="宋体"/>
          <w:color w:val="auto"/>
          <w:highlight w:val="none"/>
        </w:rPr>
        <w:t>月</w:t>
      </w:r>
      <w:r>
        <w:rPr>
          <w:rFonts w:hint="eastAsia" w:hAnsi="宋体"/>
          <w:color w:val="auto"/>
          <w:highlight w:val="none"/>
          <w:u w:val="single"/>
          <w:lang w:eastAsia="zh-CN"/>
        </w:rPr>
        <w:t xml:space="preserve">      </w:t>
      </w:r>
      <w:r>
        <w:rPr>
          <w:rFonts w:hAnsi="宋体"/>
          <w:color w:val="auto"/>
          <w:highlight w:val="none"/>
        </w:rPr>
        <w:t>日</w:t>
      </w:r>
      <w:r>
        <w:rPr>
          <w:rFonts w:hint="eastAsia" w:hAnsi="宋体" w:cs="宋体"/>
          <w:color w:val="auto"/>
          <w:highlight w:val="none"/>
        </w:rPr>
        <w:t>。</w:t>
      </w:r>
    </w:p>
    <w:p w14:paraId="0C46C9F7">
      <w:pPr>
        <w:spacing w:line="360" w:lineRule="auto"/>
        <w:ind w:firstLine="459"/>
        <w:rPr>
          <w:rFonts w:hAnsi="宋体"/>
          <w:color w:val="auto"/>
          <w:highlight w:val="none"/>
        </w:rPr>
      </w:pPr>
      <w:r>
        <w:rPr>
          <w:rFonts w:hint="eastAsia" w:hAnsi="宋体" w:cs="宋体"/>
          <w:color w:val="auto"/>
          <w:highlight w:val="none"/>
        </w:rPr>
        <w:t>工期总日历天数：</w:t>
      </w:r>
      <w:r>
        <w:rPr>
          <w:rFonts w:hint="eastAsia" w:hAnsi="宋体" w:cs="宋体"/>
          <w:color w:val="auto"/>
          <w:highlight w:val="none"/>
          <w:u w:val="single"/>
        </w:rPr>
        <w:t xml:space="preserve">  </w:t>
      </w:r>
      <w:r>
        <w:rPr>
          <w:rFonts w:hint="eastAsia" w:hAnsi="宋体" w:cs="宋体"/>
          <w:color w:val="auto"/>
          <w:highlight w:val="none"/>
          <w:u w:val="single"/>
          <w:lang w:val="en-US" w:eastAsia="zh-CN"/>
        </w:rPr>
        <w:t>100</w:t>
      </w:r>
      <w:r>
        <w:rPr>
          <w:rFonts w:hint="eastAsia" w:hAnsi="宋体" w:cs="宋体"/>
          <w:color w:val="auto"/>
          <w:highlight w:val="none"/>
          <w:u w:val="single"/>
        </w:rPr>
        <w:t xml:space="preserve">  </w:t>
      </w:r>
      <w:r>
        <w:rPr>
          <w:rFonts w:hint="eastAsia" w:hAnsi="宋体" w:cs="宋体"/>
          <w:color w:val="auto"/>
          <w:highlight w:val="none"/>
        </w:rPr>
        <w:t>天。工期总日历天数与根据前述计划开竣工日期计算的工期天数不一致的，以工期总日历天数为准。</w:t>
      </w:r>
    </w:p>
    <w:p w14:paraId="79C5FB6E">
      <w:pPr>
        <w:spacing w:line="360" w:lineRule="auto"/>
        <w:ind w:firstLine="459"/>
        <w:rPr>
          <w:rFonts w:hint="eastAsia" w:hAnsi="宋体" w:eastAsia="宋体" w:cs="宋体"/>
          <w:color w:val="auto"/>
          <w:highlight w:val="none"/>
        </w:rPr>
      </w:pPr>
      <w:bookmarkStart w:id="675" w:name="_Toc351203483"/>
      <w:r>
        <w:rPr>
          <w:rFonts w:hint="eastAsia" w:hAnsi="宋体" w:cs="宋体"/>
          <w:b/>
          <w:bCs/>
          <w:color w:val="auto"/>
          <w:highlight w:val="none"/>
        </w:rPr>
        <w:t>三、质量标准</w:t>
      </w:r>
      <w:bookmarkEnd w:id="675"/>
    </w:p>
    <w:p w14:paraId="2E6055C8">
      <w:pPr>
        <w:spacing w:line="360" w:lineRule="auto"/>
        <w:ind w:firstLine="459"/>
        <w:rPr>
          <w:rFonts w:hAnsi="宋体"/>
          <w:color w:val="auto"/>
          <w:highlight w:val="none"/>
        </w:rPr>
      </w:pPr>
      <w:r>
        <w:rPr>
          <w:rFonts w:hint="eastAsia" w:hAnsi="宋体" w:eastAsia="宋体" w:cs="宋体"/>
          <w:color w:val="auto"/>
          <w:highlight w:val="none"/>
        </w:rPr>
        <w:t>工程质量</w:t>
      </w:r>
      <w:r>
        <w:rPr>
          <w:rFonts w:hint="eastAsia" w:hAnsi="宋体" w:eastAsia="宋体" w:cs="宋体"/>
          <w:color w:val="auto"/>
          <w:highlight w:val="none"/>
          <w:u w:val="single"/>
        </w:rPr>
        <w:t>符合</w:t>
      </w:r>
      <w:r>
        <w:rPr>
          <w:rFonts w:hint="eastAsia" w:hAnsi="宋体" w:eastAsia="宋体" w:cs="宋体"/>
          <w:color w:val="auto"/>
          <w:highlight w:val="none"/>
          <w:u w:val="single"/>
          <w:lang w:val="en-US" w:eastAsia="zh-CN"/>
        </w:rPr>
        <w:t>国家及行业的验收规范与标准，工程质量合格及以上</w:t>
      </w:r>
      <w:r>
        <w:rPr>
          <w:rFonts w:hint="eastAsia" w:hAnsi="宋体" w:eastAsia="宋体" w:cs="宋体"/>
          <w:color w:val="auto"/>
          <w:highlight w:val="none"/>
          <w:u w:val="single"/>
        </w:rPr>
        <w:t xml:space="preserve">   </w:t>
      </w:r>
      <w:r>
        <w:rPr>
          <w:rFonts w:hint="eastAsia" w:hAnsi="宋体" w:cs="宋体"/>
          <w:color w:val="auto"/>
          <w:highlight w:val="none"/>
        </w:rPr>
        <w:t>标准。</w:t>
      </w:r>
    </w:p>
    <w:p w14:paraId="4B1B91D7">
      <w:pPr>
        <w:spacing w:line="360" w:lineRule="auto"/>
        <w:ind w:firstLine="459"/>
        <w:outlineLvl w:val="0"/>
        <w:rPr>
          <w:rFonts w:hAnsi="宋体"/>
          <w:b/>
          <w:bCs/>
          <w:color w:val="auto"/>
          <w:highlight w:val="none"/>
        </w:rPr>
      </w:pPr>
      <w:bookmarkStart w:id="676" w:name="_Toc351203484"/>
      <w:r>
        <w:rPr>
          <w:rFonts w:hint="eastAsia" w:hAnsi="宋体" w:cs="宋体"/>
          <w:b/>
          <w:bCs/>
          <w:color w:val="auto"/>
          <w:highlight w:val="none"/>
        </w:rPr>
        <w:t>四、签约合同价与合同价格形式</w:t>
      </w:r>
      <w:bookmarkEnd w:id="676"/>
    </w:p>
    <w:p w14:paraId="3D808653">
      <w:pPr>
        <w:spacing w:line="360" w:lineRule="auto"/>
        <w:ind w:firstLine="459"/>
        <w:rPr>
          <w:color w:val="auto"/>
          <w:highlight w:val="none"/>
        </w:rPr>
      </w:pPr>
      <w:r>
        <w:rPr>
          <w:color w:val="auto"/>
          <w:highlight w:val="none"/>
        </w:rPr>
        <w:t xml:space="preserve">1. </w:t>
      </w:r>
      <w:r>
        <w:rPr>
          <w:rFonts w:hint="eastAsia" w:hAnsi="宋体" w:cs="宋体"/>
          <w:color w:val="auto"/>
          <w:highlight w:val="none"/>
        </w:rPr>
        <w:t>签约合同价</w:t>
      </w:r>
      <w:r>
        <w:rPr>
          <w:rFonts w:hint="eastAsia" w:hAnsi="宋体" w:cs="宋体"/>
          <w:color w:val="auto"/>
          <w:highlight w:val="none"/>
          <w:lang w:eastAsia="zh-CN"/>
        </w:rPr>
        <w:t>（</w:t>
      </w:r>
      <w:r>
        <w:rPr>
          <w:rFonts w:hint="eastAsia" w:hAnsi="宋体" w:cs="宋体"/>
          <w:color w:val="auto"/>
          <w:highlight w:val="none"/>
          <w:lang w:val="en-US" w:eastAsia="zh-CN"/>
        </w:rPr>
        <w:t>含税）</w:t>
      </w:r>
      <w:r>
        <w:rPr>
          <w:rFonts w:hint="eastAsia" w:hAnsi="宋体" w:cs="宋体"/>
          <w:color w:val="auto"/>
          <w:highlight w:val="none"/>
        </w:rPr>
        <w:t>为：</w:t>
      </w:r>
    </w:p>
    <w:p w14:paraId="70FFE3D3">
      <w:pPr>
        <w:spacing w:line="360" w:lineRule="auto"/>
        <w:ind w:firstLine="525" w:firstLineChars="250"/>
        <w:rPr>
          <w:rFonts w:hAnsi="宋体"/>
          <w:color w:val="auto"/>
          <w:highlight w:val="none"/>
        </w:rPr>
      </w:pPr>
      <w:r>
        <w:rPr>
          <w:rFonts w:hint="eastAsia" w:hAnsi="宋体" w:cs="宋体"/>
          <w:color w:val="auto"/>
          <w:highlight w:val="none"/>
          <w:lang w:val="en-US" w:eastAsia="zh-CN"/>
        </w:rPr>
        <w:t>（1）</w:t>
      </w:r>
      <w:r>
        <w:rPr>
          <w:rFonts w:hint="eastAsia" w:hAnsi="宋体" w:cs="宋体"/>
          <w:color w:val="auto"/>
          <w:highlight w:val="none"/>
        </w:rPr>
        <w:t>建筑安装工程费（含税）：人民币（大写）</w:t>
      </w:r>
      <w:r>
        <w:rPr>
          <w:color w:val="auto"/>
          <w:highlight w:val="none"/>
          <w:u w:val="singl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；增值税税率</w:t>
      </w:r>
      <w:r>
        <w:rPr>
          <w:rFonts w:hint="eastAsia" w:hAnsi="宋体" w:cs="宋体"/>
          <w:color w:val="auto"/>
          <w:highlight w:val="none"/>
          <w:u w:val="single"/>
        </w:rPr>
        <w:t xml:space="preserve">    </w:t>
      </w:r>
      <w:r>
        <w:rPr>
          <w:rFonts w:hint="eastAsia" w:hAnsi="宋体" w:cs="宋体"/>
          <w:color w:val="auto"/>
          <w:highlight w:val="none"/>
        </w:rPr>
        <w:t>%。</w:t>
      </w:r>
    </w:p>
    <w:p w14:paraId="15AD7642">
      <w:pPr>
        <w:spacing w:line="360" w:lineRule="auto"/>
        <w:ind w:firstLine="525" w:firstLineChars="250"/>
        <w:rPr>
          <w:rFonts w:hAnsi="宋体"/>
          <w:color w:val="auto"/>
          <w:highlight w:val="none"/>
        </w:rPr>
      </w:pPr>
      <w:r>
        <w:rPr>
          <w:rFonts w:hint="eastAsia" w:hAnsi="宋体" w:cs="宋体"/>
          <w:color w:val="auto"/>
          <w:highlight w:val="none"/>
        </w:rPr>
        <w:t>其中：</w:t>
      </w:r>
    </w:p>
    <w:p w14:paraId="06E1E645">
      <w:pPr>
        <w:spacing w:line="360" w:lineRule="auto"/>
        <w:ind w:firstLine="420" w:firstLineChars="200"/>
        <w:rPr>
          <w:color w:val="auto"/>
          <w:highlight w:val="none"/>
        </w:rPr>
      </w:pPr>
      <w:r>
        <w:rPr>
          <w:rFonts w:hint="default" w:ascii="Calibri" w:hAnsi="Calibri" w:cs="Calibri"/>
          <w:color w:val="auto"/>
          <w:highlight w:val="none"/>
        </w:rPr>
        <w:t>①</w:t>
      </w:r>
      <w:r>
        <w:rPr>
          <w:rFonts w:hint="eastAsia" w:hAnsi="宋体" w:cs="宋体"/>
          <w:color w:val="auto"/>
          <w:highlight w:val="none"/>
        </w:rPr>
        <w:t>安全</w:t>
      </w:r>
      <w:r>
        <w:rPr>
          <w:rFonts w:hint="eastAsia" w:hAnsi="宋体" w:cs="宋体"/>
          <w:color w:val="auto"/>
          <w:highlight w:val="none"/>
          <w:lang w:val="en-US" w:eastAsia="zh-CN"/>
        </w:rPr>
        <w:t>生产</w:t>
      </w:r>
      <w:r>
        <w:rPr>
          <w:rFonts w:hint="eastAsia" w:hAnsi="宋体" w:cs="宋体"/>
          <w:color w:val="auto"/>
          <w:highlight w:val="none"/>
        </w:rPr>
        <w:t>费</w:t>
      </w:r>
      <w:r>
        <w:rPr>
          <w:rFonts w:hint="eastAsia" w:hAnsi="宋体" w:cs="宋体"/>
          <w:color w:val="auto"/>
          <w:highlight w:val="none"/>
          <w:lang w:eastAsia="zh-CN"/>
        </w:rPr>
        <w:t>（含税）</w:t>
      </w:r>
      <w:r>
        <w:rPr>
          <w:rFonts w:hint="eastAsia" w:hAnsi="宋体" w:cs="宋体"/>
          <w:color w:val="auto"/>
          <w:highlight w:val="none"/>
        </w:rPr>
        <w:t>：</w:t>
      </w:r>
    </w:p>
    <w:p w14:paraId="4CA73CA4">
      <w:pPr>
        <w:spacing w:line="360" w:lineRule="auto"/>
        <w:ind w:left="420" w:leftChars="200" w:firstLine="525" w:firstLineChars="250"/>
        <w:rPr>
          <w:rFonts w:hAnsi="宋体"/>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5B6578D5">
      <w:pPr>
        <w:spacing w:line="360" w:lineRule="auto"/>
        <w:ind w:firstLine="420" w:firstLineChars="200"/>
        <w:rPr>
          <w:color w:val="auto"/>
          <w:highlight w:val="none"/>
        </w:rPr>
      </w:pPr>
      <w:r>
        <w:rPr>
          <w:rFonts w:hint="default" w:ascii="Calibri" w:hAnsi="Calibri" w:cs="Calibri"/>
          <w:color w:val="auto"/>
          <w:highlight w:val="none"/>
        </w:rPr>
        <w:t>②</w:t>
      </w:r>
      <w:r>
        <w:rPr>
          <w:rFonts w:hint="eastAsia" w:hAnsi="宋体" w:cs="宋体"/>
          <w:color w:val="auto"/>
          <w:highlight w:val="none"/>
        </w:rPr>
        <w:t>材料暂估价金额</w:t>
      </w:r>
      <w:r>
        <w:rPr>
          <w:rFonts w:hint="eastAsia" w:hAnsi="宋体" w:cs="宋体"/>
          <w:color w:val="auto"/>
          <w:highlight w:val="none"/>
          <w:lang w:eastAsia="zh-CN"/>
        </w:rPr>
        <w:t>（含税）</w:t>
      </w:r>
      <w:r>
        <w:rPr>
          <w:rFonts w:hint="eastAsia" w:hAnsi="宋体" w:cs="宋体"/>
          <w:color w:val="auto"/>
          <w:highlight w:val="none"/>
        </w:rPr>
        <w:t>：</w:t>
      </w:r>
    </w:p>
    <w:p w14:paraId="5FA2D374">
      <w:pPr>
        <w:spacing w:line="360" w:lineRule="auto"/>
        <w:ind w:firstLine="945" w:firstLineChars="450"/>
        <w:rPr>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4684BE3C">
      <w:pPr>
        <w:spacing w:line="360" w:lineRule="auto"/>
        <w:ind w:firstLine="420" w:firstLineChars="200"/>
        <w:rPr>
          <w:color w:val="auto"/>
          <w:highlight w:val="none"/>
        </w:rPr>
      </w:pPr>
      <w:r>
        <w:rPr>
          <w:rFonts w:hint="default" w:ascii="Calibri" w:hAnsi="Calibri" w:cs="Calibri"/>
          <w:color w:val="auto"/>
          <w:highlight w:val="none"/>
        </w:rPr>
        <w:t>③</w:t>
      </w:r>
      <w:r>
        <w:rPr>
          <w:rFonts w:hint="eastAsia" w:hAnsi="宋体" w:cs="宋体"/>
          <w:color w:val="auto"/>
          <w:highlight w:val="none"/>
        </w:rPr>
        <w:t>专业工程暂估价金额</w:t>
      </w:r>
      <w:r>
        <w:rPr>
          <w:rFonts w:hint="eastAsia" w:hAnsi="宋体" w:cs="宋体"/>
          <w:color w:val="auto"/>
          <w:highlight w:val="none"/>
          <w:lang w:eastAsia="zh-CN"/>
        </w:rPr>
        <w:t>（含税）</w:t>
      </w:r>
      <w:r>
        <w:rPr>
          <w:rFonts w:hint="eastAsia" w:hAnsi="宋体" w:cs="宋体"/>
          <w:color w:val="auto"/>
          <w:highlight w:val="none"/>
        </w:rPr>
        <w:t>：</w:t>
      </w:r>
    </w:p>
    <w:p w14:paraId="10608879">
      <w:pPr>
        <w:spacing w:line="360" w:lineRule="auto"/>
        <w:ind w:firstLine="945" w:firstLineChars="450"/>
        <w:rPr>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38C02964">
      <w:pPr>
        <w:spacing w:line="360" w:lineRule="auto"/>
        <w:ind w:firstLine="420" w:firstLineChars="200"/>
        <w:rPr>
          <w:color w:val="auto"/>
          <w:highlight w:val="none"/>
        </w:rPr>
      </w:pPr>
      <w:r>
        <w:rPr>
          <w:rFonts w:hint="default" w:ascii="Calibri" w:hAnsi="Calibri" w:eastAsia="宋体" w:cs="Calibri"/>
          <w:color w:val="auto"/>
          <w:highlight w:val="none"/>
        </w:rPr>
        <w:t>④</w:t>
      </w:r>
      <w:r>
        <w:rPr>
          <w:rFonts w:hint="eastAsia" w:hAnsi="宋体" w:cs="宋体"/>
          <w:color w:val="auto"/>
          <w:highlight w:val="none"/>
        </w:rPr>
        <w:t>暂列金额</w:t>
      </w:r>
      <w:r>
        <w:rPr>
          <w:rFonts w:hint="eastAsia" w:hAnsi="宋体" w:cs="宋体"/>
          <w:color w:val="auto"/>
          <w:highlight w:val="none"/>
          <w:lang w:eastAsia="zh-CN"/>
        </w:rPr>
        <w:t>（含税）</w:t>
      </w:r>
      <w:r>
        <w:rPr>
          <w:rFonts w:hint="eastAsia" w:hAnsi="宋体" w:cs="宋体"/>
          <w:color w:val="auto"/>
          <w:highlight w:val="none"/>
        </w:rPr>
        <w:t>：</w:t>
      </w:r>
    </w:p>
    <w:p w14:paraId="134A649A">
      <w:pPr>
        <w:spacing w:line="360" w:lineRule="auto"/>
        <w:ind w:firstLine="945" w:firstLineChars="450"/>
        <w:rPr>
          <w:rFonts w:hint="eastAsia" w:hAnsi="宋体" w:eastAsia="宋体" w:cs="宋体"/>
          <w:color w:val="auto"/>
          <w:highlight w:val="none"/>
          <w:lang w:eastAsia="zh-CN"/>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lang w:eastAsia="zh-CN"/>
        </w:rPr>
        <w:t>；</w:t>
      </w:r>
    </w:p>
    <w:p w14:paraId="77C486CC">
      <w:pPr>
        <w:pStyle w:val="40"/>
        <w:numPr>
          <w:ilvl w:val="0"/>
          <w:numId w:val="0"/>
        </w:numPr>
        <w:ind w:firstLineChars="200"/>
        <w:rPr>
          <w:rFonts w:hint="eastAsia" w:hAnsi="宋体" w:cs="宋体"/>
          <w:color w:val="auto"/>
          <w:highlight w:val="none"/>
          <w:lang w:eastAsia="zh-CN"/>
        </w:rPr>
      </w:pPr>
      <w:r>
        <w:rPr>
          <w:rFonts w:hint="eastAsia" w:hAnsi="宋体" w:cs="宋体"/>
          <w:color w:val="auto"/>
          <w:kern w:val="2"/>
          <w:sz w:val="21"/>
          <w:szCs w:val="24"/>
          <w:highlight w:val="none"/>
          <w:lang w:val="en-US" w:eastAsia="zh-CN" w:bidi="ar-SA"/>
        </w:rPr>
        <w:t>（2</w:t>
      </w:r>
      <w:r>
        <w:rPr>
          <w:rFonts w:hint="eastAsia" w:ascii="Times New Roman" w:hAnsi="宋体" w:eastAsia="宋体" w:cs="宋体"/>
          <w:color w:val="auto"/>
          <w:kern w:val="2"/>
          <w:sz w:val="21"/>
          <w:szCs w:val="24"/>
          <w:highlight w:val="none"/>
          <w:lang w:val="en-US" w:eastAsia="zh-CN" w:bidi="ar-SA"/>
        </w:rPr>
        <w:t>）</w:t>
      </w:r>
      <w:r>
        <w:rPr>
          <w:rFonts w:hint="eastAsia" w:hAnsi="宋体" w:cs="宋体"/>
          <w:color w:val="auto"/>
          <w:highlight w:val="none"/>
          <w:lang w:eastAsia="zh-CN"/>
        </w:rPr>
        <w:t>设备购置费（含税）：</w:t>
      </w:r>
    </w:p>
    <w:p w14:paraId="0C0A1DAC">
      <w:pPr>
        <w:pStyle w:val="40"/>
        <w:numPr>
          <w:ilvl w:val="0"/>
          <w:numId w:val="0"/>
        </w:numPr>
        <w:ind w:leftChars="230" w:firstLineChars="200"/>
        <w:rPr>
          <w:rFonts w:hint="eastAsia" w:hAnsi="宋体" w:cs="宋体"/>
          <w:color w:val="auto"/>
          <w:highlight w:val="none"/>
          <w:lang w:eastAsia="zh-CN"/>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cs="宋体"/>
          <w:color w:val="auto"/>
          <w:highlight w:val="none"/>
          <w:lang w:eastAsia="zh-CN"/>
        </w:rPr>
        <w:t>；</w:t>
      </w:r>
      <w:r>
        <w:rPr>
          <w:rFonts w:hint="eastAsia" w:hAnsi="宋体" w:cs="宋体"/>
          <w:color w:val="auto"/>
          <w:highlight w:val="none"/>
        </w:rPr>
        <w:t>增值税税率</w:t>
      </w:r>
      <w:r>
        <w:rPr>
          <w:rFonts w:hint="eastAsia" w:hAnsi="宋体" w:cs="宋体"/>
          <w:color w:val="auto"/>
          <w:highlight w:val="none"/>
          <w:u w:val="single"/>
        </w:rPr>
        <w:t xml:space="preserve">    </w:t>
      </w:r>
      <w:r>
        <w:rPr>
          <w:rFonts w:hint="eastAsia" w:hAnsi="宋体" w:cs="宋体"/>
          <w:color w:val="auto"/>
          <w:highlight w:val="none"/>
        </w:rPr>
        <w:t>%。</w:t>
      </w:r>
    </w:p>
    <w:p w14:paraId="7842D831">
      <w:pPr>
        <w:spacing w:line="360" w:lineRule="auto"/>
        <w:ind w:firstLine="420" w:firstLineChars="200"/>
        <w:rPr>
          <w:rFonts w:hint="eastAsia" w:hAnsi="宋体"/>
          <w:color w:val="auto"/>
          <w:highlight w:val="none"/>
        </w:rPr>
      </w:pPr>
      <w:r>
        <w:rPr>
          <w:color w:val="auto"/>
          <w:highlight w:val="none"/>
        </w:rPr>
        <w:t xml:space="preserve">2. </w:t>
      </w:r>
      <w:r>
        <w:rPr>
          <w:rFonts w:hint="eastAsia" w:hAnsi="宋体" w:cs="宋体"/>
          <w:color w:val="auto"/>
          <w:highlight w:val="none"/>
        </w:rPr>
        <w:t>合同价格形式：</w:t>
      </w:r>
      <w:r>
        <w:rPr>
          <w:color w:val="auto"/>
          <w:highlight w:val="none"/>
          <w:u w:val="single"/>
        </w:rPr>
        <w:t xml:space="preserve">                  </w:t>
      </w:r>
      <w:r>
        <w:rPr>
          <w:rFonts w:hint="eastAsia" w:hAnsi="宋体" w:cs="宋体"/>
          <w:color w:val="auto"/>
          <w:highlight w:val="none"/>
        </w:rPr>
        <w:t>。</w:t>
      </w:r>
    </w:p>
    <w:p w14:paraId="77347C83">
      <w:pPr>
        <w:spacing w:line="360" w:lineRule="auto"/>
        <w:ind w:firstLine="422" w:firstLineChars="200"/>
        <w:outlineLvl w:val="0"/>
        <w:rPr>
          <w:b/>
          <w:bCs/>
          <w:color w:val="auto"/>
          <w:highlight w:val="none"/>
        </w:rPr>
      </w:pPr>
      <w:bookmarkStart w:id="677" w:name="_Toc351203485"/>
      <w:r>
        <w:rPr>
          <w:rFonts w:hint="eastAsia" w:hAnsi="宋体" w:cs="宋体"/>
          <w:b/>
          <w:bCs/>
          <w:color w:val="auto"/>
          <w:highlight w:val="none"/>
        </w:rPr>
        <w:t>五、</w:t>
      </w:r>
      <w:bookmarkEnd w:id="677"/>
      <w:r>
        <w:rPr>
          <w:rFonts w:hint="eastAsia" w:hAnsi="宋体" w:cs="宋体"/>
          <w:b/>
          <w:bCs/>
          <w:color w:val="auto"/>
          <w:highlight w:val="none"/>
        </w:rPr>
        <w:t>项目经理</w:t>
      </w:r>
    </w:p>
    <w:p w14:paraId="16540251">
      <w:pPr>
        <w:spacing w:line="360" w:lineRule="auto"/>
        <w:ind w:firstLine="420" w:firstLineChars="200"/>
        <w:rPr>
          <w:rFonts w:hAnsi="宋体"/>
          <w:color w:val="auto"/>
          <w:highlight w:val="none"/>
        </w:rPr>
      </w:pPr>
      <w:r>
        <w:rPr>
          <w:rFonts w:hint="eastAsia" w:hAnsi="宋体" w:cs="宋体"/>
          <w:color w:val="auto"/>
          <w:highlight w:val="none"/>
        </w:rPr>
        <w:t>承包人项目经理：</w:t>
      </w:r>
      <w:r>
        <w:rPr>
          <w:color w:val="auto"/>
          <w:highlight w:val="none"/>
          <w:u w:val="single"/>
        </w:rPr>
        <w:t xml:space="preserve">                     </w:t>
      </w:r>
      <w:r>
        <w:rPr>
          <w:rFonts w:hint="eastAsia" w:hAnsi="宋体" w:cs="宋体"/>
          <w:color w:val="auto"/>
          <w:highlight w:val="none"/>
        </w:rPr>
        <w:t>。</w:t>
      </w:r>
    </w:p>
    <w:p w14:paraId="00AC3234">
      <w:pPr>
        <w:spacing w:line="360" w:lineRule="auto"/>
        <w:ind w:firstLine="422" w:firstLineChars="200"/>
        <w:outlineLvl w:val="0"/>
        <w:rPr>
          <w:b/>
          <w:bCs/>
          <w:color w:val="auto"/>
          <w:highlight w:val="none"/>
        </w:rPr>
      </w:pPr>
      <w:bookmarkStart w:id="678" w:name="_Toc351203486"/>
      <w:r>
        <w:rPr>
          <w:rFonts w:hint="eastAsia" w:hAnsi="宋体" w:cs="宋体"/>
          <w:b/>
          <w:bCs/>
          <w:color w:val="auto"/>
          <w:highlight w:val="none"/>
        </w:rPr>
        <w:t>六、合同文件构成</w:t>
      </w:r>
      <w:bookmarkEnd w:id="678"/>
    </w:p>
    <w:p w14:paraId="66C2351F">
      <w:pPr>
        <w:spacing w:line="360" w:lineRule="auto"/>
        <w:ind w:firstLine="420" w:firstLineChars="200"/>
        <w:rPr>
          <w:color w:val="auto"/>
          <w:highlight w:val="none"/>
        </w:rPr>
      </w:pPr>
      <w:r>
        <w:rPr>
          <w:rFonts w:hint="eastAsia" w:hAnsi="宋体" w:cs="宋体"/>
          <w:color w:val="auto"/>
          <w:highlight w:val="none"/>
        </w:rPr>
        <w:t>本协议书与下列文件一起构成合同文件：</w:t>
      </w:r>
    </w:p>
    <w:p w14:paraId="415D2AA7">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）中标通知书（如有）；</w:t>
      </w:r>
    </w:p>
    <w:p w14:paraId="03D1A4CF">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）投标函及其附录（如有）；</w:t>
      </w:r>
      <w:r>
        <w:rPr>
          <w:color w:val="auto"/>
          <w:highlight w:val="none"/>
        </w:rPr>
        <w:t xml:space="preserve"> </w:t>
      </w:r>
    </w:p>
    <w:p w14:paraId="19FC06CA">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3</w:t>
      </w:r>
      <w:r>
        <w:rPr>
          <w:rFonts w:hint="eastAsia" w:hAnsi="宋体" w:cs="宋体"/>
          <w:color w:val="auto"/>
          <w:highlight w:val="none"/>
        </w:rPr>
        <w:t>）专用合同条款及其附件；</w:t>
      </w:r>
    </w:p>
    <w:p w14:paraId="2CEF5C33">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4</w:t>
      </w:r>
      <w:r>
        <w:rPr>
          <w:rFonts w:hint="eastAsia" w:hAnsi="宋体" w:cs="宋体"/>
          <w:color w:val="auto"/>
          <w:highlight w:val="none"/>
        </w:rPr>
        <w:t>）通用合同条款；</w:t>
      </w:r>
    </w:p>
    <w:p w14:paraId="12BA5507">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5</w:t>
      </w:r>
      <w:r>
        <w:rPr>
          <w:rFonts w:hint="eastAsia" w:hAnsi="宋体" w:cs="宋体"/>
          <w:color w:val="auto"/>
          <w:highlight w:val="none"/>
        </w:rPr>
        <w:t>）</w:t>
      </w:r>
      <w:r>
        <w:rPr>
          <w:rFonts w:hint="default" w:ascii="Times New Roman" w:hAnsi="Times New Roman" w:cs="Times New Roman"/>
          <w:color w:val="auto"/>
          <w:szCs w:val="21"/>
          <w:highlight w:val="none"/>
        </w:rPr>
        <w:t>标准、规范及有关技术文件</w:t>
      </w:r>
      <w:r>
        <w:rPr>
          <w:rFonts w:hint="eastAsia" w:hAnsi="宋体" w:cs="宋体"/>
          <w:color w:val="auto"/>
          <w:highlight w:val="none"/>
        </w:rPr>
        <w:t>；</w:t>
      </w:r>
    </w:p>
    <w:p w14:paraId="63894EA5">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6</w:t>
      </w:r>
      <w:r>
        <w:rPr>
          <w:rFonts w:hint="eastAsia" w:hAnsi="宋体" w:cs="宋体"/>
          <w:color w:val="auto"/>
          <w:highlight w:val="none"/>
        </w:rPr>
        <w:t>）已标价工程量清单；</w:t>
      </w:r>
    </w:p>
    <w:p w14:paraId="16490EF3">
      <w:pPr>
        <w:autoSpaceDE w:val="0"/>
        <w:autoSpaceDN w:val="0"/>
        <w:adjustRightInd w:val="0"/>
        <w:spacing w:line="360" w:lineRule="auto"/>
        <w:ind w:firstLine="420" w:firstLineChars="200"/>
        <w:jc w:val="left"/>
        <w:rPr>
          <w:rFonts w:hint="eastAsia" w:eastAsia="宋体"/>
          <w:color w:val="auto"/>
          <w:highlight w:val="none"/>
          <w:lang w:eastAsia="zh-CN"/>
        </w:rPr>
      </w:pPr>
      <w:r>
        <w:rPr>
          <w:rFonts w:hint="eastAsia" w:hAnsi="宋体" w:cs="宋体"/>
          <w:color w:val="auto"/>
          <w:highlight w:val="none"/>
        </w:rPr>
        <w:t>（</w:t>
      </w:r>
      <w:r>
        <w:rPr>
          <w:rFonts w:hint="eastAsia"/>
          <w:color w:val="auto"/>
          <w:highlight w:val="none"/>
          <w:lang w:val="en-US" w:eastAsia="zh-CN"/>
        </w:rPr>
        <w:t>7</w:t>
      </w:r>
      <w:r>
        <w:rPr>
          <w:rFonts w:hint="eastAsia" w:hAnsi="宋体" w:cs="宋体"/>
          <w:color w:val="auto"/>
          <w:highlight w:val="none"/>
        </w:rPr>
        <w:t>）</w:t>
      </w:r>
      <w:r>
        <w:rPr>
          <w:rFonts w:hint="default" w:ascii="Times New Roman" w:hAnsi="Times New Roman" w:cs="Times New Roman"/>
          <w:color w:val="auto"/>
          <w:szCs w:val="21"/>
          <w:highlight w:val="none"/>
        </w:rPr>
        <w:t>其他合同文件</w:t>
      </w:r>
      <w:r>
        <w:rPr>
          <w:rFonts w:hint="eastAsia" w:hAnsi="宋体" w:cs="宋体"/>
          <w:color w:val="auto"/>
          <w:highlight w:val="none"/>
          <w:lang w:eastAsia="zh-CN"/>
        </w:rPr>
        <w:t>；</w:t>
      </w:r>
    </w:p>
    <w:p w14:paraId="27A5E16C">
      <w:pPr>
        <w:autoSpaceDE w:val="0"/>
        <w:autoSpaceDN w:val="0"/>
        <w:adjustRightInd w:val="0"/>
        <w:spacing w:line="360" w:lineRule="auto"/>
        <w:ind w:firstLine="420" w:firstLineChars="200"/>
        <w:jc w:val="left"/>
        <w:rPr>
          <w:color w:val="auto"/>
          <w:highlight w:val="none"/>
        </w:rPr>
      </w:pPr>
    </w:p>
    <w:p w14:paraId="0ED1D0BB">
      <w:pPr>
        <w:autoSpaceDE w:val="0"/>
        <w:autoSpaceDN w:val="0"/>
        <w:adjustRightInd w:val="0"/>
        <w:spacing w:line="360" w:lineRule="auto"/>
        <w:ind w:firstLine="420" w:firstLineChars="200"/>
        <w:jc w:val="left"/>
        <w:rPr>
          <w:rFonts w:hAnsi="宋体"/>
          <w:color w:val="auto"/>
          <w:highlight w:val="none"/>
        </w:rPr>
      </w:pPr>
      <w:r>
        <w:rPr>
          <w:rFonts w:hint="eastAsia" w:hAnsi="宋体" w:cs="宋体"/>
          <w:color w:val="auto"/>
          <w:highlight w:val="none"/>
        </w:rPr>
        <w:t>上述各项合同文件包括合同当事人就该项合同文件所作出的补充和修改，属于同一类内容的文件，应以最新签署的为准（违反招标文件</w:t>
      </w:r>
      <w:r>
        <w:rPr>
          <w:rFonts w:hAnsi="宋体" w:cs="宋体"/>
          <w:color w:val="auto"/>
          <w:highlight w:val="none"/>
        </w:rPr>
        <w:t>实质性内容的约定除外</w:t>
      </w:r>
      <w:r>
        <w:rPr>
          <w:rFonts w:hint="eastAsia" w:hAnsi="宋体" w:cs="宋体"/>
          <w:color w:val="auto"/>
          <w:highlight w:val="none"/>
        </w:rPr>
        <w:t>）。专用合同条款及其附件须经合同当事人签字或盖章。</w:t>
      </w:r>
    </w:p>
    <w:p w14:paraId="79F1BA80">
      <w:pPr>
        <w:autoSpaceDE w:val="0"/>
        <w:autoSpaceDN w:val="0"/>
        <w:adjustRightInd w:val="0"/>
        <w:spacing w:line="360" w:lineRule="auto"/>
        <w:ind w:firstLine="422" w:firstLineChars="200"/>
        <w:jc w:val="left"/>
        <w:outlineLvl w:val="0"/>
        <w:rPr>
          <w:b/>
          <w:bCs/>
          <w:color w:val="auto"/>
          <w:highlight w:val="none"/>
        </w:rPr>
      </w:pPr>
      <w:bookmarkStart w:id="679" w:name="_Toc351203487"/>
      <w:r>
        <w:rPr>
          <w:rFonts w:hint="eastAsia" w:hAnsi="宋体" w:cs="宋体"/>
          <w:b/>
          <w:bCs/>
          <w:color w:val="auto"/>
          <w:highlight w:val="none"/>
        </w:rPr>
        <w:t>七、承诺</w:t>
      </w:r>
      <w:bookmarkEnd w:id="679"/>
    </w:p>
    <w:p w14:paraId="1D55534A">
      <w:pPr>
        <w:spacing w:line="360" w:lineRule="auto"/>
        <w:ind w:firstLine="420" w:firstLineChars="200"/>
        <w:rPr>
          <w:color w:val="auto"/>
          <w:highlight w:val="none"/>
        </w:rPr>
      </w:pPr>
      <w:r>
        <w:rPr>
          <w:color w:val="auto"/>
          <w:highlight w:val="none"/>
        </w:rPr>
        <w:t xml:space="preserve">1. </w:t>
      </w:r>
      <w:r>
        <w:rPr>
          <w:rFonts w:hint="eastAsia" w:hAnsi="宋体" w:cs="宋体"/>
          <w:color w:val="auto"/>
          <w:highlight w:val="none"/>
        </w:rPr>
        <w:t>发包人承诺按照法律规定履行项目审批手续、筹集工程建设资金并按照合同约定的期限和方式支付合同价款。</w:t>
      </w:r>
    </w:p>
    <w:p w14:paraId="76B25100">
      <w:pPr>
        <w:spacing w:line="360" w:lineRule="auto"/>
        <w:ind w:firstLine="420" w:firstLineChars="200"/>
        <w:rPr>
          <w:color w:val="auto"/>
          <w:highlight w:val="none"/>
        </w:rPr>
      </w:pPr>
      <w:r>
        <w:rPr>
          <w:color w:val="auto"/>
          <w:highlight w:val="none"/>
        </w:rPr>
        <w:t xml:space="preserve">2. </w:t>
      </w:r>
      <w:r>
        <w:rPr>
          <w:rFonts w:hint="eastAsia" w:hAnsi="宋体" w:cs="宋体"/>
          <w:color w:val="auto"/>
          <w:highlight w:val="none"/>
        </w:rPr>
        <w:t>承包人承诺按照法律规定及合同约定组织完成工程施工，确保工程质量和安全，不进行转包及违法分包，并在缺陷责任期及保修期内承担相应的工程维修责任。</w:t>
      </w:r>
    </w:p>
    <w:p w14:paraId="3BAB1487">
      <w:pPr>
        <w:spacing w:line="360" w:lineRule="auto"/>
        <w:ind w:firstLine="420" w:firstLineChars="200"/>
        <w:rPr>
          <w:rFonts w:hAnsi="宋体"/>
          <w:color w:val="auto"/>
          <w:highlight w:val="none"/>
        </w:rPr>
      </w:pPr>
      <w:r>
        <w:rPr>
          <w:color w:val="auto"/>
          <w:highlight w:val="none"/>
        </w:rPr>
        <w:t xml:space="preserve">3. </w:t>
      </w:r>
      <w:r>
        <w:rPr>
          <w:rFonts w:hint="eastAsia" w:hAnsi="宋体" w:cs="宋体"/>
          <w:color w:val="auto"/>
          <w:highlight w:val="none"/>
        </w:rPr>
        <w:t>发包人和承包人通过招投标形式签订合同的，双方理解并承诺不再就同一工程另行签订与合同实质性内容相背离的协议。</w:t>
      </w:r>
      <w:bookmarkStart w:id="680" w:name="_Toc351203488"/>
    </w:p>
    <w:p w14:paraId="07A01C3C">
      <w:pPr>
        <w:spacing w:line="360" w:lineRule="auto"/>
        <w:ind w:firstLine="422" w:firstLineChars="200"/>
        <w:outlineLvl w:val="0"/>
        <w:rPr>
          <w:b/>
          <w:bCs/>
          <w:color w:val="auto"/>
          <w:highlight w:val="none"/>
        </w:rPr>
      </w:pPr>
      <w:r>
        <w:rPr>
          <w:rFonts w:hint="eastAsia" w:hAnsi="宋体" w:cs="宋体"/>
          <w:b/>
          <w:bCs/>
          <w:color w:val="auto"/>
          <w:highlight w:val="none"/>
        </w:rPr>
        <w:t>八、词语含义</w:t>
      </w:r>
      <w:bookmarkEnd w:id="680"/>
    </w:p>
    <w:p w14:paraId="5BDE44DA">
      <w:pPr>
        <w:spacing w:line="360" w:lineRule="auto"/>
        <w:ind w:firstLine="420" w:firstLineChars="200"/>
        <w:rPr>
          <w:rFonts w:hAnsi="宋体"/>
          <w:color w:val="auto"/>
          <w:highlight w:val="none"/>
        </w:rPr>
      </w:pPr>
      <w:r>
        <w:rPr>
          <w:rFonts w:hint="eastAsia" w:hAnsi="宋体" w:cs="宋体"/>
          <w:color w:val="auto"/>
          <w:highlight w:val="none"/>
        </w:rPr>
        <w:t>本协议书中词语含义与第二部分通用合同条款中赋予的含义相同。</w:t>
      </w:r>
    </w:p>
    <w:p w14:paraId="02E13878">
      <w:pPr>
        <w:spacing w:line="360" w:lineRule="auto"/>
        <w:ind w:firstLine="422" w:firstLineChars="200"/>
        <w:outlineLvl w:val="0"/>
        <w:rPr>
          <w:b/>
          <w:bCs/>
          <w:color w:val="auto"/>
          <w:highlight w:val="none"/>
        </w:rPr>
      </w:pPr>
      <w:bookmarkStart w:id="681" w:name="_Toc351203489"/>
      <w:r>
        <w:rPr>
          <w:rFonts w:hint="eastAsia" w:hAnsi="宋体" w:cs="宋体"/>
          <w:b/>
          <w:bCs/>
          <w:color w:val="auto"/>
          <w:highlight w:val="none"/>
        </w:rPr>
        <w:t>九、签订时间</w:t>
      </w:r>
      <w:bookmarkEnd w:id="681"/>
    </w:p>
    <w:p w14:paraId="2C67DB07">
      <w:pPr>
        <w:spacing w:line="360" w:lineRule="auto"/>
        <w:ind w:firstLine="420" w:firstLineChars="200"/>
        <w:rPr>
          <w:rFonts w:hAnsi="宋体"/>
          <w:color w:val="auto"/>
          <w:highlight w:val="none"/>
        </w:rPr>
      </w:pPr>
      <w:r>
        <w:rPr>
          <w:rFonts w:hint="eastAsia" w:hAnsi="宋体" w:cs="宋体"/>
          <w:color w:val="auto"/>
          <w:highlight w:val="none"/>
        </w:rPr>
        <w:t>本合同于</w:t>
      </w:r>
      <w:r>
        <w:rPr>
          <w:color w:val="auto"/>
          <w:highlight w:val="none"/>
          <w:u w:val="single"/>
        </w:rPr>
        <w:t xml:space="preserve">         </w:t>
      </w:r>
      <w:r>
        <w:rPr>
          <w:rFonts w:hint="eastAsia" w:hAnsi="宋体" w:cs="宋体"/>
          <w:color w:val="auto"/>
          <w:highlight w:val="none"/>
        </w:rPr>
        <w:t>年</w:t>
      </w:r>
      <w:r>
        <w:rPr>
          <w:color w:val="auto"/>
          <w:highlight w:val="none"/>
          <w:u w:val="single"/>
        </w:rPr>
        <w:t xml:space="preserve">    </w:t>
      </w:r>
      <w:r>
        <w:rPr>
          <w:rFonts w:hint="eastAsia" w:hAnsi="宋体" w:cs="宋体"/>
          <w:color w:val="auto"/>
          <w:highlight w:val="none"/>
        </w:rPr>
        <w:t>月</w:t>
      </w:r>
      <w:r>
        <w:rPr>
          <w:color w:val="auto"/>
          <w:highlight w:val="none"/>
          <w:u w:val="single"/>
        </w:rPr>
        <w:t xml:space="preserve">    </w:t>
      </w:r>
      <w:r>
        <w:rPr>
          <w:rFonts w:hint="eastAsia" w:hAnsi="宋体" w:cs="宋体"/>
          <w:color w:val="auto"/>
          <w:highlight w:val="none"/>
        </w:rPr>
        <w:t>日签订。</w:t>
      </w:r>
    </w:p>
    <w:p w14:paraId="3F5A8D3B">
      <w:pPr>
        <w:spacing w:line="360" w:lineRule="auto"/>
        <w:ind w:firstLine="422" w:firstLineChars="200"/>
        <w:outlineLvl w:val="0"/>
        <w:rPr>
          <w:b/>
          <w:bCs/>
          <w:color w:val="auto"/>
          <w:highlight w:val="none"/>
        </w:rPr>
      </w:pPr>
      <w:bookmarkStart w:id="682" w:name="_Toc351203490"/>
      <w:r>
        <w:rPr>
          <w:rFonts w:hint="eastAsia" w:hAnsi="宋体" w:cs="宋体"/>
          <w:b/>
          <w:bCs/>
          <w:color w:val="auto"/>
          <w:highlight w:val="none"/>
        </w:rPr>
        <w:t>十、签订地点</w:t>
      </w:r>
      <w:bookmarkEnd w:id="682"/>
    </w:p>
    <w:p w14:paraId="49D1B725">
      <w:pPr>
        <w:spacing w:line="360" w:lineRule="auto"/>
        <w:ind w:firstLine="420" w:firstLineChars="200"/>
        <w:rPr>
          <w:rFonts w:hAnsi="宋体"/>
          <w:color w:val="auto"/>
          <w:highlight w:val="none"/>
        </w:rPr>
      </w:pPr>
      <w:r>
        <w:rPr>
          <w:rFonts w:hint="eastAsia" w:hAnsi="宋体" w:cs="宋体"/>
          <w:color w:val="auto"/>
          <w:highlight w:val="none"/>
        </w:rPr>
        <w:t>本合同在</w:t>
      </w:r>
      <w:r>
        <w:rPr>
          <w:color w:val="auto"/>
          <w:highlight w:val="none"/>
          <w:u w:val="single"/>
        </w:rPr>
        <w:t xml:space="preserve">        </w:t>
      </w:r>
      <w:r>
        <w:rPr>
          <w:rFonts w:hint="eastAsia" w:hAnsi="宋体" w:cs="宋体"/>
          <w:color w:val="auto"/>
          <w:u w:val="single"/>
        </w:rPr>
        <w:t>广西南宁</w:t>
      </w:r>
      <w:r>
        <w:rPr>
          <w:rFonts w:hint="eastAsia" w:hAnsi="宋体" w:cs="宋体"/>
          <w:color w:val="auto"/>
          <w:u w:val="single"/>
          <w:lang w:val="en-US" w:eastAsia="zh-CN"/>
        </w:rPr>
        <w:t>市</w:t>
      </w:r>
      <w:r>
        <w:rPr>
          <w:color w:val="auto"/>
          <w:highlight w:val="none"/>
          <w:u w:val="single"/>
        </w:rPr>
        <w:t xml:space="preserve">                            </w:t>
      </w:r>
      <w:r>
        <w:rPr>
          <w:rFonts w:hint="eastAsia" w:hAnsi="宋体" w:cs="宋体"/>
          <w:color w:val="auto"/>
          <w:highlight w:val="none"/>
        </w:rPr>
        <w:t>签订。</w:t>
      </w:r>
    </w:p>
    <w:p w14:paraId="4C736C1E">
      <w:pPr>
        <w:spacing w:line="360" w:lineRule="auto"/>
        <w:ind w:firstLine="422" w:firstLineChars="200"/>
        <w:outlineLvl w:val="0"/>
        <w:rPr>
          <w:b/>
          <w:bCs/>
          <w:color w:val="auto"/>
          <w:highlight w:val="none"/>
        </w:rPr>
      </w:pPr>
      <w:bookmarkStart w:id="683" w:name="_Toc351203491"/>
      <w:r>
        <w:rPr>
          <w:rFonts w:hint="eastAsia" w:hAnsi="宋体" w:cs="宋体"/>
          <w:b/>
          <w:bCs/>
          <w:color w:val="auto"/>
          <w:highlight w:val="none"/>
        </w:rPr>
        <w:t>十一、补充协议</w:t>
      </w:r>
      <w:bookmarkEnd w:id="683"/>
    </w:p>
    <w:p w14:paraId="3A6327E8">
      <w:pPr>
        <w:spacing w:line="360" w:lineRule="auto"/>
        <w:ind w:firstLine="420" w:firstLineChars="200"/>
        <w:rPr>
          <w:rFonts w:hAnsi="宋体"/>
          <w:color w:val="auto"/>
          <w:highlight w:val="none"/>
        </w:rPr>
      </w:pPr>
      <w:r>
        <w:rPr>
          <w:rFonts w:hint="eastAsia" w:hAnsi="宋体" w:cs="宋体"/>
          <w:color w:val="auto"/>
          <w:highlight w:val="none"/>
        </w:rPr>
        <w:t>合同未尽事宜，合同当事人另行签订补充协议，补充协议是合同的组成部分。</w:t>
      </w:r>
    </w:p>
    <w:p w14:paraId="0BD47003">
      <w:pPr>
        <w:spacing w:line="360" w:lineRule="auto"/>
        <w:ind w:firstLine="422" w:firstLineChars="200"/>
        <w:outlineLvl w:val="0"/>
        <w:rPr>
          <w:b/>
          <w:bCs/>
          <w:color w:val="auto"/>
          <w:highlight w:val="none"/>
        </w:rPr>
      </w:pPr>
      <w:bookmarkStart w:id="684" w:name="_Toc351203492"/>
      <w:r>
        <w:rPr>
          <w:rFonts w:hint="eastAsia" w:hAnsi="宋体" w:cs="宋体"/>
          <w:b/>
          <w:bCs/>
          <w:color w:val="auto"/>
          <w:highlight w:val="none"/>
        </w:rPr>
        <w:t>十二、合同生效</w:t>
      </w:r>
      <w:bookmarkEnd w:id="684"/>
    </w:p>
    <w:p w14:paraId="61910A1A">
      <w:pPr>
        <w:spacing w:line="360" w:lineRule="auto"/>
        <w:ind w:firstLine="420" w:firstLineChars="200"/>
        <w:rPr>
          <w:rFonts w:hAnsi="宋体"/>
          <w:color w:val="auto"/>
          <w:highlight w:val="none"/>
        </w:rPr>
      </w:pPr>
      <w:r>
        <w:rPr>
          <w:rFonts w:hint="eastAsia" w:hAnsi="宋体" w:cs="宋体"/>
          <w:color w:val="auto"/>
          <w:highlight w:val="none"/>
        </w:rPr>
        <w:t>本合同自</w:t>
      </w:r>
      <w:r>
        <w:rPr>
          <w:color w:val="auto"/>
          <w:highlight w:val="none"/>
          <w:u w:val="single"/>
        </w:rPr>
        <w:t xml:space="preserve"> </w:t>
      </w:r>
      <w:r>
        <w:rPr>
          <w:rFonts w:hint="eastAsia"/>
          <w:color w:val="auto"/>
          <w:highlight w:val="none"/>
          <w:u w:val="single"/>
        </w:rPr>
        <w:t>双方法定代表人或其授权代理人签字或盖章并加盖单位公章</w:t>
      </w:r>
      <w:r>
        <w:rPr>
          <w:color w:val="auto"/>
          <w:highlight w:val="none"/>
          <w:u w:val="single"/>
        </w:rPr>
        <w:t xml:space="preserve">                               </w:t>
      </w:r>
      <w:r>
        <w:rPr>
          <w:rFonts w:hint="eastAsia" w:hAnsi="宋体" w:cs="宋体"/>
          <w:color w:val="auto"/>
          <w:highlight w:val="none"/>
        </w:rPr>
        <w:t>生效。</w:t>
      </w:r>
    </w:p>
    <w:p w14:paraId="55C90CC0">
      <w:pPr>
        <w:spacing w:line="360" w:lineRule="auto"/>
        <w:ind w:firstLine="422" w:firstLineChars="200"/>
        <w:outlineLvl w:val="0"/>
        <w:rPr>
          <w:b/>
          <w:bCs/>
          <w:color w:val="auto"/>
          <w:highlight w:val="none"/>
        </w:rPr>
      </w:pPr>
      <w:bookmarkStart w:id="685" w:name="_Toc351203493"/>
      <w:r>
        <w:rPr>
          <w:rFonts w:hint="eastAsia" w:hAnsi="宋体" w:cs="宋体"/>
          <w:b/>
          <w:bCs/>
          <w:color w:val="auto"/>
          <w:highlight w:val="none"/>
        </w:rPr>
        <w:t>十三、合同份数</w:t>
      </w:r>
      <w:bookmarkEnd w:id="685"/>
    </w:p>
    <w:p w14:paraId="34460B20">
      <w:pPr>
        <w:spacing w:line="400" w:lineRule="exact"/>
        <w:ind w:firstLine="420" w:firstLineChars="200"/>
        <w:rPr>
          <w:color w:val="auto"/>
        </w:rPr>
      </w:pPr>
      <w:r>
        <w:rPr>
          <w:rFonts w:hint="eastAsia" w:hAnsi="宋体" w:cs="宋体"/>
          <w:color w:val="auto"/>
        </w:rPr>
        <w:t>本合同一式陆份，均具有同等法律效力，发包人执叁份，承包人执叁份。</w:t>
      </w:r>
    </w:p>
    <w:p w14:paraId="42542353">
      <w:pPr>
        <w:spacing w:line="360" w:lineRule="auto"/>
        <w:rPr>
          <w:color w:val="auto"/>
          <w:highlight w:val="none"/>
        </w:rPr>
      </w:pPr>
    </w:p>
    <w:p w14:paraId="2FEDB223">
      <w:pPr>
        <w:spacing w:line="360" w:lineRule="auto"/>
        <w:rPr>
          <w:color w:val="auto"/>
          <w:highlight w:val="none"/>
        </w:rPr>
      </w:pPr>
    </w:p>
    <w:p w14:paraId="7C0A2098">
      <w:pPr>
        <w:spacing w:line="360" w:lineRule="auto"/>
        <w:rPr>
          <w:color w:val="auto"/>
          <w:highlight w:val="none"/>
        </w:rPr>
      </w:pPr>
      <w:r>
        <w:rPr>
          <w:rFonts w:hint="eastAsia" w:hAnsi="宋体" w:cs="宋体"/>
          <w:color w:val="auto"/>
          <w:highlight w:val="none"/>
        </w:rPr>
        <w:t>发包人：</w:t>
      </w:r>
      <w:r>
        <w:rPr>
          <w:color w:val="auto"/>
          <w:highlight w:val="none"/>
        </w:rPr>
        <w:t xml:space="preserve">  </w:t>
      </w:r>
      <w:r>
        <w:rPr>
          <w:rFonts w:hint="eastAsia" w:cs="宋体"/>
          <w:color w:val="auto"/>
          <w:highlight w:val="none"/>
        </w:rPr>
        <w:t>（</w:t>
      </w:r>
      <w:r>
        <w:rPr>
          <w:rFonts w:hint="eastAsia" w:hAnsi="宋体" w:cs="宋体"/>
          <w:color w:val="auto"/>
          <w:highlight w:val="none"/>
        </w:rPr>
        <w:t>公章</w:t>
      </w:r>
      <w:r>
        <w:rPr>
          <w:rFonts w:hint="eastAsia" w:cs="宋体"/>
          <w:color w:val="auto"/>
          <w:highlight w:val="none"/>
        </w:rPr>
        <w:t>）</w:t>
      </w:r>
      <w:r>
        <w:rPr>
          <w:color w:val="auto"/>
          <w:highlight w:val="none"/>
        </w:rPr>
        <w:t xml:space="preserve">                              </w:t>
      </w:r>
      <w:r>
        <w:rPr>
          <w:rFonts w:hint="eastAsia" w:hAnsi="宋体" w:cs="宋体"/>
          <w:color w:val="auto"/>
          <w:highlight w:val="none"/>
        </w:rPr>
        <w:t>承包人：</w:t>
      </w:r>
      <w:r>
        <w:rPr>
          <w:color w:val="auto"/>
          <w:highlight w:val="none"/>
        </w:rPr>
        <w:t xml:space="preserve">  </w:t>
      </w:r>
      <w:r>
        <w:rPr>
          <w:rFonts w:hint="eastAsia" w:cs="宋体"/>
          <w:color w:val="auto"/>
          <w:highlight w:val="none"/>
        </w:rPr>
        <w:t>（</w:t>
      </w:r>
      <w:r>
        <w:rPr>
          <w:rFonts w:hint="eastAsia" w:hAnsi="宋体" w:cs="宋体"/>
          <w:color w:val="auto"/>
          <w:highlight w:val="none"/>
        </w:rPr>
        <w:t>公章</w:t>
      </w:r>
      <w:r>
        <w:rPr>
          <w:rFonts w:hint="eastAsia" w:cs="宋体"/>
          <w:color w:val="auto"/>
          <w:highlight w:val="none"/>
        </w:rPr>
        <w:t>）</w:t>
      </w:r>
    </w:p>
    <w:p w14:paraId="2D809B1A">
      <w:pPr>
        <w:spacing w:line="360" w:lineRule="auto"/>
        <w:rPr>
          <w:color w:val="auto"/>
          <w:highlight w:val="none"/>
          <w:u w:val="single"/>
        </w:rPr>
      </w:pPr>
      <w:r>
        <w:rPr>
          <w:color w:val="auto"/>
          <w:highlight w:val="none"/>
        </w:rPr>
        <w:t xml:space="preserve">                                 </w:t>
      </w:r>
    </w:p>
    <w:p w14:paraId="0CB48A35">
      <w:pPr>
        <w:spacing w:line="360" w:lineRule="auto"/>
        <w:rPr>
          <w:color w:val="auto"/>
          <w:highlight w:val="none"/>
        </w:rPr>
      </w:pPr>
      <w:r>
        <w:rPr>
          <w:rFonts w:hint="eastAsia" w:hAnsi="宋体" w:cs="宋体"/>
          <w:color w:val="auto"/>
          <w:highlight w:val="none"/>
        </w:rPr>
        <w:t>法定代表人或其委托代理人：</w:t>
      </w:r>
      <w:r>
        <w:rPr>
          <w:color w:val="auto"/>
          <w:highlight w:val="none"/>
        </w:rPr>
        <w:t xml:space="preserve">                    </w:t>
      </w:r>
      <w:r>
        <w:rPr>
          <w:rFonts w:hint="eastAsia" w:hAnsi="宋体" w:cs="宋体"/>
          <w:color w:val="auto"/>
          <w:highlight w:val="none"/>
        </w:rPr>
        <w:t>法定代表人或其委托代理人：</w:t>
      </w:r>
    </w:p>
    <w:p w14:paraId="3FD64131">
      <w:pPr>
        <w:spacing w:line="360" w:lineRule="auto"/>
        <w:rPr>
          <w:color w:val="auto"/>
          <w:highlight w:val="none"/>
        </w:rPr>
      </w:pPr>
      <w:r>
        <w:rPr>
          <w:rFonts w:hint="eastAsia" w:hAnsi="宋体" w:cs="宋体"/>
          <w:color w:val="auto"/>
          <w:highlight w:val="none"/>
        </w:rPr>
        <w:t>（签字）</w:t>
      </w:r>
      <w:r>
        <w:rPr>
          <w:color w:val="auto"/>
          <w:highlight w:val="none"/>
        </w:rPr>
        <w:t xml:space="preserve">                                     </w:t>
      </w:r>
      <w:r>
        <w:rPr>
          <w:rFonts w:hint="eastAsia" w:hAnsi="宋体" w:cs="宋体"/>
          <w:color w:val="auto"/>
          <w:highlight w:val="none"/>
        </w:rPr>
        <w:t>（签字）</w:t>
      </w:r>
    </w:p>
    <w:p w14:paraId="27494632">
      <w:pPr>
        <w:spacing w:line="360" w:lineRule="auto"/>
        <w:rPr>
          <w:color w:val="auto"/>
          <w:highlight w:val="none"/>
          <w:u w:val="single"/>
        </w:rPr>
      </w:pPr>
    </w:p>
    <w:p w14:paraId="500B3830">
      <w:pPr>
        <w:tabs>
          <w:tab w:val="left" w:pos="4410"/>
        </w:tabs>
        <w:spacing w:line="360" w:lineRule="auto"/>
        <w:rPr>
          <w:color w:val="auto"/>
          <w:highlight w:val="none"/>
        </w:rPr>
      </w:pPr>
      <w:r>
        <w:rPr>
          <w:rFonts w:hint="eastAsia" w:hAnsi="宋体" w:cs="宋体"/>
          <w:color w:val="auto"/>
          <w:highlight w:val="none"/>
        </w:rPr>
        <w:t>统一社会信用代码：</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cs="宋体"/>
          <w:color w:val="auto"/>
          <w:highlight w:val="none"/>
        </w:rPr>
        <w:t>统一</w:t>
      </w:r>
      <w:r>
        <w:rPr>
          <w:rFonts w:hint="eastAsia" w:hAnsi="宋体" w:cs="宋体"/>
          <w:color w:val="auto"/>
          <w:highlight w:val="none"/>
        </w:rPr>
        <w:t>社会信用代码：</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p>
    <w:p w14:paraId="71344D8A">
      <w:pPr>
        <w:spacing w:line="360" w:lineRule="auto"/>
        <w:rPr>
          <w:color w:val="auto"/>
          <w:highlight w:val="none"/>
        </w:rPr>
      </w:pPr>
      <w:r>
        <w:rPr>
          <w:rFonts w:hint="eastAsia" w:hAnsi="宋体" w:cs="宋体"/>
          <w:color w:val="auto"/>
          <w:highlight w:val="none"/>
        </w:rPr>
        <w:t>地</w:t>
      </w:r>
      <w:r>
        <w:rPr>
          <w:color w:val="auto"/>
          <w:highlight w:val="none"/>
        </w:rPr>
        <w:t xml:space="preserve">  </w:t>
      </w:r>
      <w:r>
        <w:rPr>
          <w:rFonts w:hint="eastAsia" w:hAnsi="宋体" w:cs="宋体"/>
          <w:color w:val="auto"/>
          <w:highlight w:val="none"/>
        </w:rPr>
        <w:t>址：</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地</w:t>
      </w:r>
      <w:r>
        <w:rPr>
          <w:color w:val="auto"/>
          <w:highlight w:val="none"/>
        </w:rPr>
        <w:t xml:space="preserve">  </w:t>
      </w:r>
      <w:r>
        <w:rPr>
          <w:rFonts w:hint="eastAsia" w:hAnsi="宋体" w:cs="宋体"/>
          <w:color w:val="auto"/>
          <w:highlight w:val="none"/>
        </w:rPr>
        <w:t>址：</w:t>
      </w:r>
      <w:r>
        <w:rPr>
          <w:color w:val="auto"/>
          <w:highlight w:val="none"/>
          <w:u w:val="single"/>
        </w:rPr>
        <w:t xml:space="preserve">        </w:t>
      </w:r>
      <w:r>
        <w:rPr>
          <w:rFonts w:hint="eastAsia"/>
          <w:color w:val="auto"/>
          <w:highlight w:val="none"/>
          <w:u w:val="single"/>
        </w:rPr>
        <w:t xml:space="preserve">                    </w:t>
      </w:r>
    </w:p>
    <w:p w14:paraId="1A06C743">
      <w:pPr>
        <w:spacing w:line="360" w:lineRule="auto"/>
        <w:rPr>
          <w:color w:val="auto"/>
          <w:highlight w:val="none"/>
        </w:rPr>
      </w:pPr>
      <w:r>
        <w:rPr>
          <w:rFonts w:hint="eastAsia" w:hAnsi="宋体" w:cs="宋体"/>
          <w:color w:val="auto"/>
          <w:highlight w:val="none"/>
        </w:rPr>
        <w:t>邮政编码：</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color w:val="auto"/>
          <w:highlight w:val="none"/>
        </w:rPr>
        <w:t xml:space="preserve"> </w:t>
      </w:r>
      <w:r>
        <w:rPr>
          <w:rFonts w:hint="eastAsia" w:hAnsi="宋体" w:cs="宋体"/>
          <w:color w:val="auto"/>
          <w:highlight w:val="none"/>
        </w:rPr>
        <w:t>邮政编码：</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5A8AC44C">
      <w:pPr>
        <w:spacing w:line="360" w:lineRule="auto"/>
        <w:rPr>
          <w:color w:val="auto"/>
          <w:highlight w:val="none"/>
        </w:rPr>
      </w:pPr>
      <w:r>
        <w:rPr>
          <w:rFonts w:hint="eastAsia" w:hAnsi="宋体" w:cs="宋体"/>
          <w:color w:val="auto"/>
          <w:highlight w:val="none"/>
        </w:rPr>
        <w:t>法定代表人：</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法定代表人：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0061DE37">
      <w:pPr>
        <w:spacing w:line="360" w:lineRule="auto"/>
        <w:rPr>
          <w:color w:val="auto"/>
          <w:highlight w:val="none"/>
        </w:rPr>
      </w:pPr>
      <w:r>
        <w:rPr>
          <w:rFonts w:hint="eastAsia" w:hAnsi="宋体" w:cs="宋体"/>
          <w:color w:val="auto"/>
          <w:highlight w:val="none"/>
        </w:rPr>
        <w:t>委托代理人：</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委托代理人：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0DF8F166">
      <w:pPr>
        <w:spacing w:line="360" w:lineRule="auto"/>
        <w:rPr>
          <w:color w:val="auto"/>
          <w:highlight w:val="none"/>
        </w:rPr>
      </w:pPr>
      <w:r>
        <w:rPr>
          <w:rFonts w:hint="eastAsia" w:hAnsi="宋体" w:cs="宋体"/>
          <w:color w:val="auto"/>
          <w:highlight w:val="none"/>
        </w:rPr>
        <w:t>电</w:t>
      </w:r>
      <w:r>
        <w:rPr>
          <w:color w:val="auto"/>
          <w:highlight w:val="none"/>
        </w:rPr>
        <w:t xml:space="preserve">  </w:t>
      </w:r>
      <w:r>
        <w:rPr>
          <w:rFonts w:hint="eastAsia" w:hAnsi="宋体" w:cs="宋体"/>
          <w:color w:val="auto"/>
          <w:highlight w:val="none"/>
        </w:rPr>
        <w:t>话：</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hAnsi="宋体" w:cs="宋体"/>
          <w:color w:val="auto"/>
          <w:highlight w:val="none"/>
        </w:rPr>
        <w:t>电</w:t>
      </w:r>
      <w:r>
        <w:rPr>
          <w:color w:val="auto"/>
          <w:highlight w:val="none"/>
        </w:rPr>
        <w:t xml:space="preserve">  </w:t>
      </w:r>
      <w:r>
        <w:rPr>
          <w:rFonts w:hint="eastAsia" w:hAnsi="宋体" w:cs="宋体"/>
          <w:color w:val="auto"/>
          <w:highlight w:val="none"/>
        </w:rPr>
        <w:t>话：</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7C2462EF">
      <w:pPr>
        <w:spacing w:line="360" w:lineRule="auto"/>
        <w:rPr>
          <w:color w:val="auto"/>
          <w:highlight w:val="none"/>
        </w:rPr>
      </w:pPr>
      <w:r>
        <w:rPr>
          <w:rFonts w:hint="eastAsia" w:hAnsi="宋体" w:cs="宋体"/>
          <w:color w:val="auto"/>
          <w:highlight w:val="none"/>
        </w:rPr>
        <w:t>传</w:t>
      </w:r>
      <w:r>
        <w:rPr>
          <w:color w:val="auto"/>
          <w:highlight w:val="none"/>
        </w:rPr>
        <w:t xml:space="preserve">  </w:t>
      </w:r>
      <w:r>
        <w:rPr>
          <w:rFonts w:hint="eastAsia" w:hAnsi="宋体" w:cs="宋体"/>
          <w:color w:val="auto"/>
          <w:highlight w:val="none"/>
        </w:rPr>
        <w:t>真：</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传</w:t>
      </w:r>
      <w:r>
        <w:rPr>
          <w:color w:val="auto"/>
          <w:highlight w:val="none"/>
        </w:rPr>
        <w:t xml:space="preserve">  </w:t>
      </w:r>
      <w:r>
        <w:rPr>
          <w:rFonts w:hint="eastAsia" w:hAnsi="宋体" w:cs="宋体"/>
          <w:color w:val="auto"/>
          <w:highlight w:val="none"/>
        </w:rPr>
        <w:t>真：</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03B507C2">
      <w:pPr>
        <w:spacing w:line="360" w:lineRule="auto"/>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电子信箱：</w:t>
      </w:r>
      <w:r>
        <w:rPr>
          <w:color w:val="auto"/>
          <w:highlight w:val="none"/>
          <w:u w:val="single"/>
        </w:rPr>
        <w:t xml:space="preserve">   </w:t>
      </w:r>
      <w:r>
        <w:rPr>
          <w:rFonts w:hint="eastAsia"/>
          <w:color w:val="auto"/>
          <w:highlight w:val="none"/>
          <w:u w:val="single"/>
        </w:rPr>
        <w:t xml:space="preserve">                      </w:t>
      </w:r>
    </w:p>
    <w:p w14:paraId="4710DC2D">
      <w:pPr>
        <w:spacing w:line="360" w:lineRule="auto"/>
        <w:rPr>
          <w:color w:val="auto"/>
          <w:highlight w:val="none"/>
        </w:rPr>
      </w:pPr>
      <w:r>
        <w:rPr>
          <w:rFonts w:hint="eastAsia" w:hAnsi="宋体" w:cs="宋体"/>
          <w:color w:val="auto"/>
          <w:highlight w:val="none"/>
        </w:rPr>
        <w:t>开户银行：</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开户银行：</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6381BC50">
      <w:pPr>
        <w:rPr>
          <w:color w:val="auto"/>
          <w:highlight w:val="none"/>
          <w:u w:val="single"/>
        </w:rPr>
      </w:pPr>
      <w:r>
        <w:rPr>
          <w:rFonts w:hint="eastAsia" w:hAnsi="宋体" w:cs="宋体"/>
          <w:color w:val="auto"/>
          <w:highlight w:val="none"/>
        </w:rPr>
        <w:t>账</w:t>
      </w:r>
      <w:r>
        <w:rPr>
          <w:color w:val="auto"/>
          <w:highlight w:val="none"/>
        </w:rPr>
        <w:t xml:space="preserve">  </w:t>
      </w:r>
      <w:r>
        <w:rPr>
          <w:rFonts w:hint="eastAsia" w:hAnsi="宋体" w:cs="宋体"/>
          <w:color w:val="auto"/>
          <w:highlight w:val="none"/>
        </w:rPr>
        <w:t>号：</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账</w:t>
      </w:r>
      <w:r>
        <w:rPr>
          <w:color w:val="auto"/>
          <w:highlight w:val="none"/>
        </w:rPr>
        <w:t xml:space="preserve">  </w:t>
      </w:r>
      <w:r>
        <w:rPr>
          <w:rFonts w:hint="eastAsia" w:hAnsi="宋体" w:cs="宋体"/>
          <w:color w:val="auto"/>
          <w:highlight w:val="none"/>
        </w:rPr>
        <w:t>号：</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4247B3CC">
      <w:pPr>
        <w:widowControl/>
        <w:jc w:val="left"/>
        <w:rPr>
          <w:color w:val="auto"/>
          <w:highlight w:val="none"/>
          <w:u w:val="single"/>
        </w:rPr>
      </w:pPr>
      <w:r>
        <w:rPr>
          <w:color w:val="auto"/>
          <w:highlight w:val="none"/>
        </w:rPr>
        <w:br w:type="page"/>
      </w:r>
    </w:p>
    <w:p w14:paraId="5A7049E2">
      <w:pPr>
        <w:pStyle w:val="3"/>
        <w:jc w:val="center"/>
        <w:rPr>
          <w:color w:val="auto"/>
          <w:highlight w:val="none"/>
        </w:rPr>
      </w:pPr>
      <w:bookmarkStart w:id="686" w:name="_Toc86847323"/>
      <w:bookmarkStart w:id="687" w:name="_Toc407135192"/>
      <w:bookmarkStart w:id="688" w:name="_Toc78449778"/>
      <w:bookmarkStart w:id="689" w:name="_Toc7212"/>
      <w:bookmarkStart w:id="690" w:name="_Toc389065256"/>
      <w:bookmarkStart w:id="691" w:name="_Toc351203632"/>
      <w:bookmarkStart w:id="692" w:name="_Toc373478338"/>
      <w:bookmarkStart w:id="693" w:name="_Toc373227691"/>
      <w:r>
        <w:rPr>
          <w:rFonts w:hint="eastAsia" w:cs="黑体"/>
          <w:color w:val="auto"/>
          <w:highlight w:val="none"/>
        </w:rPr>
        <w:t>第二部分</w:t>
      </w:r>
      <w:r>
        <w:rPr>
          <w:color w:val="auto"/>
          <w:highlight w:val="none"/>
        </w:rPr>
        <w:t xml:space="preserve"> </w:t>
      </w:r>
      <w:r>
        <w:rPr>
          <w:rFonts w:hint="eastAsia" w:cs="黑体"/>
          <w:color w:val="auto"/>
          <w:highlight w:val="none"/>
        </w:rPr>
        <w:t>通用合同条款</w:t>
      </w:r>
      <w:bookmarkEnd w:id="686"/>
      <w:bookmarkEnd w:id="687"/>
      <w:bookmarkEnd w:id="688"/>
      <w:bookmarkEnd w:id="689"/>
      <w:bookmarkEnd w:id="690"/>
    </w:p>
    <w:p w14:paraId="297C5B78">
      <w:pPr>
        <w:spacing w:line="360" w:lineRule="auto"/>
        <w:ind w:firstLine="420" w:firstLineChars="200"/>
        <w:rPr>
          <w:rFonts w:hAnsi="宋体"/>
          <w:color w:val="auto"/>
          <w:kern w:val="0"/>
          <w:highlight w:val="none"/>
        </w:rPr>
      </w:pPr>
    </w:p>
    <w:p w14:paraId="531C8C23">
      <w:pPr>
        <w:spacing w:line="360" w:lineRule="auto"/>
        <w:ind w:firstLine="422" w:firstLineChars="200"/>
        <w:rPr>
          <w:rFonts w:hAnsi="宋体"/>
          <w:b/>
          <w:bCs/>
          <w:color w:val="auto"/>
          <w:kern w:val="0"/>
          <w:highlight w:val="none"/>
        </w:rPr>
      </w:pPr>
      <w:r>
        <w:rPr>
          <w:rFonts w:hint="eastAsia" w:hAnsi="宋体" w:cs="宋体"/>
          <w:b/>
          <w:bCs/>
          <w:color w:val="auto"/>
          <w:kern w:val="0"/>
          <w:highlight w:val="none"/>
        </w:rPr>
        <w:t>采用《建设工程施工合同（示范文本）》（</w:t>
      </w:r>
      <w:r>
        <w:rPr>
          <w:rFonts w:hAnsi="宋体"/>
          <w:b/>
          <w:bCs/>
          <w:color w:val="auto"/>
          <w:kern w:val="0"/>
          <w:highlight w:val="none"/>
        </w:rPr>
        <w:t>GF</w:t>
      </w:r>
      <w:r>
        <w:rPr>
          <w:rFonts w:hAnsi="宋体" w:cs="宋体"/>
          <w:b/>
          <w:bCs/>
          <w:color w:val="auto"/>
          <w:kern w:val="0"/>
          <w:highlight w:val="none"/>
        </w:rPr>
        <w:t>—</w:t>
      </w:r>
      <w:r>
        <w:rPr>
          <w:rFonts w:hAnsi="宋体"/>
          <w:b/>
          <w:bCs/>
          <w:color w:val="auto"/>
          <w:kern w:val="0"/>
          <w:highlight w:val="none"/>
        </w:rPr>
        <w:t>201</w:t>
      </w:r>
      <w:r>
        <w:rPr>
          <w:rFonts w:hint="eastAsia" w:hAnsi="宋体"/>
          <w:b/>
          <w:bCs/>
          <w:color w:val="auto"/>
          <w:kern w:val="0"/>
          <w:highlight w:val="none"/>
        </w:rPr>
        <w:t>7</w:t>
      </w:r>
      <w:r>
        <w:rPr>
          <w:rFonts w:hAnsi="宋体" w:cs="宋体"/>
          <w:b/>
          <w:bCs/>
          <w:color w:val="auto"/>
          <w:kern w:val="0"/>
          <w:highlight w:val="none"/>
        </w:rPr>
        <w:t>—</w:t>
      </w:r>
      <w:r>
        <w:rPr>
          <w:rFonts w:hAnsi="宋体"/>
          <w:b/>
          <w:bCs/>
          <w:color w:val="auto"/>
          <w:kern w:val="0"/>
          <w:highlight w:val="none"/>
        </w:rPr>
        <w:t>0201</w:t>
      </w:r>
      <w:r>
        <w:rPr>
          <w:rFonts w:hint="eastAsia" w:hAnsi="宋体" w:cs="宋体"/>
          <w:b/>
          <w:bCs/>
          <w:color w:val="auto"/>
          <w:kern w:val="0"/>
          <w:highlight w:val="none"/>
        </w:rPr>
        <w:t>）。</w:t>
      </w:r>
    </w:p>
    <w:p w14:paraId="56916EB7">
      <w:pPr>
        <w:pStyle w:val="3"/>
        <w:keepNext w:val="0"/>
        <w:keepLines w:val="0"/>
        <w:jc w:val="center"/>
        <w:rPr>
          <w:rFonts w:hAnsi="宋体"/>
          <w:color w:val="auto"/>
          <w:sz w:val="30"/>
          <w:szCs w:val="30"/>
          <w:highlight w:val="none"/>
        </w:rPr>
      </w:pPr>
      <w:bookmarkStart w:id="694" w:name="_Toc407135193"/>
      <w:bookmarkStart w:id="695" w:name="_Toc78449779"/>
      <w:bookmarkStart w:id="696" w:name="_Toc15440"/>
      <w:bookmarkStart w:id="697" w:name="_Toc704444909"/>
      <w:bookmarkStart w:id="698" w:name="_Toc389065257"/>
      <w:r>
        <w:rPr>
          <w:rFonts w:hint="eastAsia" w:hAnsi="宋体" w:cs="黑体"/>
          <w:color w:val="auto"/>
          <w:sz w:val="30"/>
          <w:szCs w:val="30"/>
          <w:highlight w:val="none"/>
        </w:rPr>
        <w:t>第三部分</w:t>
      </w:r>
      <w:r>
        <w:rPr>
          <w:color w:val="auto"/>
          <w:sz w:val="30"/>
          <w:szCs w:val="30"/>
          <w:highlight w:val="none"/>
        </w:rPr>
        <w:t xml:space="preserve"> </w:t>
      </w:r>
      <w:r>
        <w:rPr>
          <w:rFonts w:hint="eastAsia" w:hAnsi="宋体" w:cs="黑体"/>
          <w:color w:val="auto"/>
          <w:sz w:val="30"/>
          <w:szCs w:val="30"/>
          <w:highlight w:val="none"/>
        </w:rPr>
        <w:t>专用合同条款</w:t>
      </w:r>
      <w:bookmarkEnd w:id="691"/>
      <w:bookmarkEnd w:id="692"/>
      <w:bookmarkEnd w:id="693"/>
      <w:bookmarkEnd w:id="694"/>
      <w:bookmarkEnd w:id="695"/>
      <w:bookmarkEnd w:id="696"/>
      <w:bookmarkEnd w:id="697"/>
      <w:bookmarkEnd w:id="698"/>
    </w:p>
    <w:p w14:paraId="031B445D">
      <w:pPr>
        <w:spacing w:line="360" w:lineRule="auto"/>
        <w:jc w:val="center"/>
        <w:rPr>
          <w:rFonts w:hAnsi="宋体"/>
          <w:b/>
          <w:bCs/>
          <w:color w:val="auto"/>
          <w:kern w:val="0"/>
          <w:highlight w:val="none"/>
        </w:rPr>
      </w:pPr>
      <w:r>
        <w:rPr>
          <w:rFonts w:hint="eastAsia" w:hAnsi="宋体" w:cs="宋体"/>
          <w:b/>
          <w:bCs/>
          <w:color w:val="auto"/>
          <w:kern w:val="0"/>
          <w:highlight w:val="none"/>
        </w:rPr>
        <w:t>（注：专用合同条款每一条均应填写完整！）</w:t>
      </w:r>
    </w:p>
    <w:p w14:paraId="6B5B7A36">
      <w:pPr>
        <w:pStyle w:val="4"/>
        <w:rPr>
          <w:color w:val="auto"/>
          <w:highlight w:val="none"/>
        </w:rPr>
      </w:pPr>
      <w:bookmarkStart w:id="699" w:name="_Toc389065258"/>
      <w:bookmarkStart w:id="700" w:name="_Toc7869"/>
      <w:bookmarkStart w:id="701" w:name="_Toc1013968286"/>
      <w:bookmarkStart w:id="702" w:name="_Toc407135194"/>
      <w:bookmarkStart w:id="703" w:name="_Toc373227692"/>
      <w:bookmarkStart w:id="704" w:name="_Toc78449780"/>
      <w:bookmarkStart w:id="705" w:name="_Toc351203633"/>
      <w:bookmarkStart w:id="706" w:name="_Toc373478339"/>
      <w:r>
        <w:rPr>
          <w:color w:val="auto"/>
          <w:highlight w:val="none"/>
        </w:rPr>
        <w:t>1</w:t>
      </w:r>
      <w:bookmarkStart w:id="707" w:name="_Toc296890984"/>
      <w:bookmarkStart w:id="708" w:name="_Toc292559361"/>
      <w:bookmarkStart w:id="709" w:name="_Toc292559866"/>
      <w:bookmarkStart w:id="710" w:name="_Toc297048342"/>
      <w:bookmarkStart w:id="711" w:name="_Toc296347155"/>
      <w:bookmarkStart w:id="712" w:name="_Toc296891196"/>
      <w:bookmarkStart w:id="713" w:name="_Toc297120456"/>
      <w:bookmarkStart w:id="714" w:name="_Toc296944495"/>
      <w:bookmarkStart w:id="715" w:name="_Toc296503156"/>
      <w:bookmarkStart w:id="716" w:name="_Toc296346657"/>
      <w:r>
        <w:rPr>
          <w:color w:val="auto"/>
          <w:highlight w:val="none"/>
        </w:rPr>
        <w:t xml:space="preserve">. </w:t>
      </w:r>
      <w:r>
        <w:rPr>
          <w:rFonts w:hint="eastAsia" w:hAnsi="宋体" w:cs="黑体"/>
          <w:color w:val="auto"/>
          <w:highlight w:val="none"/>
        </w:rPr>
        <w:t>一般约定</w:t>
      </w:r>
      <w:bookmarkEnd w:id="699"/>
      <w:bookmarkEnd w:id="700"/>
      <w:bookmarkEnd w:id="701"/>
      <w:bookmarkEnd w:id="702"/>
      <w:bookmarkEnd w:id="703"/>
      <w:bookmarkEnd w:id="704"/>
      <w:bookmarkEnd w:id="705"/>
      <w:bookmarkEnd w:id="706"/>
    </w:p>
    <w:bookmarkEnd w:id="707"/>
    <w:bookmarkEnd w:id="708"/>
    <w:bookmarkEnd w:id="709"/>
    <w:bookmarkEnd w:id="710"/>
    <w:bookmarkEnd w:id="711"/>
    <w:bookmarkEnd w:id="712"/>
    <w:bookmarkEnd w:id="713"/>
    <w:bookmarkEnd w:id="714"/>
    <w:bookmarkEnd w:id="715"/>
    <w:bookmarkEnd w:id="716"/>
    <w:p w14:paraId="351F2BCD">
      <w:pPr>
        <w:pStyle w:val="5"/>
        <w:rPr>
          <w:color w:val="auto"/>
          <w:highlight w:val="none"/>
        </w:rPr>
      </w:pPr>
      <w:bookmarkStart w:id="717" w:name="_Toc31903"/>
      <w:bookmarkStart w:id="718" w:name="_Toc373478340"/>
      <w:bookmarkStart w:id="719" w:name="_Toc407135195"/>
      <w:bookmarkStart w:id="720" w:name="_Toc78449781"/>
      <w:bookmarkStart w:id="721" w:name="_Toc17652"/>
      <w:bookmarkStart w:id="722" w:name="_Toc373227693"/>
      <w:bookmarkStart w:id="723" w:name="_Toc389065259"/>
      <w:bookmarkStart w:id="724" w:name="_Toc1618220701"/>
      <w:r>
        <w:rPr>
          <w:color w:val="auto"/>
          <w:highlight w:val="none"/>
        </w:rPr>
        <w:t xml:space="preserve">1.1 </w:t>
      </w:r>
      <w:r>
        <w:rPr>
          <w:rFonts w:hint="eastAsia" w:hAnsi="宋体" w:cs="黑体"/>
          <w:color w:val="auto"/>
          <w:highlight w:val="none"/>
        </w:rPr>
        <w:t>词语定义</w:t>
      </w:r>
      <w:bookmarkEnd w:id="717"/>
      <w:bookmarkEnd w:id="718"/>
      <w:bookmarkEnd w:id="719"/>
      <w:bookmarkEnd w:id="720"/>
      <w:bookmarkEnd w:id="721"/>
      <w:bookmarkEnd w:id="722"/>
      <w:bookmarkEnd w:id="723"/>
      <w:bookmarkEnd w:id="724"/>
    </w:p>
    <w:p w14:paraId="19AD4038">
      <w:pPr>
        <w:spacing w:line="360" w:lineRule="auto"/>
        <w:ind w:firstLine="420" w:firstLineChars="200"/>
        <w:rPr>
          <w:color w:val="auto"/>
          <w:kern w:val="0"/>
          <w:highlight w:val="none"/>
        </w:rPr>
      </w:pPr>
      <w:r>
        <w:rPr>
          <w:color w:val="auto"/>
          <w:kern w:val="0"/>
          <w:highlight w:val="none"/>
        </w:rPr>
        <w:t xml:space="preserve">1.1.1 </w:t>
      </w:r>
      <w:r>
        <w:rPr>
          <w:rFonts w:hint="eastAsia" w:hAnsi="宋体" w:cs="宋体"/>
          <w:color w:val="auto"/>
          <w:kern w:val="0"/>
          <w:highlight w:val="none"/>
        </w:rPr>
        <w:t>合同</w:t>
      </w:r>
    </w:p>
    <w:p w14:paraId="556E189F">
      <w:pPr>
        <w:spacing w:line="360" w:lineRule="auto"/>
        <w:ind w:firstLine="420" w:firstLineChars="200"/>
        <w:rPr>
          <w:color w:val="auto"/>
          <w:kern w:val="0"/>
          <w:highlight w:val="none"/>
        </w:rPr>
      </w:pPr>
      <w:r>
        <w:rPr>
          <w:color w:val="auto"/>
          <w:kern w:val="0"/>
          <w:highlight w:val="none"/>
        </w:rPr>
        <w:t xml:space="preserve">1.1.1.10 </w:t>
      </w:r>
      <w:r>
        <w:rPr>
          <w:rFonts w:hint="eastAsia" w:hAnsi="宋体" w:cs="宋体"/>
          <w:color w:val="auto"/>
          <w:kern w:val="0"/>
          <w:highlight w:val="none"/>
        </w:rPr>
        <w:t>其他合同文件包括：</w:t>
      </w:r>
      <w:r>
        <w:rPr>
          <w:rFonts w:hint="eastAsia" w:hAnsi="宋体" w:cs="宋体"/>
          <w:color w:val="auto"/>
          <w:kern w:val="0"/>
          <w:highlight w:val="none"/>
          <w:u w:val="single"/>
        </w:rPr>
        <w:t>自治区建设行政主管部门颁布的建设工程全过程计价规范及多层级工程量清单计算规范，投标文件澄清或说明的文件和回复文件，</w:t>
      </w:r>
      <w:r>
        <w:rPr>
          <w:color w:val="auto"/>
          <w:highlight w:val="none"/>
          <w:u w:val="single"/>
        </w:rPr>
        <w:t xml:space="preserve">                      </w:t>
      </w:r>
      <w:r>
        <w:rPr>
          <w:rFonts w:hint="eastAsia" w:hAnsi="宋体" w:cs="宋体"/>
          <w:color w:val="auto"/>
          <w:highlight w:val="none"/>
        </w:rPr>
        <w:t>。</w:t>
      </w:r>
    </w:p>
    <w:p w14:paraId="3BA03214">
      <w:pPr>
        <w:spacing w:line="360" w:lineRule="auto"/>
        <w:ind w:firstLine="420" w:firstLineChars="200"/>
        <w:rPr>
          <w:color w:val="auto"/>
          <w:highlight w:val="none"/>
        </w:rPr>
      </w:pPr>
      <w:r>
        <w:rPr>
          <w:color w:val="auto"/>
          <w:highlight w:val="none"/>
        </w:rPr>
        <w:t xml:space="preserve">1.1.2 </w:t>
      </w:r>
      <w:r>
        <w:rPr>
          <w:rFonts w:hint="eastAsia" w:hAnsi="宋体" w:cs="宋体"/>
          <w:color w:val="auto"/>
          <w:highlight w:val="none"/>
        </w:rPr>
        <w:t>合同当事人及其他相关方</w:t>
      </w:r>
    </w:p>
    <w:p w14:paraId="633BA1D0">
      <w:pPr>
        <w:spacing w:line="360" w:lineRule="auto"/>
        <w:ind w:firstLine="420" w:firstLineChars="200"/>
        <w:outlineLvl w:val="0"/>
        <w:rPr>
          <w:color w:val="auto"/>
          <w:highlight w:val="none"/>
        </w:rPr>
      </w:pPr>
      <w:r>
        <w:rPr>
          <w:color w:val="auto"/>
          <w:highlight w:val="none"/>
        </w:rPr>
        <w:t xml:space="preserve">1.1.2.4 </w:t>
      </w:r>
      <w:r>
        <w:rPr>
          <w:rFonts w:hint="eastAsia" w:hAnsi="宋体" w:cs="宋体"/>
          <w:color w:val="auto"/>
          <w:highlight w:val="none"/>
        </w:rPr>
        <w:t>监理人：</w:t>
      </w:r>
    </w:p>
    <w:p w14:paraId="6A4424F5">
      <w:pPr>
        <w:spacing w:line="360" w:lineRule="auto"/>
        <w:ind w:firstLine="420" w:firstLineChars="200"/>
        <w:rPr>
          <w:color w:val="auto"/>
          <w:highlight w:val="none"/>
        </w:rPr>
      </w:pPr>
      <w:r>
        <w:rPr>
          <w:rFonts w:hint="eastAsia" w:hAnsi="宋体" w:cs="宋体"/>
          <w:color w:val="auto"/>
          <w:highlight w:val="none"/>
        </w:rPr>
        <w:t>名</w:t>
      </w:r>
      <w:r>
        <w:rPr>
          <w:color w:val="auto"/>
          <w:highlight w:val="none"/>
        </w:rPr>
        <w:t xml:space="preserve">    </w:t>
      </w:r>
      <w:r>
        <w:rPr>
          <w:rFonts w:hint="eastAsia" w:hAnsi="宋体" w:cs="宋体"/>
          <w:color w:val="auto"/>
          <w:highlight w:val="none"/>
        </w:rPr>
        <w:t>称：</w:t>
      </w:r>
      <w:r>
        <w:rPr>
          <w:color w:val="auto"/>
          <w:highlight w:val="none"/>
          <w:u w:val="single"/>
        </w:rPr>
        <w:t xml:space="preserve">                </w:t>
      </w:r>
      <w:r>
        <w:rPr>
          <w:rFonts w:hint="eastAsia" w:hAnsi="宋体" w:cs="宋体"/>
          <w:color w:val="auto"/>
          <w:highlight w:val="none"/>
        </w:rPr>
        <w:t>；</w:t>
      </w:r>
    </w:p>
    <w:p w14:paraId="33351612">
      <w:pPr>
        <w:spacing w:line="360" w:lineRule="auto"/>
        <w:ind w:firstLine="420" w:firstLineChars="200"/>
        <w:rPr>
          <w:color w:val="auto"/>
          <w:highlight w:val="none"/>
        </w:rPr>
      </w:pPr>
      <w:r>
        <w:rPr>
          <w:rFonts w:hint="eastAsia" w:hAnsi="宋体" w:cs="宋体"/>
          <w:color w:val="auto"/>
          <w:highlight w:val="none"/>
        </w:rPr>
        <w:t>资质类别和等级：</w:t>
      </w:r>
      <w:r>
        <w:rPr>
          <w:color w:val="auto"/>
          <w:highlight w:val="none"/>
          <w:u w:val="single"/>
        </w:rPr>
        <w:t xml:space="preserve">               </w:t>
      </w:r>
      <w:r>
        <w:rPr>
          <w:rFonts w:hint="eastAsia" w:hAnsi="宋体" w:cs="宋体"/>
          <w:color w:val="auto"/>
          <w:highlight w:val="none"/>
        </w:rPr>
        <w:t>；</w:t>
      </w:r>
    </w:p>
    <w:p w14:paraId="7E8722A2">
      <w:pPr>
        <w:spacing w:line="360" w:lineRule="auto"/>
        <w:ind w:firstLine="420" w:firstLineChars="200"/>
        <w:rPr>
          <w:color w:val="auto"/>
          <w:highlight w:val="none"/>
        </w:rPr>
      </w:pPr>
      <w:r>
        <w:rPr>
          <w:rFonts w:hint="eastAsia" w:hAnsi="宋体" w:cs="宋体"/>
          <w:color w:val="auto"/>
          <w:highlight w:val="none"/>
        </w:rPr>
        <w:t>联系电话：</w:t>
      </w:r>
      <w:r>
        <w:rPr>
          <w:color w:val="auto"/>
          <w:highlight w:val="none"/>
          <w:u w:val="single"/>
        </w:rPr>
        <w:t xml:space="preserve">                </w:t>
      </w:r>
      <w:r>
        <w:rPr>
          <w:rFonts w:hint="eastAsia" w:hAnsi="宋体" w:cs="宋体"/>
          <w:color w:val="auto"/>
          <w:highlight w:val="none"/>
        </w:rPr>
        <w:t>；</w:t>
      </w:r>
    </w:p>
    <w:p w14:paraId="6429DD62">
      <w:pPr>
        <w:spacing w:line="360" w:lineRule="auto"/>
        <w:ind w:firstLine="420" w:firstLineChars="200"/>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hAnsi="宋体" w:cs="宋体"/>
          <w:color w:val="auto"/>
          <w:highlight w:val="none"/>
        </w:rPr>
        <w:t>；</w:t>
      </w:r>
    </w:p>
    <w:p w14:paraId="1A01D720">
      <w:pPr>
        <w:spacing w:line="360" w:lineRule="auto"/>
        <w:ind w:firstLine="420" w:firstLineChars="200"/>
        <w:rPr>
          <w:color w:val="auto"/>
          <w:highlight w:val="none"/>
        </w:rPr>
      </w:pPr>
      <w:r>
        <w:rPr>
          <w:rFonts w:hint="eastAsia" w:hAnsi="宋体" w:cs="宋体"/>
          <w:color w:val="auto"/>
          <w:highlight w:val="none"/>
        </w:rPr>
        <w:t>通信地址：</w:t>
      </w:r>
      <w:r>
        <w:rPr>
          <w:color w:val="auto"/>
          <w:highlight w:val="none"/>
          <w:u w:val="single"/>
        </w:rPr>
        <w:t xml:space="preserve">                </w:t>
      </w:r>
      <w:r>
        <w:rPr>
          <w:rFonts w:hint="eastAsia" w:hAnsi="宋体" w:cs="宋体"/>
          <w:color w:val="auto"/>
          <w:highlight w:val="none"/>
        </w:rPr>
        <w:t>。</w:t>
      </w:r>
    </w:p>
    <w:p w14:paraId="47F6B4D6">
      <w:pPr>
        <w:spacing w:line="360" w:lineRule="auto"/>
        <w:ind w:firstLine="420" w:firstLineChars="200"/>
        <w:outlineLvl w:val="0"/>
        <w:rPr>
          <w:color w:val="auto"/>
          <w:highlight w:val="none"/>
        </w:rPr>
      </w:pPr>
      <w:r>
        <w:rPr>
          <w:color w:val="auto"/>
          <w:highlight w:val="none"/>
        </w:rPr>
        <w:t xml:space="preserve">1.1.2.5 </w:t>
      </w:r>
      <w:r>
        <w:rPr>
          <w:rFonts w:hint="eastAsia" w:hAnsi="宋体" w:cs="宋体"/>
          <w:color w:val="auto"/>
          <w:highlight w:val="none"/>
        </w:rPr>
        <w:t>设计人：</w:t>
      </w:r>
    </w:p>
    <w:p w14:paraId="74DCC9C4">
      <w:pPr>
        <w:spacing w:line="360" w:lineRule="auto"/>
        <w:ind w:firstLine="420" w:firstLineChars="200"/>
        <w:rPr>
          <w:color w:val="auto"/>
          <w:highlight w:val="none"/>
        </w:rPr>
      </w:pPr>
      <w:r>
        <w:rPr>
          <w:rFonts w:hint="eastAsia" w:hAnsi="宋体" w:cs="宋体"/>
          <w:color w:val="auto"/>
          <w:highlight w:val="none"/>
        </w:rPr>
        <w:t>名</w:t>
      </w:r>
      <w:r>
        <w:rPr>
          <w:color w:val="auto"/>
          <w:highlight w:val="none"/>
        </w:rPr>
        <w:t xml:space="preserve">    </w:t>
      </w:r>
      <w:r>
        <w:rPr>
          <w:rFonts w:hint="eastAsia" w:hAnsi="宋体" w:cs="宋体"/>
          <w:color w:val="auto"/>
          <w:highlight w:val="none"/>
        </w:rPr>
        <w:t>称：</w:t>
      </w:r>
      <w:r>
        <w:rPr>
          <w:color w:val="auto"/>
          <w:highlight w:val="none"/>
          <w:u w:val="single"/>
        </w:rPr>
        <w:t xml:space="preserve">                 </w:t>
      </w:r>
      <w:r>
        <w:rPr>
          <w:rFonts w:hint="eastAsia" w:hAnsi="宋体" w:cs="宋体"/>
          <w:color w:val="auto"/>
          <w:highlight w:val="none"/>
        </w:rPr>
        <w:t>；</w:t>
      </w:r>
    </w:p>
    <w:p w14:paraId="6C780EEC">
      <w:pPr>
        <w:spacing w:line="360" w:lineRule="auto"/>
        <w:ind w:firstLine="420" w:firstLineChars="200"/>
        <w:rPr>
          <w:color w:val="auto"/>
          <w:highlight w:val="none"/>
        </w:rPr>
      </w:pPr>
      <w:r>
        <w:rPr>
          <w:rFonts w:hint="eastAsia" w:hAnsi="宋体" w:cs="宋体"/>
          <w:color w:val="auto"/>
          <w:highlight w:val="none"/>
        </w:rPr>
        <w:t>资质类别和等级：</w:t>
      </w:r>
      <w:r>
        <w:rPr>
          <w:color w:val="auto"/>
          <w:highlight w:val="none"/>
          <w:u w:val="single"/>
        </w:rPr>
        <w:t xml:space="preserve">               </w:t>
      </w:r>
      <w:r>
        <w:rPr>
          <w:rFonts w:hint="eastAsia" w:hAnsi="宋体" w:cs="宋体"/>
          <w:color w:val="auto"/>
          <w:highlight w:val="none"/>
        </w:rPr>
        <w:t>；</w:t>
      </w:r>
    </w:p>
    <w:p w14:paraId="7187FA25">
      <w:pPr>
        <w:spacing w:line="360" w:lineRule="auto"/>
        <w:ind w:firstLine="420" w:firstLineChars="200"/>
        <w:rPr>
          <w:color w:val="auto"/>
          <w:highlight w:val="none"/>
        </w:rPr>
      </w:pPr>
      <w:r>
        <w:rPr>
          <w:rFonts w:hint="eastAsia" w:hAnsi="宋体" w:cs="宋体"/>
          <w:color w:val="auto"/>
          <w:highlight w:val="none"/>
        </w:rPr>
        <w:t>联系电话：</w:t>
      </w:r>
      <w:r>
        <w:rPr>
          <w:color w:val="auto"/>
          <w:highlight w:val="none"/>
          <w:u w:val="single"/>
        </w:rPr>
        <w:t xml:space="preserve">                 </w:t>
      </w:r>
      <w:r>
        <w:rPr>
          <w:rFonts w:hint="eastAsia" w:hAnsi="宋体" w:cs="宋体"/>
          <w:color w:val="auto"/>
          <w:highlight w:val="none"/>
        </w:rPr>
        <w:t>；</w:t>
      </w:r>
    </w:p>
    <w:p w14:paraId="6E3423E4">
      <w:pPr>
        <w:spacing w:line="360" w:lineRule="auto"/>
        <w:ind w:firstLine="420" w:firstLineChars="200"/>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hAnsi="宋体" w:cs="宋体"/>
          <w:color w:val="auto"/>
          <w:highlight w:val="none"/>
        </w:rPr>
        <w:t>；</w:t>
      </w:r>
    </w:p>
    <w:p w14:paraId="22DBFCDE">
      <w:pPr>
        <w:spacing w:line="360" w:lineRule="auto"/>
        <w:ind w:firstLine="420" w:firstLineChars="200"/>
        <w:rPr>
          <w:color w:val="auto"/>
          <w:highlight w:val="none"/>
        </w:rPr>
      </w:pPr>
      <w:r>
        <w:rPr>
          <w:rFonts w:hint="eastAsia" w:hAnsi="宋体" w:cs="宋体"/>
          <w:color w:val="auto"/>
          <w:highlight w:val="none"/>
        </w:rPr>
        <w:t>通信地址：</w:t>
      </w:r>
      <w:r>
        <w:rPr>
          <w:color w:val="auto"/>
          <w:highlight w:val="none"/>
          <w:u w:val="single"/>
        </w:rPr>
        <w:t xml:space="preserve">                </w:t>
      </w:r>
      <w:r>
        <w:rPr>
          <w:rFonts w:hint="eastAsia" w:hAnsi="宋体" w:cs="宋体"/>
          <w:color w:val="auto"/>
          <w:highlight w:val="none"/>
        </w:rPr>
        <w:t>。</w:t>
      </w:r>
    </w:p>
    <w:p w14:paraId="595A3726">
      <w:pPr>
        <w:spacing w:line="360" w:lineRule="auto"/>
        <w:ind w:firstLine="420" w:firstLineChars="200"/>
        <w:rPr>
          <w:color w:val="auto"/>
          <w:highlight w:val="none"/>
        </w:rPr>
      </w:pPr>
      <w:r>
        <w:rPr>
          <w:color w:val="auto"/>
          <w:highlight w:val="none"/>
        </w:rPr>
        <w:t xml:space="preserve">1.1.3 </w:t>
      </w:r>
      <w:r>
        <w:rPr>
          <w:rFonts w:hint="eastAsia" w:hAnsi="宋体" w:cs="宋体"/>
          <w:color w:val="auto"/>
          <w:highlight w:val="none"/>
        </w:rPr>
        <w:t>工程和设备</w:t>
      </w:r>
    </w:p>
    <w:p w14:paraId="09BB3F7F">
      <w:pPr>
        <w:spacing w:line="360" w:lineRule="auto"/>
        <w:ind w:firstLine="420" w:firstLineChars="200"/>
        <w:outlineLvl w:val="0"/>
        <w:rPr>
          <w:color w:val="auto"/>
          <w:highlight w:val="none"/>
        </w:rPr>
      </w:pPr>
      <w:r>
        <w:rPr>
          <w:color w:val="auto"/>
          <w:highlight w:val="none"/>
        </w:rPr>
        <w:t xml:space="preserve">1.1.3.7 </w:t>
      </w:r>
      <w:r>
        <w:rPr>
          <w:rFonts w:hint="eastAsia" w:hAnsi="宋体" w:cs="宋体"/>
          <w:color w:val="auto"/>
          <w:highlight w:val="none"/>
        </w:rPr>
        <w:t>作为施工现场组成部分的其他场所包括：</w:t>
      </w:r>
      <w:r>
        <w:rPr>
          <w:color w:val="auto"/>
          <w:highlight w:val="none"/>
          <w:u w:val="single"/>
        </w:rPr>
        <w:t xml:space="preserve">   </w:t>
      </w:r>
      <w:r>
        <w:rPr>
          <w:rFonts w:hint="eastAsia" w:ascii="宋体" w:hAnsi="宋体"/>
          <w:color w:val="auto"/>
          <w:kern w:val="0"/>
          <w:szCs w:val="21"/>
          <w:u w:val="single" w:color="000000"/>
        </w:rPr>
        <w:t>按现有条件施工</w:t>
      </w:r>
      <w:r>
        <w:rPr>
          <w:rFonts w:hAnsi="宋体"/>
          <w:color w:val="auto"/>
          <w:highlight w:val="none"/>
          <w:u w:val="single"/>
        </w:rPr>
        <w:t xml:space="preserve">      </w:t>
      </w:r>
      <w:r>
        <w:rPr>
          <w:rFonts w:hint="eastAsia" w:hAnsi="宋体" w:cs="宋体"/>
          <w:color w:val="auto"/>
          <w:highlight w:val="none"/>
        </w:rPr>
        <w:t>。</w:t>
      </w:r>
    </w:p>
    <w:p w14:paraId="060EACC8">
      <w:pPr>
        <w:spacing w:line="360" w:lineRule="auto"/>
        <w:ind w:firstLine="420" w:firstLineChars="200"/>
        <w:jc w:val="left"/>
        <w:rPr>
          <w:color w:val="auto"/>
          <w:kern w:val="0"/>
          <w:highlight w:val="none"/>
        </w:rPr>
      </w:pPr>
      <w:r>
        <w:rPr>
          <w:color w:val="auto"/>
          <w:kern w:val="0"/>
          <w:highlight w:val="none"/>
        </w:rPr>
        <w:t xml:space="preserve">1.1.3.9 </w:t>
      </w:r>
      <w:r>
        <w:rPr>
          <w:rFonts w:hint="eastAsia" w:hAnsi="宋体" w:cs="宋体"/>
          <w:color w:val="auto"/>
          <w:kern w:val="0"/>
          <w:highlight w:val="none"/>
        </w:rPr>
        <w:t>永久占地包括：</w:t>
      </w:r>
      <w:r>
        <w:rPr>
          <w:color w:val="auto"/>
          <w:highlight w:val="none"/>
          <w:u w:val="single"/>
        </w:rPr>
        <w:t xml:space="preserve"> </w:t>
      </w:r>
      <w:r>
        <w:rPr>
          <w:rFonts w:hint="eastAsia" w:ascii="宋体" w:hAnsi="宋体"/>
          <w:color w:val="auto"/>
          <w:spacing w:val="-2"/>
          <w:kern w:val="0"/>
          <w:szCs w:val="21"/>
          <w:u w:val="single" w:color="000000"/>
        </w:rPr>
        <w:t>施工图所示占地线范围，范围、坐标详见施工图</w:t>
      </w:r>
      <w:r>
        <w:rPr>
          <w:color w:val="auto"/>
          <w:highlight w:val="none"/>
          <w:u w:val="single"/>
        </w:rPr>
        <w:t xml:space="preserve">      </w:t>
      </w:r>
      <w:r>
        <w:rPr>
          <w:rFonts w:hint="eastAsia" w:hAnsi="宋体" w:cs="宋体"/>
          <w:color w:val="auto"/>
          <w:kern w:val="0"/>
          <w:highlight w:val="none"/>
        </w:rPr>
        <w:t>。</w:t>
      </w:r>
    </w:p>
    <w:p w14:paraId="10E28D05">
      <w:pPr>
        <w:spacing w:line="360" w:lineRule="auto"/>
        <w:ind w:firstLine="420" w:firstLineChars="200"/>
        <w:jc w:val="left"/>
        <w:rPr>
          <w:color w:val="auto"/>
          <w:highlight w:val="none"/>
        </w:rPr>
      </w:pPr>
      <w:r>
        <w:rPr>
          <w:color w:val="auto"/>
          <w:kern w:val="0"/>
          <w:highlight w:val="none"/>
        </w:rPr>
        <w:t xml:space="preserve">1.1.3.10 </w:t>
      </w:r>
      <w:r>
        <w:rPr>
          <w:rFonts w:hint="eastAsia" w:hAnsi="宋体" w:cs="宋体"/>
          <w:color w:val="auto"/>
          <w:kern w:val="0"/>
          <w:highlight w:val="none"/>
        </w:rPr>
        <w:t>临时占地包括：</w:t>
      </w:r>
      <w:r>
        <w:rPr>
          <w:color w:val="auto"/>
          <w:highlight w:val="none"/>
          <w:u w:val="single"/>
        </w:rPr>
        <w:t xml:space="preserve">  </w:t>
      </w:r>
      <w:r>
        <w:rPr>
          <w:rFonts w:hint="eastAsia" w:ascii="宋体" w:hAnsi="宋体"/>
          <w:color w:val="auto"/>
          <w:spacing w:val="-3"/>
          <w:kern w:val="0"/>
          <w:szCs w:val="21"/>
          <w:u w:val="single" w:color="000000"/>
        </w:rPr>
        <w:t>发包人用地红线内双方指定的用于承包人堆放施工材料、设备及</w:t>
      </w:r>
      <w:r>
        <w:rPr>
          <w:rFonts w:hint="eastAsia" w:ascii="宋体" w:hAnsi="宋体"/>
          <w:color w:val="auto"/>
          <w:spacing w:val="-2"/>
          <w:kern w:val="0"/>
          <w:szCs w:val="21"/>
          <w:u w:val="single" w:color="000000"/>
        </w:rPr>
        <w:t>办公生活等临时用地，超出指定用地范围须不得影响其它项目施工和通行等，且须报经建设单</w:t>
      </w:r>
      <w:r>
        <w:rPr>
          <w:rFonts w:hint="eastAsia" w:ascii="宋体" w:hAnsi="宋体"/>
          <w:color w:val="auto"/>
          <w:kern w:val="0"/>
          <w:szCs w:val="21"/>
          <w:u w:val="single" w:color="000000"/>
        </w:rPr>
        <w:t>位同意</w:t>
      </w:r>
      <w:r>
        <w:rPr>
          <w:rFonts w:hint="eastAsia" w:ascii="宋体" w:hAnsi="宋体"/>
          <w:color w:val="auto"/>
          <w:kern w:val="0"/>
          <w:szCs w:val="21"/>
        </w:rPr>
        <w:t>。</w:t>
      </w:r>
    </w:p>
    <w:p w14:paraId="666842F0">
      <w:pPr>
        <w:pStyle w:val="5"/>
        <w:rPr>
          <w:color w:val="auto"/>
          <w:highlight w:val="none"/>
        </w:rPr>
      </w:pPr>
      <w:bookmarkStart w:id="725" w:name="_Toc373227694"/>
      <w:bookmarkStart w:id="726" w:name="_Toc389065260"/>
      <w:bookmarkStart w:id="727" w:name="_Toc373478341"/>
      <w:bookmarkStart w:id="728" w:name="_Toc1162259329"/>
      <w:bookmarkStart w:id="729" w:name="_Toc78449782"/>
      <w:bookmarkStart w:id="730" w:name="_Toc16494"/>
      <w:bookmarkStart w:id="731" w:name="_Toc407135196"/>
      <w:bookmarkStart w:id="732" w:name="_Toc10861"/>
      <w:r>
        <w:rPr>
          <w:color w:val="auto"/>
          <w:highlight w:val="none"/>
        </w:rPr>
        <w:t xml:space="preserve">1.3 </w:t>
      </w:r>
      <w:r>
        <w:rPr>
          <w:rFonts w:hint="eastAsia" w:hAnsi="宋体" w:cs="黑体"/>
          <w:color w:val="auto"/>
          <w:highlight w:val="none"/>
        </w:rPr>
        <w:t>法律</w:t>
      </w:r>
      <w:bookmarkEnd w:id="725"/>
      <w:bookmarkEnd w:id="726"/>
      <w:bookmarkEnd w:id="727"/>
      <w:bookmarkEnd w:id="728"/>
      <w:bookmarkEnd w:id="729"/>
      <w:bookmarkEnd w:id="730"/>
      <w:bookmarkEnd w:id="731"/>
      <w:bookmarkEnd w:id="732"/>
    </w:p>
    <w:p w14:paraId="3EFD7EB1">
      <w:pPr>
        <w:autoSpaceDE w:val="0"/>
        <w:autoSpaceDN w:val="0"/>
        <w:adjustRightInd w:val="0"/>
        <w:spacing w:line="360" w:lineRule="auto"/>
        <w:jc w:val="left"/>
        <w:rPr>
          <w:color w:val="auto"/>
          <w:highlight w:val="none"/>
        </w:rPr>
      </w:pPr>
      <w:r>
        <w:rPr>
          <w:rFonts w:hint="eastAsia" w:hAnsi="宋体" w:cs="宋体"/>
          <w:color w:val="auto"/>
          <w:highlight w:val="none"/>
        </w:rPr>
        <w:t>适用于合同的其他规范性文件：</w:t>
      </w:r>
      <w:r>
        <w:rPr>
          <w:rFonts w:hAnsi="宋体"/>
          <w:color w:val="auto"/>
          <w:highlight w:val="none"/>
          <w:u w:val="single"/>
        </w:rPr>
        <w:t xml:space="preserve">  </w:t>
      </w:r>
      <w:r>
        <w:rPr>
          <w:rFonts w:hint="eastAsia" w:ascii="宋体" w:hAnsi="宋体"/>
          <w:color w:val="auto"/>
          <w:spacing w:val="-3"/>
          <w:kern w:val="0"/>
          <w:szCs w:val="21"/>
          <w:u w:val="single" w:color="000000"/>
        </w:rPr>
        <w:t>按合同签订时国家现行法律、行政法规及工程所在地政府</w:t>
      </w:r>
      <w:r>
        <w:rPr>
          <w:rFonts w:hint="eastAsia" w:ascii="宋体" w:hAnsi="宋体"/>
          <w:color w:val="auto"/>
          <w:kern w:val="0"/>
          <w:szCs w:val="21"/>
          <w:u w:val="single" w:color="000000"/>
        </w:rPr>
        <w:t>有关法规和规章</w:t>
      </w:r>
      <w:r>
        <w:rPr>
          <w:rFonts w:hAnsi="宋体"/>
          <w:color w:val="auto"/>
          <w:highlight w:val="none"/>
          <w:u w:val="single"/>
        </w:rPr>
        <w:t xml:space="preserve"> </w:t>
      </w:r>
      <w:r>
        <w:rPr>
          <w:rFonts w:hint="eastAsia" w:hAnsi="宋体" w:cs="宋体"/>
          <w:color w:val="auto"/>
          <w:highlight w:val="none"/>
        </w:rPr>
        <w:t>。</w:t>
      </w:r>
    </w:p>
    <w:p w14:paraId="2A770EEE">
      <w:pPr>
        <w:pStyle w:val="5"/>
        <w:rPr>
          <w:color w:val="auto"/>
          <w:highlight w:val="none"/>
        </w:rPr>
      </w:pPr>
      <w:bookmarkStart w:id="733" w:name="_Toc407135197"/>
      <w:bookmarkStart w:id="734" w:name="_Toc389065261"/>
      <w:bookmarkStart w:id="735" w:name="_Toc373478342"/>
      <w:bookmarkStart w:id="736" w:name="_Toc1694357896"/>
      <w:bookmarkStart w:id="737" w:name="_Toc1492"/>
      <w:bookmarkStart w:id="738" w:name="_Toc78449783"/>
      <w:bookmarkStart w:id="739" w:name="_Toc373227695"/>
      <w:bookmarkStart w:id="740" w:name="_Toc16410"/>
      <w:r>
        <w:rPr>
          <w:color w:val="auto"/>
          <w:highlight w:val="none"/>
        </w:rPr>
        <w:t xml:space="preserve">1.4 </w:t>
      </w:r>
      <w:r>
        <w:rPr>
          <w:rFonts w:hint="eastAsia" w:hAnsi="宋体" w:cs="黑体"/>
          <w:color w:val="auto"/>
          <w:highlight w:val="none"/>
        </w:rPr>
        <w:t>标准和规范</w:t>
      </w:r>
      <w:bookmarkEnd w:id="733"/>
      <w:bookmarkEnd w:id="734"/>
      <w:bookmarkEnd w:id="735"/>
      <w:bookmarkEnd w:id="736"/>
      <w:bookmarkEnd w:id="737"/>
      <w:bookmarkEnd w:id="738"/>
      <w:bookmarkEnd w:id="739"/>
      <w:bookmarkEnd w:id="740"/>
    </w:p>
    <w:p w14:paraId="59EEFA5B">
      <w:pPr>
        <w:tabs>
          <w:tab w:val="left" w:pos="4184"/>
          <w:tab w:val="left" w:pos="8315"/>
        </w:tabs>
        <w:spacing w:before="184" w:line="336" w:lineRule="auto"/>
        <w:ind w:left="118" w:right="114" w:firstLine="419"/>
        <w:jc w:val="left"/>
        <w:rPr>
          <w:rFonts w:hint="eastAsia" w:ascii="宋体" w:hAnsi="宋体"/>
          <w:color w:val="auto"/>
          <w:kern w:val="0"/>
          <w:szCs w:val="21"/>
        </w:rPr>
      </w:pPr>
      <w:r>
        <w:rPr>
          <w:color w:val="auto"/>
          <w:highlight w:val="none"/>
        </w:rPr>
        <w:t xml:space="preserve">1.4.1 </w:t>
      </w:r>
      <w:r>
        <w:rPr>
          <w:rFonts w:hint="eastAsia" w:hAnsi="宋体" w:cs="宋体"/>
          <w:color w:val="auto"/>
          <w:highlight w:val="none"/>
        </w:rPr>
        <w:t>适用于工程的标准规范包括：</w:t>
      </w:r>
      <w:r>
        <w:rPr>
          <w:rFonts w:hAnsi="宋体"/>
          <w:color w:val="auto"/>
          <w:highlight w:val="none"/>
          <w:u w:val="single"/>
        </w:rPr>
        <w:t xml:space="preserve"> </w:t>
      </w:r>
      <w:r>
        <w:rPr>
          <w:rFonts w:hint="eastAsia" w:ascii="宋体" w:hAnsi="宋体"/>
          <w:color w:val="auto"/>
          <w:spacing w:val="-12"/>
          <w:kern w:val="0"/>
          <w:szCs w:val="21"/>
          <w:u w:val="single" w:color="000000"/>
        </w:rPr>
        <w:t>《中华人民共和国民法典》、《中华人民共和国建筑</w:t>
      </w:r>
      <w:r>
        <w:rPr>
          <w:rFonts w:hint="eastAsia" w:ascii="宋体" w:hAnsi="宋体"/>
          <w:color w:val="auto"/>
          <w:spacing w:val="-2"/>
          <w:kern w:val="0"/>
          <w:szCs w:val="21"/>
          <w:u w:val="single" w:color="000000"/>
        </w:rPr>
        <w:t>法》及合同签订时国家现行法律、行政法规及工程所在地政府的有关现行法规和规章</w:t>
      </w:r>
      <w:r>
        <w:rPr>
          <w:rFonts w:hint="eastAsia" w:ascii="宋体" w:hAnsi="宋体"/>
          <w:color w:val="auto"/>
          <w:kern w:val="0"/>
          <w:szCs w:val="21"/>
        </w:rPr>
        <w:t>。</w:t>
      </w:r>
    </w:p>
    <w:p w14:paraId="5A4B6CF0">
      <w:pPr>
        <w:spacing w:line="360" w:lineRule="auto"/>
        <w:rPr>
          <w:color w:val="auto"/>
          <w:highlight w:val="none"/>
        </w:rPr>
      </w:pPr>
    </w:p>
    <w:p w14:paraId="1FCF1907">
      <w:pPr>
        <w:tabs>
          <w:tab w:val="left" w:pos="4772"/>
          <w:tab w:val="left" w:pos="5161"/>
        </w:tabs>
        <w:spacing w:before="51" w:line="336" w:lineRule="auto"/>
        <w:ind w:left="118" w:right="114" w:firstLine="419"/>
        <w:jc w:val="left"/>
        <w:rPr>
          <w:rFonts w:hint="eastAsia" w:ascii="宋体" w:hAnsi="宋体"/>
          <w:color w:val="auto"/>
          <w:kern w:val="0"/>
          <w:szCs w:val="21"/>
        </w:rPr>
      </w:pPr>
      <w:r>
        <w:rPr>
          <w:color w:val="auto"/>
          <w:kern w:val="0"/>
          <w:highlight w:val="none"/>
        </w:rPr>
        <w:t xml:space="preserve">1.4.2 </w:t>
      </w:r>
      <w:r>
        <w:rPr>
          <w:rFonts w:hint="eastAsia" w:hAnsi="宋体" w:cs="宋体"/>
          <w:color w:val="auto"/>
          <w:kern w:val="0"/>
          <w:highlight w:val="none"/>
        </w:rPr>
        <w:t>发包人提供国外标准、规范的名称：</w:t>
      </w:r>
      <w:r>
        <w:rPr>
          <w:rFonts w:hint="eastAsia" w:ascii="宋体" w:hAnsi="宋体"/>
          <w:color w:val="auto"/>
          <w:kern w:val="0"/>
          <w:szCs w:val="21"/>
          <w:u w:val="single" w:color="000000"/>
        </w:rPr>
        <w:t>适用于本工程的国家标准、行业标准、工程</w:t>
      </w:r>
      <w:r>
        <w:rPr>
          <w:rFonts w:hint="eastAsia" w:ascii="宋体" w:hAnsi="宋体"/>
          <w:color w:val="auto"/>
          <w:spacing w:val="-2"/>
          <w:kern w:val="0"/>
          <w:szCs w:val="21"/>
          <w:u w:val="single" w:color="000000"/>
        </w:rPr>
        <w:t>所在地的地方性标准，以及相应的规范、规程等</w:t>
      </w:r>
      <w:r>
        <w:rPr>
          <w:rFonts w:hint="eastAsia" w:ascii="宋体" w:hAnsi="宋体"/>
          <w:color w:val="auto"/>
          <w:kern w:val="0"/>
          <w:szCs w:val="21"/>
        </w:rPr>
        <w:t>；</w:t>
      </w:r>
    </w:p>
    <w:p w14:paraId="271E2663">
      <w:pPr>
        <w:spacing w:line="360" w:lineRule="auto"/>
        <w:rPr>
          <w:color w:val="auto"/>
          <w:kern w:val="0"/>
          <w:highlight w:val="none"/>
        </w:rPr>
      </w:pPr>
    </w:p>
    <w:p w14:paraId="55FE4C1C">
      <w:pPr>
        <w:spacing w:line="360" w:lineRule="auto"/>
        <w:ind w:firstLine="420" w:firstLineChars="200"/>
        <w:rPr>
          <w:color w:val="auto"/>
          <w:kern w:val="0"/>
          <w:highlight w:val="none"/>
        </w:rPr>
      </w:pPr>
      <w:r>
        <w:rPr>
          <w:rFonts w:hint="eastAsia" w:hAnsi="宋体" w:cs="宋体"/>
          <w:color w:val="auto"/>
          <w:kern w:val="0"/>
          <w:highlight w:val="none"/>
        </w:rPr>
        <w:t>发包人提供国外标准、规范的份数：</w:t>
      </w:r>
      <w:r>
        <w:rPr>
          <w:color w:val="auto"/>
          <w:kern w:val="0"/>
          <w:highlight w:val="none"/>
          <w:u w:val="single"/>
        </w:rPr>
        <w:t xml:space="preserve">      </w:t>
      </w:r>
      <w:r>
        <w:rPr>
          <w:rFonts w:hint="eastAsia"/>
          <w:color w:val="auto"/>
          <w:kern w:val="0"/>
          <w:highlight w:val="none"/>
          <w:u w:val="single"/>
          <w:lang w:val="en-US" w:eastAsia="zh-CN"/>
        </w:rPr>
        <w:t>无</w:t>
      </w:r>
      <w:r>
        <w:rPr>
          <w:color w:val="auto"/>
          <w:kern w:val="0"/>
          <w:highlight w:val="none"/>
          <w:u w:val="single"/>
        </w:rPr>
        <w:t xml:space="preserve">                </w:t>
      </w:r>
      <w:r>
        <w:rPr>
          <w:rFonts w:hint="eastAsia" w:hAnsi="宋体" w:cs="宋体"/>
          <w:color w:val="auto"/>
          <w:kern w:val="0"/>
          <w:highlight w:val="none"/>
        </w:rPr>
        <w:t>；</w:t>
      </w:r>
    </w:p>
    <w:p w14:paraId="2FC32A18">
      <w:pPr>
        <w:spacing w:line="360" w:lineRule="auto"/>
        <w:ind w:firstLine="420" w:firstLineChars="200"/>
        <w:rPr>
          <w:color w:val="auto"/>
          <w:highlight w:val="none"/>
        </w:rPr>
      </w:pPr>
      <w:r>
        <w:rPr>
          <w:rFonts w:hint="eastAsia" w:hAnsi="宋体" w:cs="宋体"/>
          <w:color w:val="auto"/>
          <w:kern w:val="0"/>
          <w:highlight w:val="none"/>
        </w:rPr>
        <w:t>发包人提供国外标准、规范的名称：</w:t>
      </w:r>
      <w:r>
        <w:rPr>
          <w:color w:val="auto"/>
          <w:kern w:val="0"/>
          <w:highlight w:val="none"/>
          <w:u w:val="single"/>
        </w:rPr>
        <w:t xml:space="preserve">       </w:t>
      </w:r>
      <w:r>
        <w:rPr>
          <w:rFonts w:hint="eastAsia"/>
          <w:color w:val="auto"/>
          <w:kern w:val="0"/>
          <w:highlight w:val="none"/>
          <w:u w:val="single"/>
          <w:lang w:val="en-US" w:eastAsia="zh-CN"/>
        </w:rPr>
        <w:t>无</w:t>
      </w:r>
      <w:r>
        <w:rPr>
          <w:color w:val="auto"/>
          <w:kern w:val="0"/>
          <w:highlight w:val="none"/>
          <w:u w:val="single"/>
        </w:rPr>
        <w:t xml:space="preserve">               </w:t>
      </w:r>
      <w:r>
        <w:rPr>
          <w:rFonts w:hint="eastAsia" w:hAnsi="宋体" w:cs="宋体"/>
          <w:color w:val="auto"/>
          <w:kern w:val="0"/>
          <w:highlight w:val="none"/>
        </w:rPr>
        <w:t>。</w:t>
      </w:r>
    </w:p>
    <w:p w14:paraId="3E12B4EB">
      <w:pPr>
        <w:spacing w:line="360" w:lineRule="auto"/>
        <w:ind w:firstLine="420" w:firstLineChars="200"/>
        <w:rPr>
          <w:color w:val="auto"/>
          <w:highlight w:val="none"/>
        </w:rPr>
      </w:pPr>
      <w:r>
        <w:rPr>
          <w:color w:val="auto"/>
          <w:highlight w:val="none"/>
        </w:rPr>
        <w:t xml:space="preserve">1.4.3 </w:t>
      </w:r>
      <w:r>
        <w:rPr>
          <w:rFonts w:hint="eastAsia" w:hAnsi="宋体" w:cs="宋体"/>
          <w:color w:val="auto"/>
          <w:highlight w:val="none"/>
        </w:rPr>
        <w:t>发包人对工程的技术标准和功能要求的特殊要求：</w:t>
      </w:r>
    </w:p>
    <w:p w14:paraId="23389677">
      <w:pPr>
        <w:spacing w:line="360" w:lineRule="auto"/>
        <w:rPr>
          <w:color w:val="auto"/>
          <w:highlight w:val="none"/>
        </w:rPr>
      </w:pPr>
      <w:r>
        <w:rPr>
          <w:rFonts w:hAnsi="宋体"/>
          <w:color w:val="auto"/>
          <w:highlight w:val="none"/>
          <w:u w:val="single"/>
        </w:rPr>
        <w:t xml:space="preserve">  </w:t>
      </w:r>
      <w:r>
        <w:rPr>
          <w:rFonts w:hint="eastAsia" w:hAnsi="宋体"/>
          <w:color w:val="auto"/>
          <w:highlight w:val="none"/>
          <w:u w:val="single"/>
          <w:lang w:val="en-US" w:eastAsia="zh-CN"/>
        </w:rPr>
        <w:t xml:space="preserve">无  </w:t>
      </w:r>
      <w:r>
        <w:rPr>
          <w:rFonts w:hint="eastAsia" w:hAnsi="宋体" w:cs="宋体"/>
          <w:color w:val="auto"/>
          <w:highlight w:val="none"/>
        </w:rPr>
        <w:t>。</w:t>
      </w:r>
    </w:p>
    <w:p w14:paraId="51617286">
      <w:pPr>
        <w:pStyle w:val="5"/>
        <w:rPr>
          <w:color w:val="auto"/>
          <w:highlight w:val="none"/>
        </w:rPr>
      </w:pPr>
      <w:bookmarkStart w:id="741" w:name="_Toc389065262"/>
      <w:bookmarkStart w:id="742" w:name="_Toc373227696"/>
      <w:bookmarkStart w:id="743" w:name="_Toc407135198"/>
      <w:bookmarkStart w:id="744" w:name="_Toc5118"/>
      <w:bookmarkStart w:id="745" w:name="_Toc24431861"/>
      <w:bookmarkStart w:id="746" w:name="_Toc373478343"/>
      <w:bookmarkStart w:id="747" w:name="_Toc21404"/>
      <w:bookmarkStart w:id="748" w:name="_Toc78449784"/>
      <w:r>
        <w:rPr>
          <w:color w:val="auto"/>
          <w:highlight w:val="none"/>
        </w:rPr>
        <w:t xml:space="preserve">1.5 </w:t>
      </w:r>
      <w:r>
        <w:rPr>
          <w:rFonts w:hint="eastAsia" w:cs="黑体"/>
          <w:color w:val="auto"/>
          <w:highlight w:val="none"/>
        </w:rPr>
        <w:t>合同文件的优先顺序</w:t>
      </w:r>
      <w:bookmarkEnd w:id="741"/>
      <w:bookmarkEnd w:id="742"/>
      <w:bookmarkEnd w:id="743"/>
      <w:bookmarkEnd w:id="744"/>
      <w:bookmarkEnd w:id="745"/>
      <w:bookmarkEnd w:id="746"/>
      <w:bookmarkEnd w:id="747"/>
      <w:bookmarkEnd w:id="748"/>
    </w:p>
    <w:p w14:paraId="5A797595">
      <w:pPr>
        <w:spacing w:line="360" w:lineRule="auto"/>
        <w:ind w:firstLine="420" w:firstLineChars="200"/>
        <w:rPr>
          <w:rFonts w:hint="eastAsia" w:hAnsi="宋体" w:cs="宋体"/>
          <w:color w:val="auto"/>
          <w:kern w:val="0"/>
          <w:highlight w:val="none"/>
        </w:rPr>
      </w:pPr>
      <w:r>
        <w:rPr>
          <w:rFonts w:hint="eastAsia" w:hAnsi="宋体" w:cs="宋体"/>
          <w:color w:val="auto"/>
          <w:highlight w:val="none"/>
        </w:rPr>
        <w:t>合同文件组成及优先顺序为：</w:t>
      </w:r>
    </w:p>
    <w:p w14:paraId="3AC5F61D">
      <w:pPr>
        <w:spacing w:line="360" w:lineRule="auto"/>
        <w:ind w:firstLine="420" w:firstLineChars="200"/>
        <w:rPr>
          <w:rFonts w:hint="eastAsia" w:ascii="Times New Roman" w:hAnsi="宋体" w:eastAsia="宋体" w:cs="宋体"/>
          <w:color w:val="auto"/>
          <w:kern w:val="0"/>
          <w:highlight w:val="none"/>
        </w:rPr>
      </w:pPr>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1</w:t>
      </w:r>
      <w:r>
        <w:rPr>
          <w:rFonts w:hint="eastAsia" w:ascii="Times New Roman" w:hAnsi="宋体" w:eastAsia="宋体" w:cs="宋体"/>
          <w:color w:val="auto"/>
          <w:kern w:val="0"/>
          <w:highlight w:val="none"/>
        </w:rPr>
        <w:t>）合同协议书；</w:t>
      </w:r>
    </w:p>
    <w:p w14:paraId="778F7F44">
      <w:pPr>
        <w:spacing w:line="360" w:lineRule="auto"/>
        <w:ind w:firstLine="420" w:firstLineChars="200"/>
        <w:rPr>
          <w:rFonts w:hint="eastAsia" w:ascii="Times New Roman" w:hAnsi="宋体" w:eastAsia="宋体" w:cs="宋体"/>
          <w:color w:val="auto"/>
          <w:kern w:val="0"/>
          <w:highlight w:val="none"/>
        </w:rPr>
      </w:pPr>
      <w:bookmarkStart w:id="749" w:name="bookmark916"/>
      <w:bookmarkEnd w:id="749"/>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2</w:t>
      </w:r>
      <w:r>
        <w:rPr>
          <w:rFonts w:hint="eastAsia" w:ascii="Times New Roman" w:hAnsi="宋体" w:eastAsia="宋体" w:cs="宋体"/>
          <w:color w:val="auto"/>
          <w:kern w:val="0"/>
          <w:highlight w:val="none"/>
        </w:rPr>
        <w:t>）中标通知书；</w:t>
      </w:r>
    </w:p>
    <w:p w14:paraId="019B089B">
      <w:pPr>
        <w:spacing w:line="360" w:lineRule="auto"/>
        <w:ind w:firstLineChars="200"/>
        <w:rPr>
          <w:rFonts w:hint="eastAsia" w:ascii="Times New Roman" w:hAnsi="宋体" w:eastAsia="宋体" w:cs="宋体"/>
          <w:color w:val="auto"/>
          <w:kern w:val="0"/>
          <w:highlight w:val="none"/>
        </w:rPr>
      </w:pPr>
      <w:bookmarkStart w:id="750" w:name="bookmark917"/>
      <w:bookmarkEnd w:id="750"/>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3</w:t>
      </w:r>
      <w:r>
        <w:rPr>
          <w:rFonts w:hint="eastAsia" w:ascii="Times New Roman" w:hAnsi="宋体" w:eastAsia="宋体" w:cs="宋体"/>
          <w:color w:val="auto"/>
          <w:kern w:val="0"/>
          <w:highlight w:val="none"/>
        </w:rPr>
        <w:t>）投标函及投标函附录；</w:t>
      </w:r>
    </w:p>
    <w:p w14:paraId="1119AB04">
      <w:pPr>
        <w:spacing w:line="360" w:lineRule="auto"/>
        <w:ind w:firstLineChars="200"/>
        <w:rPr>
          <w:rFonts w:hint="eastAsia" w:ascii="Times New Roman" w:hAnsi="宋体" w:eastAsia="宋体" w:cs="宋体"/>
          <w:color w:val="auto"/>
          <w:kern w:val="0"/>
          <w:highlight w:val="none"/>
        </w:rPr>
      </w:pPr>
      <w:bookmarkStart w:id="751" w:name="bookmark918"/>
      <w:bookmarkEnd w:id="751"/>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4</w:t>
      </w:r>
      <w:r>
        <w:rPr>
          <w:rFonts w:hint="eastAsia" w:ascii="Times New Roman" w:hAnsi="宋体" w:eastAsia="宋体" w:cs="宋体"/>
          <w:color w:val="auto"/>
          <w:kern w:val="0"/>
          <w:highlight w:val="none"/>
        </w:rPr>
        <w:t>）专用合同条款；</w:t>
      </w:r>
    </w:p>
    <w:p w14:paraId="10529836">
      <w:pPr>
        <w:spacing w:line="360" w:lineRule="auto"/>
        <w:ind w:firstLineChars="200"/>
        <w:rPr>
          <w:rFonts w:hint="eastAsia" w:ascii="Times New Roman" w:hAnsi="宋体" w:eastAsia="宋体" w:cs="宋体"/>
          <w:color w:val="auto"/>
          <w:kern w:val="0"/>
          <w:highlight w:val="none"/>
        </w:rPr>
      </w:pPr>
      <w:bookmarkStart w:id="752" w:name="bookmark919"/>
      <w:bookmarkEnd w:id="752"/>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5</w:t>
      </w:r>
      <w:r>
        <w:rPr>
          <w:rFonts w:hint="eastAsia" w:ascii="Times New Roman" w:hAnsi="宋体" w:eastAsia="宋体" w:cs="宋体"/>
          <w:color w:val="auto"/>
          <w:kern w:val="0"/>
          <w:highlight w:val="none"/>
        </w:rPr>
        <w:t>）通用合同条款；</w:t>
      </w:r>
    </w:p>
    <w:p w14:paraId="0C7D4522">
      <w:pPr>
        <w:spacing w:line="360" w:lineRule="auto"/>
        <w:ind w:firstLineChars="200"/>
        <w:rPr>
          <w:rFonts w:hint="eastAsia" w:ascii="Times New Roman" w:hAnsi="宋体" w:eastAsia="宋体" w:cs="宋体"/>
          <w:color w:val="auto"/>
          <w:kern w:val="0"/>
          <w:highlight w:val="none"/>
        </w:rPr>
      </w:pPr>
      <w:bookmarkStart w:id="753" w:name="bookmark920"/>
      <w:bookmarkEnd w:id="753"/>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6</w:t>
      </w:r>
      <w:r>
        <w:rPr>
          <w:rFonts w:hint="eastAsia" w:ascii="Times New Roman" w:hAnsi="宋体" w:eastAsia="宋体" w:cs="宋体"/>
          <w:color w:val="auto"/>
          <w:kern w:val="0"/>
          <w:highlight w:val="none"/>
        </w:rPr>
        <w:t>）技术标准和要求；</w:t>
      </w:r>
    </w:p>
    <w:p w14:paraId="37B5FC9A">
      <w:pPr>
        <w:spacing w:line="360" w:lineRule="auto"/>
        <w:ind w:firstLineChars="200"/>
        <w:rPr>
          <w:rFonts w:hint="eastAsia" w:ascii="Times New Roman" w:hAnsi="宋体" w:eastAsia="宋体" w:cs="宋体"/>
          <w:color w:val="auto"/>
          <w:kern w:val="0"/>
          <w:highlight w:val="none"/>
        </w:rPr>
      </w:pPr>
      <w:bookmarkStart w:id="754" w:name="bookmark921"/>
      <w:bookmarkEnd w:id="754"/>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7</w:t>
      </w:r>
      <w:r>
        <w:rPr>
          <w:rFonts w:hint="eastAsia" w:ascii="Times New Roman" w:hAnsi="宋体" w:eastAsia="宋体" w:cs="宋体"/>
          <w:color w:val="auto"/>
          <w:kern w:val="0"/>
          <w:highlight w:val="none"/>
        </w:rPr>
        <w:t>）图纸；</w:t>
      </w:r>
    </w:p>
    <w:p w14:paraId="73A6AA79">
      <w:pPr>
        <w:spacing w:line="360" w:lineRule="auto"/>
        <w:ind w:firstLine="420" w:firstLineChars="200"/>
        <w:rPr>
          <w:rFonts w:hint="eastAsia" w:ascii="Times New Roman" w:hAnsi="宋体" w:eastAsia="宋体" w:cs="宋体"/>
          <w:color w:val="auto"/>
          <w:kern w:val="0"/>
          <w:highlight w:val="none"/>
        </w:rPr>
      </w:pPr>
      <w:bookmarkStart w:id="755" w:name="bookmark922"/>
      <w:bookmarkEnd w:id="755"/>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8</w:t>
      </w:r>
      <w:r>
        <w:rPr>
          <w:rFonts w:hint="eastAsia" w:ascii="Times New Roman" w:hAnsi="宋体" w:eastAsia="宋体" w:cs="宋体"/>
          <w:color w:val="auto"/>
          <w:kern w:val="0"/>
          <w:highlight w:val="none"/>
        </w:rPr>
        <w:t>）已标价工程量清单；</w:t>
      </w:r>
    </w:p>
    <w:p w14:paraId="562457C5">
      <w:pPr>
        <w:autoSpaceDE/>
        <w:autoSpaceDN/>
        <w:adjustRightInd/>
        <w:spacing w:line="360" w:lineRule="auto"/>
        <w:ind w:firstLine="420" w:firstLineChars="200"/>
        <w:jc w:val="left"/>
        <w:rPr>
          <w:rFonts w:hint="eastAsia" w:ascii="Times New Roman" w:hAnsi="宋体" w:eastAsia="宋体" w:cs="宋体"/>
          <w:color w:val="auto"/>
          <w:kern w:val="0"/>
          <w:highlight w:val="none"/>
          <w:u w:val="none"/>
        </w:rPr>
      </w:pPr>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9</w:t>
      </w:r>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u w:val="none"/>
        </w:rPr>
        <w:t>其他合同文件：</w:t>
      </w:r>
    </w:p>
    <w:p w14:paraId="33BDF693">
      <w:pPr>
        <w:spacing w:line="360" w:lineRule="auto"/>
        <w:ind w:firstLine="420" w:firstLineChars="200"/>
        <w:rPr>
          <w:rFonts w:hAnsi="宋体" w:cs="宋体"/>
          <w:color w:val="auto"/>
          <w:kern w:val="0"/>
          <w:highlight w:val="none"/>
        </w:rPr>
      </w:pPr>
      <w:r>
        <w:rPr>
          <w:rFonts w:hint="eastAsia" w:hAnsi="宋体" w:cs="宋体"/>
          <w:color w:val="auto"/>
          <w:kern w:val="0"/>
          <w:highlight w:val="none"/>
        </w:rPr>
        <w:t>上述各项合同文件包括合同当事人就该项合同文件所作出的补充和修改，属于同一类内容的文件，应以最新签署的为准（违反招标文件</w:t>
      </w:r>
      <w:r>
        <w:rPr>
          <w:rFonts w:hAnsi="宋体" w:cs="宋体"/>
          <w:color w:val="auto"/>
          <w:kern w:val="0"/>
          <w:highlight w:val="none"/>
        </w:rPr>
        <w:t>实质性内容的约定除外</w:t>
      </w:r>
      <w:r>
        <w:rPr>
          <w:rFonts w:hint="eastAsia" w:hAnsi="宋体" w:cs="宋体"/>
          <w:color w:val="auto"/>
          <w:kern w:val="0"/>
          <w:highlight w:val="none"/>
        </w:rPr>
        <w:t>）。专用合同条款及其附件须经合同当事人签字或盖章。</w:t>
      </w:r>
    </w:p>
    <w:p w14:paraId="6810C575">
      <w:pPr>
        <w:pStyle w:val="5"/>
        <w:rPr>
          <w:color w:val="auto"/>
          <w:highlight w:val="none"/>
        </w:rPr>
      </w:pPr>
      <w:bookmarkStart w:id="756" w:name="_Toc407135199"/>
      <w:bookmarkStart w:id="757" w:name="_Toc389065263"/>
      <w:bookmarkStart w:id="758" w:name="_Toc24316"/>
      <w:bookmarkStart w:id="759" w:name="_Toc78449785"/>
      <w:bookmarkStart w:id="760" w:name="_Toc373227697"/>
      <w:bookmarkStart w:id="761" w:name="_Toc25614"/>
      <w:bookmarkStart w:id="762" w:name="_Toc373478344"/>
      <w:bookmarkStart w:id="763" w:name="_Toc1531480704"/>
      <w:r>
        <w:rPr>
          <w:color w:val="auto"/>
          <w:highlight w:val="none"/>
        </w:rPr>
        <w:t xml:space="preserve">1.6 </w:t>
      </w:r>
      <w:r>
        <w:rPr>
          <w:rFonts w:hint="eastAsia" w:cs="黑体"/>
          <w:color w:val="auto"/>
          <w:highlight w:val="none"/>
        </w:rPr>
        <w:t>图纸和承包人文件</w:t>
      </w:r>
      <w:bookmarkEnd w:id="756"/>
      <w:bookmarkEnd w:id="757"/>
      <w:bookmarkEnd w:id="758"/>
      <w:bookmarkEnd w:id="759"/>
      <w:bookmarkEnd w:id="760"/>
      <w:bookmarkEnd w:id="761"/>
      <w:bookmarkEnd w:id="762"/>
      <w:bookmarkEnd w:id="763"/>
      <w:r>
        <w:rPr>
          <w:color w:val="auto"/>
          <w:highlight w:val="none"/>
        </w:rPr>
        <w:tab/>
      </w:r>
    </w:p>
    <w:p w14:paraId="265A0611">
      <w:pPr>
        <w:spacing w:line="360" w:lineRule="auto"/>
        <w:ind w:firstLine="420" w:firstLineChars="200"/>
        <w:rPr>
          <w:color w:val="auto"/>
          <w:highlight w:val="none"/>
        </w:rPr>
      </w:pPr>
      <w:r>
        <w:rPr>
          <w:color w:val="auto"/>
          <w:highlight w:val="none"/>
        </w:rPr>
        <w:t xml:space="preserve">1.6.1 </w:t>
      </w:r>
      <w:r>
        <w:rPr>
          <w:rFonts w:hint="eastAsia" w:hAnsi="宋体" w:cs="宋体"/>
          <w:color w:val="auto"/>
          <w:highlight w:val="none"/>
        </w:rPr>
        <w:t>图纸的提供</w:t>
      </w:r>
    </w:p>
    <w:p w14:paraId="520E9E89">
      <w:pPr>
        <w:spacing w:line="360" w:lineRule="auto"/>
        <w:ind w:firstLine="420" w:firstLineChars="200"/>
        <w:rPr>
          <w:color w:val="auto"/>
          <w:highlight w:val="none"/>
        </w:rPr>
      </w:pPr>
      <w:r>
        <w:rPr>
          <w:rFonts w:hint="eastAsia" w:hAnsi="宋体" w:cs="宋体"/>
          <w:color w:val="auto"/>
          <w:highlight w:val="none"/>
        </w:rPr>
        <w:t>发包人向承包人提供图纸的期限：</w:t>
      </w:r>
      <w:r>
        <w:rPr>
          <w:color w:val="auto"/>
          <w:highlight w:val="none"/>
          <w:u w:val="single"/>
        </w:rPr>
        <w:t xml:space="preserve">   </w:t>
      </w:r>
      <w:r>
        <w:rPr>
          <w:rFonts w:hint="eastAsia"/>
          <w:color w:val="auto"/>
          <w:highlight w:val="none"/>
          <w:u w:val="single"/>
        </w:rPr>
        <w:t xml:space="preserve">  </w:t>
      </w:r>
      <w:r>
        <w:rPr>
          <w:rFonts w:hint="eastAsia" w:ascii="宋体" w:hAnsi="宋体"/>
          <w:color w:val="auto"/>
          <w:kern w:val="0"/>
          <w:szCs w:val="21"/>
          <w:u w:val="single" w:color="000000"/>
        </w:rPr>
        <w:t>开工前七日内</w:t>
      </w:r>
      <w:r>
        <w:rPr>
          <w:rFonts w:hint="eastAsia" w:ascii="宋体" w:hAnsi="宋体"/>
          <w:color w:val="auto"/>
          <w:kern w:val="0"/>
          <w:szCs w:val="21"/>
          <w:u w:val="single" w:color="000000"/>
          <w:lang w:val="en-US" w:eastAsia="zh-CN"/>
        </w:rPr>
        <w:t xml:space="preserve">  </w:t>
      </w:r>
      <w:r>
        <w:rPr>
          <w:rFonts w:hint="eastAsia" w:hAnsi="宋体" w:cs="宋体"/>
          <w:color w:val="auto"/>
          <w:highlight w:val="none"/>
        </w:rPr>
        <w:t>；</w:t>
      </w:r>
    </w:p>
    <w:p w14:paraId="03DE64FD">
      <w:pPr>
        <w:spacing w:line="360" w:lineRule="auto"/>
        <w:ind w:firstLine="420" w:firstLineChars="200"/>
        <w:rPr>
          <w:color w:val="auto"/>
          <w:highlight w:val="none"/>
        </w:rPr>
      </w:pPr>
      <w:r>
        <w:rPr>
          <w:rFonts w:hint="eastAsia" w:hAnsi="宋体" w:cs="宋体"/>
          <w:color w:val="auto"/>
          <w:highlight w:val="none"/>
        </w:rPr>
        <w:t>发包人向承包人提供图纸的数量：</w:t>
      </w:r>
      <w:r>
        <w:rPr>
          <w:rFonts w:hint="eastAsia" w:hAnsi="宋体" w:cs="宋体"/>
          <w:color w:val="auto"/>
          <w:highlight w:val="none"/>
          <w:u w:val="single"/>
        </w:rPr>
        <w:t xml:space="preserve"> </w:t>
      </w:r>
      <w:r>
        <w:rPr>
          <w:rFonts w:hint="eastAsia" w:ascii="MingLiU_HKSCS-ExtB" w:cs="MingLiU_HKSCS-ExtB"/>
          <w:color w:val="auto"/>
          <w:highlight w:val="none"/>
          <w:u w:val="single"/>
        </w:rPr>
        <w:t xml:space="preserve">  </w:t>
      </w:r>
      <w:r>
        <w:rPr>
          <w:rFonts w:hint="eastAsia" w:ascii="宋体" w:hAnsi="宋体"/>
          <w:color w:val="auto"/>
          <w:kern w:val="0"/>
          <w:szCs w:val="21"/>
          <w:u w:val="single" w:color="000000"/>
        </w:rPr>
        <w:t>贰</w:t>
      </w:r>
      <w:r>
        <w:rPr>
          <w:rFonts w:hint="eastAsia" w:ascii="MingLiU_HKSCS-ExtB" w:cs="MingLiU_HKSCS-ExtB"/>
          <w:color w:val="auto"/>
          <w:highlight w:val="none"/>
          <w:u w:val="single"/>
        </w:rPr>
        <w:t xml:space="preserve">   </w:t>
      </w:r>
      <w:r>
        <w:rPr>
          <w:rFonts w:hint="eastAsia" w:hAnsi="宋体" w:cs="宋体"/>
          <w:color w:val="auto"/>
          <w:highlight w:val="none"/>
        </w:rPr>
        <w:t>套（承包人需要增加图纸套数的，发包人应代为复制，复制费用由承包人承担）；</w:t>
      </w:r>
    </w:p>
    <w:p w14:paraId="67EB876E">
      <w:pPr>
        <w:spacing w:line="360" w:lineRule="auto"/>
        <w:ind w:firstLine="420" w:firstLineChars="200"/>
        <w:rPr>
          <w:rFonts w:hint="eastAsia" w:eastAsia="宋体"/>
          <w:color w:val="auto"/>
          <w:highlight w:val="none"/>
          <w:lang w:eastAsia="zh-CN"/>
        </w:rPr>
      </w:pPr>
      <w:r>
        <w:rPr>
          <w:rFonts w:hint="eastAsia" w:hAnsi="宋体" w:cs="宋体"/>
          <w:color w:val="auto"/>
          <w:highlight w:val="none"/>
        </w:rPr>
        <w:t>发包人向承包人提供图纸的内容：</w:t>
      </w:r>
      <w:r>
        <w:rPr>
          <w:color w:val="auto"/>
          <w:highlight w:val="none"/>
          <w:u w:val="single"/>
        </w:rPr>
        <w:t xml:space="preserve">   </w:t>
      </w:r>
      <w:r>
        <w:rPr>
          <w:rFonts w:hint="eastAsia"/>
          <w:color w:val="auto"/>
          <w:highlight w:val="none"/>
          <w:u w:val="single"/>
        </w:rPr>
        <w:t xml:space="preserve">   </w:t>
      </w:r>
      <w:r>
        <w:rPr>
          <w:rFonts w:hint="eastAsia" w:ascii="宋体" w:hAnsi="宋体"/>
          <w:color w:val="auto"/>
          <w:spacing w:val="-3"/>
          <w:kern w:val="0"/>
          <w:szCs w:val="21"/>
          <w:u w:val="single" w:color="000000"/>
        </w:rPr>
        <w:t>完整并盖有经审图机构审核合格的施工图纸、设计变更</w:t>
      </w:r>
      <w:r>
        <w:rPr>
          <w:rFonts w:hint="eastAsia" w:ascii="宋体" w:hAnsi="宋体"/>
          <w:color w:val="auto"/>
          <w:kern w:val="0"/>
          <w:szCs w:val="21"/>
          <w:u w:val="single" w:color="000000"/>
        </w:rPr>
        <w:t>后的变更图纸及相关的技术资料</w:t>
      </w:r>
      <w:r>
        <w:rPr>
          <w:rFonts w:hint="eastAsia" w:ascii="宋体" w:hAnsi="宋体"/>
          <w:color w:val="auto"/>
          <w:kern w:val="0"/>
          <w:szCs w:val="21"/>
          <w:u w:val="single" w:color="000000"/>
          <w:lang w:eastAsia="zh-CN"/>
        </w:rPr>
        <w:t>。</w:t>
      </w:r>
    </w:p>
    <w:p w14:paraId="4758BA36">
      <w:pPr>
        <w:spacing w:line="360" w:lineRule="auto"/>
        <w:ind w:firstLine="420" w:firstLineChars="200"/>
        <w:rPr>
          <w:color w:val="auto"/>
          <w:highlight w:val="none"/>
        </w:rPr>
      </w:pPr>
      <w:r>
        <w:rPr>
          <w:color w:val="auto"/>
          <w:highlight w:val="none"/>
        </w:rPr>
        <w:t xml:space="preserve">1.6.4 </w:t>
      </w:r>
      <w:r>
        <w:rPr>
          <w:rFonts w:hint="eastAsia" w:hAnsi="宋体" w:cs="宋体"/>
          <w:color w:val="auto"/>
          <w:highlight w:val="none"/>
        </w:rPr>
        <w:t>承包人文件</w:t>
      </w:r>
    </w:p>
    <w:p w14:paraId="3982AE8B">
      <w:pPr>
        <w:spacing w:line="360" w:lineRule="auto"/>
        <w:ind w:firstLine="420" w:firstLineChars="200"/>
        <w:jc w:val="left"/>
        <w:rPr>
          <w:color w:val="auto"/>
          <w:highlight w:val="none"/>
          <w:u w:val="single"/>
        </w:rPr>
      </w:pPr>
      <w:r>
        <w:rPr>
          <w:rFonts w:hint="eastAsia" w:hAnsi="宋体" w:cs="宋体"/>
          <w:color w:val="auto"/>
          <w:highlight w:val="none"/>
        </w:rPr>
        <w:t>需要由承包人提供的文件，包括：</w:t>
      </w:r>
      <w:r>
        <w:rPr>
          <w:color w:val="auto"/>
          <w:highlight w:val="none"/>
          <w:u w:val="single"/>
        </w:rPr>
        <w:t xml:space="preserve">    </w:t>
      </w:r>
      <w:r>
        <w:rPr>
          <w:rFonts w:hint="eastAsia" w:ascii="宋体" w:hAnsi="宋体"/>
          <w:color w:val="auto"/>
          <w:kern w:val="0"/>
          <w:szCs w:val="21"/>
          <w:u w:val="single" w:color="000000"/>
        </w:rPr>
        <w:t>资质证书、营业执照副本、安全生产许可证、组织机</w:t>
      </w:r>
      <w:r>
        <w:rPr>
          <w:rFonts w:hint="eastAsia" w:ascii="宋体" w:hAnsi="宋体"/>
          <w:color w:val="auto"/>
          <w:spacing w:val="-2"/>
          <w:kern w:val="0"/>
          <w:szCs w:val="21"/>
          <w:u w:val="single" w:color="000000"/>
        </w:rPr>
        <w:t>构代码证副本及税务登记证复印件并加章单位公章</w:t>
      </w:r>
      <w:r>
        <w:rPr>
          <w:color w:val="auto"/>
          <w:highlight w:val="none"/>
          <w:u w:val="single"/>
        </w:rPr>
        <w:t xml:space="preserve">          </w:t>
      </w:r>
      <w:r>
        <w:rPr>
          <w:rFonts w:hint="eastAsia" w:hAnsi="宋体" w:cs="宋体"/>
          <w:color w:val="auto"/>
          <w:highlight w:val="none"/>
        </w:rPr>
        <w:t>；</w:t>
      </w:r>
    </w:p>
    <w:p w14:paraId="18D60B3B">
      <w:pPr>
        <w:spacing w:line="360" w:lineRule="auto"/>
        <w:ind w:firstLine="420" w:firstLineChars="200"/>
        <w:rPr>
          <w:color w:val="auto"/>
          <w:highlight w:val="none"/>
        </w:rPr>
      </w:pPr>
      <w:r>
        <w:rPr>
          <w:rFonts w:hint="eastAsia" w:hAnsi="宋体" w:cs="宋体"/>
          <w:color w:val="auto"/>
          <w:highlight w:val="none"/>
        </w:rPr>
        <w:t>承包人提供的文件的期限为：</w:t>
      </w:r>
      <w:r>
        <w:rPr>
          <w:color w:val="auto"/>
          <w:highlight w:val="none"/>
          <w:u w:val="single"/>
        </w:rPr>
        <w:t xml:space="preserve">   </w:t>
      </w:r>
      <w:r>
        <w:rPr>
          <w:rFonts w:hint="eastAsia" w:ascii="宋体" w:hAnsi="宋体"/>
          <w:color w:val="auto"/>
          <w:spacing w:val="-2"/>
          <w:kern w:val="0"/>
          <w:szCs w:val="21"/>
          <w:u w:val="single" w:color="000000"/>
        </w:rPr>
        <w:t>本合同签订后七日内</w:t>
      </w:r>
      <w:r>
        <w:rPr>
          <w:color w:val="auto"/>
          <w:highlight w:val="none"/>
          <w:u w:val="single"/>
        </w:rPr>
        <w:t xml:space="preserve">                  </w:t>
      </w:r>
      <w:r>
        <w:rPr>
          <w:rFonts w:hAnsi="宋体"/>
          <w:color w:val="auto"/>
          <w:highlight w:val="none"/>
          <w:u w:val="single"/>
        </w:rPr>
        <w:t xml:space="preserve">  </w:t>
      </w:r>
      <w:r>
        <w:rPr>
          <w:rFonts w:hint="eastAsia" w:hAnsi="宋体" w:cs="宋体"/>
          <w:color w:val="auto"/>
          <w:highlight w:val="none"/>
        </w:rPr>
        <w:t>；</w:t>
      </w:r>
    </w:p>
    <w:p w14:paraId="79330893">
      <w:pPr>
        <w:spacing w:line="360" w:lineRule="auto"/>
        <w:ind w:firstLine="420" w:firstLineChars="200"/>
        <w:rPr>
          <w:color w:val="auto"/>
          <w:highlight w:val="none"/>
        </w:rPr>
      </w:pPr>
      <w:r>
        <w:rPr>
          <w:rFonts w:hint="eastAsia" w:hAnsi="宋体" w:cs="宋体"/>
          <w:color w:val="auto"/>
          <w:highlight w:val="none"/>
        </w:rPr>
        <w:t>承包人提供的文件的数量为：</w:t>
      </w:r>
      <w:r>
        <w:rPr>
          <w:color w:val="auto"/>
          <w:highlight w:val="none"/>
          <w:u w:val="single"/>
        </w:rPr>
        <w:t xml:space="preserve">    </w:t>
      </w:r>
      <w:r>
        <w:rPr>
          <w:rFonts w:hint="eastAsia" w:ascii="宋体" w:hAnsi="宋体"/>
          <w:color w:val="auto"/>
          <w:spacing w:val="-2"/>
          <w:kern w:val="0"/>
          <w:szCs w:val="21"/>
          <w:u w:val="single" w:color="000000"/>
        </w:rPr>
        <w:t>一式叁份</w:t>
      </w:r>
      <w:r>
        <w:rPr>
          <w:color w:val="auto"/>
          <w:highlight w:val="none"/>
          <w:u w:val="single"/>
        </w:rPr>
        <w:t xml:space="preserve">                </w:t>
      </w:r>
      <w:r>
        <w:rPr>
          <w:rFonts w:hint="eastAsia" w:hAnsi="宋体" w:cs="宋体"/>
          <w:color w:val="auto"/>
          <w:highlight w:val="none"/>
        </w:rPr>
        <w:t>；</w:t>
      </w:r>
    </w:p>
    <w:p w14:paraId="555247B6">
      <w:pPr>
        <w:spacing w:line="360" w:lineRule="auto"/>
        <w:ind w:firstLine="420" w:firstLineChars="200"/>
        <w:rPr>
          <w:color w:val="auto"/>
          <w:highlight w:val="none"/>
        </w:rPr>
      </w:pPr>
      <w:r>
        <w:rPr>
          <w:rFonts w:hint="eastAsia" w:hAnsi="宋体" w:cs="宋体"/>
          <w:color w:val="auto"/>
          <w:highlight w:val="none"/>
        </w:rPr>
        <w:t>承包人提供的文件的形式为：</w:t>
      </w:r>
      <w:r>
        <w:rPr>
          <w:color w:val="auto"/>
          <w:highlight w:val="none"/>
          <w:u w:val="single"/>
        </w:rPr>
        <w:t xml:space="preserve"> </w:t>
      </w:r>
      <w:r>
        <w:rPr>
          <w:rFonts w:hAnsi="宋体"/>
          <w:color w:val="auto"/>
          <w:highlight w:val="none"/>
          <w:u w:val="single"/>
        </w:rPr>
        <w:t xml:space="preserve">    </w:t>
      </w:r>
      <w:r>
        <w:rPr>
          <w:rFonts w:hint="eastAsia" w:ascii="宋体" w:hAnsi="宋体"/>
          <w:color w:val="auto"/>
          <w:spacing w:val="-3"/>
          <w:kern w:val="0"/>
          <w:szCs w:val="21"/>
          <w:u w:val="single" w:color="000000"/>
        </w:rPr>
        <w:t>书面</w:t>
      </w:r>
      <w:r>
        <w:rPr>
          <w:rFonts w:hAnsi="宋体"/>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Ansi="宋体"/>
          <w:color w:val="auto"/>
          <w:highlight w:val="none"/>
          <w:u w:val="single"/>
        </w:rPr>
        <w:t xml:space="preserve">  </w:t>
      </w:r>
      <w:r>
        <w:rPr>
          <w:rFonts w:hint="eastAsia" w:hAnsi="宋体" w:cs="宋体"/>
          <w:color w:val="auto"/>
          <w:highlight w:val="none"/>
        </w:rPr>
        <w:t>；</w:t>
      </w:r>
    </w:p>
    <w:p w14:paraId="23A7FF3D">
      <w:pPr>
        <w:spacing w:line="360" w:lineRule="auto"/>
        <w:ind w:firstLine="420" w:firstLineChars="200"/>
        <w:rPr>
          <w:color w:val="auto"/>
          <w:highlight w:val="none"/>
        </w:rPr>
      </w:pPr>
      <w:r>
        <w:rPr>
          <w:rFonts w:hint="eastAsia" w:hAnsi="宋体" w:cs="宋体"/>
          <w:color w:val="auto"/>
          <w:highlight w:val="none"/>
        </w:rPr>
        <w:t>发包人审批承包人文件的期限：</w:t>
      </w:r>
      <w:r>
        <w:rPr>
          <w:color w:val="auto"/>
          <w:highlight w:val="none"/>
          <w:u w:val="single"/>
        </w:rPr>
        <w:t xml:space="preserve">  </w:t>
      </w:r>
      <w:r>
        <w:rPr>
          <w:rFonts w:hint="eastAsia" w:ascii="宋体" w:hAnsi="宋体"/>
          <w:color w:val="auto"/>
          <w:spacing w:val="-2"/>
          <w:kern w:val="0"/>
          <w:szCs w:val="21"/>
          <w:u w:val="single" w:color="000000"/>
        </w:rPr>
        <w:t>收到文件后七日内</w:t>
      </w:r>
      <w:r>
        <w:rPr>
          <w:color w:val="auto"/>
          <w:highlight w:val="none"/>
          <w:u w:val="single"/>
        </w:rPr>
        <w:t xml:space="preserve">    </w:t>
      </w:r>
      <w:r>
        <w:rPr>
          <w:rFonts w:hAnsi="宋体"/>
          <w:color w:val="auto"/>
          <w:highlight w:val="none"/>
          <w:u w:val="single"/>
        </w:rPr>
        <w:t xml:space="preserve">    </w:t>
      </w:r>
      <w:r>
        <w:rPr>
          <w:rFonts w:hint="eastAsia" w:hAnsi="宋体" w:cs="宋体"/>
          <w:color w:val="auto"/>
          <w:highlight w:val="none"/>
        </w:rPr>
        <w:t>。</w:t>
      </w:r>
    </w:p>
    <w:p w14:paraId="34B8C6F0">
      <w:pPr>
        <w:spacing w:line="360" w:lineRule="auto"/>
        <w:ind w:firstLine="420" w:firstLineChars="200"/>
        <w:rPr>
          <w:color w:val="auto"/>
          <w:highlight w:val="none"/>
        </w:rPr>
      </w:pPr>
      <w:r>
        <w:rPr>
          <w:color w:val="auto"/>
          <w:highlight w:val="none"/>
        </w:rPr>
        <w:t xml:space="preserve">1.6.5 </w:t>
      </w:r>
      <w:r>
        <w:rPr>
          <w:rFonts w:hint="eastAsia" w:hAnsi="宋体" w:cs="宋体"/>
          <w:color w:val="auto"/>
          <w:highlight w:val="none"/>
        </w:rPr>
        <w:t>现场图纸准备</w:t>
      </w:r>
    </w:p>
    <w:p w14:paraId="61869505">
      <w:pPr>
        <w:spacing w:line="360" w:lineRule="auto"/>
        <w:ind w:firstLine="420" w:firstLineChars="200"/>
        <w:rPr>
          <w:color w:val="auto"/>
          <w:highlight w:val="none"/>
        </w:rPr>
      </w:pPr>
      <w:r>
        <w:rPr>
          <w:rFonts w:hint="eastAsia" w:hAnsi="宋体" w:cs="宋体"/>
          <w:color w:val="auto"/>
          <w:highlight w:val="none"/>
        </w:rPr>
        <w:t>关于现场图纸准备的约定：</w:t>
      </w:r>
      <w:r>
        <w:rPr>
          <w:color w:val="auto"/>
          <w:highlight w:val="none"/>
          <w:u w:val="single"/>
        </w:rPr>
        <w:t xml:space="preserve">  </w:t>
      </w:r>
      <w:r>
        <w:rPr>
          <w:rFonts w:hint="eastAsia" w:ascii="宋体" w:hAnsi="宋体"/>
          <w:color w:val="auto"/>
          <w:kern w:val="0"/>
          <w:szCs w:val="21"/>
          <w:u w:val="single" w:color="000000"/>
        </w:rPr>
        <w:t>发包人向承包人提供图纸后在施工现场不够使用时由承包人自行复印，图纸未经发包人允许不得向第三人借阅；承包人应在施工现场另行保存一套完整的图纸供发包人、监理人及有关人员进行工程检查时使用</w:t>
      </w:r>
      <w:r>
        <w:rPr>
          <w:color w:val="auto"/>
          <w:highlight w:val="none"/>
          <w:u w:val="single"/>
        </w:rPr>
        <w:t xml:space="preserve"> </w:t>
      </w:r>
      <w:r>
        <w:rPr>
          <w:rFonts w:hint="eastAsia" w:hAnsi="宋体"/>
          <w:color w:val="auto"/>
          <w:highlight w:val="none"/>
          <w:u w:val="single"/>
        </w:rPr>
        <w:t xml:space="preserve">    </w:t>
      </w:r>
      <w:r>
        <w:rPr>
          <w:rFonts w:hAnsi="宋体"/>
          <w:color w:val="auto"/>
          <w:highlight w:val="none"/>
          <w:u w:val="single"/>
        </w:rPr>
        <w:t xml:space="preserve">  </w:t>
      </w:r>
      <w:r>
        <w:rPr>
          <w:rFonts w:hint="eastAsia" w:hAnsi="宋体" w:cs="宋体"/>
          <w:color w:val="auto"/>
          <w:highlight w:val="none"/>
        </w:rPr>
        <w:t>。</w:t>
      </w:r>
    </w:p>
    <w:p w14:paraId="358B1316">
      <w:pPr>
        <w:pStyle w:val="5"/>
        <w:rPr>
          <w:color w:val="auto"/>
          <w:highlight w:val="none"/>
        </w:rPr>
      </w:pPr>
      <w:bookmarkStart w:id="764" w:name="_Toc78449786"/>
      <w:bookmarkStart w:id="765" w:name="_Toc24741"/>
      <w:bookmarkStart w:id="766" w:name="_Toc389065264"/>
      <w:bookmarkStart w:id="767" w:name="_Toc373478345"/>
      <w:bookmarkStart w:id="768" w:name="_Toc854"/>
      <w:bookmarkStart w:id="769" w:name="_Toc110523719"/>
      <w:bookmarkStart w:id="770" w:name="_Toc373227698"/>
      <w:bookmarkStart w:id="771" w:name="_Toc407135200"/>
      <w:r>
        <w:rPr>
          <w:color w:val="auto"/>
          <w:highlight w:val="none"/>
        </w:rPr>
        <w:t xml:space="preserve">1.7 </w:t>
      </w:r>
      <w:r>
        <w:rPr>
          <w:rFonts w:hint="eastAsia" w:hAnsi="宋体" w:cs="黑体"/>
          <w:color w:val="auto"/>
          <w:highlight w:val="none"/>
        </w:rPr>
        <w:t>联络</w:t>
      </w:r>
      <w:bookmarkEnd w:id="764"/>
      <w:bookmarkEnd w:id="765"/>
      <w:bookmarkEnd w:id="766"/>
      <w:bookmarkEnd w:id="767"/>
      <w:bookmarkEnd w:id="768"/>
      <w:bookmarkEnd w:id="769"/>
      <w:bookmarkEnd w:id="770"/>
      <w:bookmarkEnd w:id="771"/>
    </w:p>
    <w:p w14:paraId="2551DA26">
      <w:pPr>
        <w:spacing w:before="187" w:line="336" w:lineRule="auto"/>
        <w:ind w:left="118" w:right="148" w:firstLine="419"/>
        <w:jc w:val="left"/>
        <w:rPr>
          <w:rFonts w:hint="eastAsia" w:ascii="宋体" w:hAnsi="宋体"/>
          <w:color w:val="auto"/>
          <w:kern w:val="0"/>
          <w:szCs w:val="21"/>
        </w:rPr>
      </w:pPr>
      <w:bookmarkStart w:id="772" w:name="_Toc407135201"/>
      <w:bookmarkStart w:id="773" w:name="_Toc1387231545"/>
      <w:bookmarkStart w:id="774" w:name="_Toc10879"/>
      <w:bookmarkStart w:id="775" w:name="_Toc24324"/>
      <w:bookmarkStart w:id="776" w:name="_Toc78449787"/>
      <w:bookmarkStart w:id="777" w:name="_Toc389065265"/>
      <w:bookmarkStart w:id="778" w:name="_Toc373227699"/>
      <w:bookmarkStart w:id="779" w:name="_Toc373478346"/>
      <w:r>
        <w:rPr>
          <w:rFonts w:ascii="Times New Roman" w:hAnsi="Times New Roman" w:eastAsia="Times New Roman"/>
          <w:color w:val="auto"/>
          <w:kern w:val="0"/>
          <w:szCs w:val="21"/>
        </w:rPr>
        <w:t>1.7.1</w:t>
      </w:r>
      <w:r>
        <w:rPr>
          <w:rFonts w:hint="eastAsia" w:ascii="宋体" w:hAnsi="宋体"/>
          <w:color w:val="auto"/>
          <w:kern w:val="0"/>
          <w:szCs w:val="21"/>
        </w:rPr>
        <w:t>发包人和承包人应当在</w:t>
      </w:r>
      <w:r>
        <w:rPr>
          <w:rFonts w:ascii="Times New Roman" w:hAnsi="Times New Roman" w:eastAsia="Times New Roman"/>
          <w:color w:val="auto"/>
          <w:kern w:val="0"/>
          <w:szCs w:val="21"/>
          <w:u w:val="single" w:color="000000"/>
        </w:rPr>
        <w:t>3</w:t>
      </w:r>
      <w:r>
        <w:rPr>
          <w:rFonts w:hint="eastAsia" w:ascii="宋体" w:hAnsi="宋体"/>
          <w:color w:val="auto"/>
          <w:spacing w:val="-6"/>
          <w:kern w:val="0"/>
          <w:szCs w:val="21"/>
        </w:rPr>
        <w:t>天内将与合同有关的通知、批准、证明、证书、指示、指</w:t>
      </w:r>
      <w:r>
        <w:rPr>
          <w:rFonts w:hint="eastAsia" w:ascii="宋体" w:hAnsi="宋体"/>
          <w:color w:val="auto"/>
          <w:kern w:val="0"/>
          <w:szCs w:val="21"/>
        </w:rPr>
        <w:t>令、要求、请求、同意、意见、确定和决定等书面函件送达对方当事人。</w:t>
      </w:r>
    </w:p>
    <w:p w14:paraId="54141CFB">
      <w:pPr>
        <w:tabs>
          <w:tab w:val="left" w:pos="3269"/>
          <w:tab w:val="left" w:pos="3478"/>
          <w:tab w:val="left" w:pos="3689"/>
          <w:tab w:val="left" w:pos="4635"/>
          <w:tab w:val="left" w:pos="5578"/>
          <w:tab w:val="left" w:pos="5790"/>
          <w:tab w:val="left" w:pos="6418"/>
          <w:tab w:val="left" w:pos="7259"/>
        </w:tabs>
        <w:spacing w:before="49" w:line="350" w:lineRule="auto"/>
        <w:ind w:left="538" w:right="1473"/>
        <w:jc w:val="left"/>
        <w:rPr>
          <w:rFonts w:hint="eastAsia" w:ascii="宋体" w:hAnsi="宋体"/>
          <w:color w:val="auto"/>
          <w:kern w:val="0"/>
          <w:szCs w:val="21"/>
        </w:rPr>
      </w:pPr>
      <w:r>
        <w:rPr>
          <w:rFonts w:ascii="Times New Roman" w:hAnsi="Times New Roman" w:eastAsia="Times New Roman"/>
          <w:color w:val="auto"/>
          <w:kern w:val="0"/>
          <w:szCs w:val="21"/>
        </w:rPr>
        <w:t>1.7.2</w:t>
      </w:r>
      <w:r>
        <w:rPr>
          <w:rFonts w:hint="eastAsia" w:ascii="宋体" w:hAnsi="宋体"/>
          <w:color w:val="auto"/>
          <w:spacing w:val="-2"/>
          <w:kern w:val="0"/>
          <w:szCs w:val="21"/>
        </w:rPr>
        <w:t>发包人接收文件的地点：</w:t>
      </w:r>
      <w:r>
        <w:rPr>
          <w:rFonts w:hint="eastAsia" w:ascii="宋体" w:hAnsi="宋体"/>
          <w:color w:val="auto"/>
          <w:spacing w:val="-2"/>
          <w:kern w:val="0"/>
          <w:szCs w:val="21"/>
        </w:rPr>
        <w:tab/>
      </w:r>
      <w:r>
        <w:rPr>
          <w:rFonts w:hint="eastAsia" w:ascii="宋体" w:hAnsi="宋体"/>
          <w:color w:val="auto"/>
          <w:spacing w:val="-2"/>
          <w:kern w:val="0"/>
          <w:szCs w:val="21"/>
          <w:u w:val="single" w:color="000000"/>
        </w:rPr>
        <w:t>发包人设在施工现场的业主办公室</w:t>
      </w:r>
      <w:r>
        <w:rPr>
          <w:rFonts w:hint="eastAsia" w:ascii="宋体" w:hAnsi="宋体"/>
          <w:color w:val="auto"/>
          <w:kern w:val="0"/>
          <w:szCs w:val="21"/>
        </w:rPr>
        <w:t>；</w:t>
      </w:r>
    </w:p>
    <w:p w14:paraId="1257B49C">
      <w:pPr>
        <w:tabs>
          <w:tab w:val="left" w:pos="3269"/>
          <w:tab w:val="left" w:pos="3478"/>
          <w:tab w:val="left" w:pos="3689"/>
          <w:tab w:val="left" w:pos="4635"/>
          <w:tab w:val="left" w:pos="5578"/>
          <w:tab w:val="left" w:pos="5790"/>
          <w:tab w:val="left" w:pos="6418"/>
          <w:tab w:val="left" w:pos="7259"/>
        </w:tabs>
        <w:spacing w:before="49" w:line="350" w:lineRule="auto"/>
        <w:ind w:left="538" w:right="1473"/>
        <w:jc w:val="left"/>
        <w:rPr>
          <w:rFonts w:hint="eastAsia" w:ascii="宋体" w:hAnsi="宋体"/>
          <w:color w:val="auto"/>
          <w:kern w:val="0"/>
          <w:szCs w:val="21"/>
        </w:rPr>
      </w:pPr>
      <w:r>
        <w:rPr>
          <w:rFonts w:hint="eastAsia" w:ascii="宋体" w:hAnsi="宋体"/>
          <w:color w:val="auto"/>
          <w:spacing w:val="-2"/>
          <w:kern w:val="0"/>
          <w:szCs w:val="21"/>
        </w:rPr>
        <w:t>发包人指定的接收人为：</w:t>
      </w:r>
      <w:r>
        <w:rPr>
          <w:rFonts w:hint="eastAsia" w:ascii="宋体" w:hAnsi="宋体"/>
          <w:color w:val="auto"/>
          <w:spacing w:val="-2"/>
          <w:kern w:val="0"/>
          <w:szCs w:val="21"/>
          <w:u w:val="single" w:color="000000"/>
        </w:rPr>
        <w:t>发包人现场代表</w:t>
      </w:r>
      <w:r>
        <w:rPr>
          <w:rFonts w:hint="eastAsia" w:ascii="宋体" w:hAnsi="宋体"/>
          <w:color w:val="auto"/>
          <w:kern w:val="0"/>
          <w:szCs w:val="21"/>
        </w:rPr>
        <w:t>。</w:t>
      </w:r>
    </w:p>
    <w:p w14:paraId="10CF91BB">
      <w:pPr>
        <w:tabs>
          <w:tab w:val="left" w:pos="3269"/>
          <w:tab w:val="left" w:pos="3478"/>
          <w:tab w:val="left" w:pos="3689"/>
          <w:tab w:val="left" w:pos="4635"/>
          <w:tab w:val="left" w:pos="5578"/>
          <w:tab w:val="left" w:pos="5790"/>
          <w:tab w:val="left" w:pos="6418"/>
          <w:tab w:val="left" w:pos="7259"/>
        </w:tabs>
        <w:spacing w:before="49" w:line="350" w:lineRule="auto"/>
        <w:ind w:left="538" w:right="1473"/>
        <w:jc w:val="left"/>
        <w:rPr>
          <w:rFonts w:hint="eastAsia" w:ascii="宋体" w:hAnsi="宋体"/>
          <w:color w:val="auto"/>
          <w:kern w:val="0"/>
          <w:szCs w:val="21"/>
        </w:rPr>
      </w:pPr>
      <w:r>
        <w:rPr>
          <w:rFonts w:hint="eastAsia" w:ascii="宋体" w:hAnsi="宋体"/>
          <w:color w:val="auto"/>
          <w:spacing w:val="-2"/>
          <w:kern w:val="0"/>
          <w:szCs w:val="21"/>
        </w:rPr>
        <w:t>承包人接收文件的地点：</w:t>
      </w:r>
      <w:r>
        <w:rPr>
          <w:rFonts w:hint="eastAsia" w:ascii="宋体" w:hAnsi="宋体"/>
          <w:color w:val="auto"/>
          <w:spacing w:val="-2"/>
          <w:kern w:val="0"/>
          <w:szCs w:val="21"/>
          <w:u w:val="single" w:color="000000"/>
        </w:rPr>
        <w:t>项目经理部办公室</w:t>
      </w:r>
      <w:r>
        <w:rPr>
          <w:rFonts w:hint="eastAsia" w:ascii="宋体" w:hAnsi="宋体"/>
          <w:color w:val="auto"/>
          <w:kern w:val="0"/>
          <w:szCs w:val="21"/>
        </w:rPr>
        <w:t>；</w:t>
      </w:r>
    </w:p>
    <w:p w14:paraId="183A7BC9">
      <w:pPr>
        <w:tabs>
          <w:tab w:val="left" w:pos="3269"/>
          <w:tab w:val="left" w:pos="3478"/>
          <w:tab w:val="left" w:pos="3689"/>
          <w:tab w:val="left" w:pos="4635"/>
          <w:tab w:val="left" w:pos="5578"/>
          <w:tab w:val="left" w:pos="5790"/>
          <w:tab w:val="left" w:pos="6418"/>
          <w:tab w:val="left" w:pos="7259"/>
        </w:tabs>
        <w:spacing w:before="49" w:line="350" w:lineRule="auto"/>
        <w:ind w:left="538" w:right="1473"/>
        <w:jc w:val="left"/>
        <w:rPr>
          <w:rFonts w:hint="eastAsia" w:ascii="宋体" w:hAnsi="宋体"/>
          <w:color w:val="auto"/>
          <w:kern w:val="0"/>
          <w:szCs w:val="21"/>
        </w:rPr>
      </w:pPr>
      <w:r>
        <w:rPr>
          <w:rFonts w:hint="eastAsia" w:ascii="宋体" w:hAnsi="宋体"/>
          <w:color w:val="auto"/>
          <w:spacing w:val="-2"/>
          <w:kern w:val="0"/>
          <w:szCs w:val="21"/>
        </w:rPr>
        <w:t>承包人指定的接收人为：</w:t>
      </w:r>
      <w:r>
        <w:rPr>
          <w:rFonts w:hint="eastAsia" w:ascii="宋体" w:hAnsi="宋体"/>
          <w:color w:val="auto"/>
          <w:spacing w:val="-2"/>
          <w:kern w:val="0"/>
          <w:szCs w:val="21"/>
          <w:u w:val="single" w:color="000000"/>
        </w:rPr>
        <w:t>承包人现场项目经理</w:t>
      </w:r>
      <w:r>
        <w:rPr>
          <w:rFonts w:hint="eastAsia" w:ascii="宋体" w:hAnsi="宋体"/>
          <w:color w:val="auto"/>
          <w:kern w:val="0"/>
          <w:szCs w:val="21"/>
        </w:rPr>
        <w:t>。</w:t>
      </w:r>
    </w:p>
    <w:p w14:paraId="700B4265">
      <w:pPr>
        <w:tabs>
          <w:tab w:val="left" w:pos="3269"/>
          <w:tab w:val="left" w:pos="3478"/>
          <w:tab w:val="left" w:pos="3689"/>
          <w:tab w:val="left" w:pos="4635"/>
          <w:tab w:val="left" w:pos="5578"/>
          <w:tab w:val="left" w:pos="5790"/>
          <w:tab w:val="left" w:pos="6418"/>
          <w:tab w:val="left" w:pos="7259"/>
        </w:tabs>
        <w:spacing w:before="49" w:line="350" w:lineRule="auto"/>
        <w:ind w:left="538" w:right="1473"/>
        <w:jc w:val="left"/>
        <w:rPr>
          <w:rFonts w:hint="eastAsia" w:ascii="宋体" w:hAnsi="宋体"/>
          <w:color w:val="auto"/>
          <w:kern w:val="0"/>
          <w:szCs w:val="21"/>
        </w:rPr>
      </w:pPr>
      <w:r>
        <w:rPr>
          <w:rFonts w:hint="eastAsia" w:ascii="宋体" w:hAnsi="宋体"/>
          <w:color w:val="auto"/>
          <w:spacing w:val="-2"/>
          <w:kern w:val="0"/>
          <w:szCs w:val="21"/>
        </w:rPr>
        <w:t>监理人接收文件的地点：</w:t>
      </w:r>
      <w:r>
        <w:rPr>
          <w:rFonts w:hint="eastAsia" w:ascii="宋体" w:hAnsi="宋体"/>
          <w:color w:val="auto"/>
          <w:spacing w:val="-2"/>
          <w:kern w:val="0"/>
          <w:szCs w:val="21"/>
          <w:u w:val="single" w:color="000000"/>
        </w:rPr>
        <w:t>施工现场</w:t>
      </w:r>
      <w:r>
        <w:rPr>
          <w:rFonts w:hint="eastAsia" w:ascii="宋体" w:hAnsi="宋体"/>
          <w:color w:val="auto"/>
          <w:spacing w:val="-2"/>
          <w:kern w:val="0"/>
          <w:szCs w:val="21"/>
        </w:rPr>
        <w:tab/>
      </w:r>
      <w:r>
        <w:rPr>
          <w:rFonts w:hint="eastAsia" w:ascii="宋体" w:hAnsi="宋体"/>
          <w:color w:val="auto"/>
          <w:kern w:val="0"/>
          <w:szCs w:val="21"/>
        </w:rPr>
        <w:t>；</w:t>
      </w:r>
    </w:p>
    <w:p w14:paraId="0A41B6EA">
      <w:pPr>
        <w:tabs>
          <w:tab w:val="left" w:pos="3269"/>
        </w:tabs>
        <w:spacing w:before="34"/>
        <w:ind w:left="538" w:right="148"/>
        <w:jc w:val="left"/>
        <w:rPr>
          <w:rFonts w:hint="eastAsia" w:ascii="宋体" w:hAnsi="宋体"/>
          <w:color w:val="auto"/>
          <w:kern w:val="0"/>
          <w:szCs w:val="21"/>
        </w:rPr>
      </w:pPr>
      <w:r>
        <w:rPr>
          <w:rFonts w:hint="eastAsia" w:ascii="宋体" w:hAnsi="宋体"/>
          <w:color w:val="auto"/>
          <w:spacing w:val="-2"/>
          <w:kern w:val="0"/>
          <w:szCs w:val="21"/>
        </w:rPr>
        <w:t>监理人指定的接收人为：</w:t>
      </w:r>
      <w:r>
        <w:rPr>
          <w:rFonts w:hint="eastAsia" w:ascii="宋体" w:hAnsi="宋体"/>
          <w:color w:val="auto"/>
          <w:spacing w:val="-2"/>
          <w:kern w:val="0"/>
          <w:szCs w:val="21"/>
          <w:u w:val="single" w:color="000000"/>
        </w:rPr>
        <w:t>项目总监</w:t>
      </w:r>
      <w:r>
        <w:rPr>
          <w:rFonts w:hint="eastAsia" w:ascii="宋体" w:hAnsi="宋体"/>
          <w:color w:val="auto"/>
          <w:kern w:val="0"/>
          <w:szCs w:val="21"/>
        </w:rPr>
        <w:t>。</w:t>
      </w:r>
    </w:p>
    <w:p w14:paraId="74010E90">
      <w:pPr>
        <w:pStyle w:val="5"/>
        <w:rPr>
          <w:color w:val="auto"/>
          <w:highlight w:val="none"/>
        </w:rPr>
      </w:pPr>
      <w:r>
        <w:rPr>
          <w:color w:val="auto"/>
          <w:highlight w:val="none"/>
        </w:rPr>
        <w:t xml:space="preserve">1.10 </w:t>
      </w:r>
      <w:r>
        <w:rPr>
          <w:rFonts w:hint="eastAsia" w:hAnsi="宋体" w:cs="黑体"/>
          <w:color w:val="auto"/>
          <w:highlight w:val="none"/>
        </w:rPr>
        <w:t>交通运输</w:t>
      </w:r>
      <w:bookmarkEnd w:id="772"/>
      <w:bookmarkEnd w:id="773"/>
      <w:bookmarkEnd w:id="774"/>
      <w:bookmarkEnd w:id="775"/>
      <w:bookmarkEnd w:id="776"/>
      <w:bookmarkEnd w:id="777"/>
      <w:bookmarkEnd w:id="778"/>
      <w:bookmarkEnd w:id="779"/>
    </w:p>
    <w:p w14:paraId="27361836">
      <w:pPr>
        <w:spacing w:before="187"/>
        <w:ind w:left="538" w:right="148"/>
        <w:jc w:val="left"/>
        <w:rPr>
          <w:rFonts w:hint="eastAsia" w:ascii="宋体" w:hAnsi="宋体"/>
          <w:color w:val="auto"/>
          <w:kern w:val="0"/>
          <w:szCs w:val="21"/>
        </w:rPr>
      </w:pPr>
      <w:bookmarkStart w:id="780" w:name="_Toc318581157"/>
      <w:r>
        <w:rPr>
          <w:rFonts w:ascii="Times New Roman" w:hAnsi="Times New Roman" w:eastAsia="Times New Roman"/>
          <w:color w:val="auto"/>
          <w:kern w:val="0"/>
          <w:szCs w:val="21"/>
        </w:rPr>
        <w:t>1.10.1</w:t>
      </w:r>
      <w:r>
        <w:rPr>
          <w:rFonts w:hint="eastAsia" w:ascii="宋体" w:hAnsi="宋体"/>
          <w:color w:val="auto"/>
          <w:kern w:val="0"/>
          <w:szCs w:val="21"/>
        </w:rPr>
        <w:t>出入现场的权利</w:t>
      </w:r>
    </w:p>
    <w:p w14:paraId="3EF249B5">
      <w:pPr>
        <w:tabs>
          <w:tab w:val="left" w:pos="3586"/>
          <w:tab w:val="left" w:pos="7470"/>
        </w:tabs>
        <w:spacing w:before="117"/>
        <w:ind w:left="538" w:right="148"/>
        <w:jc w:val="left"/>
        <w:rPr>
          <w:rFonts w:hint="eastAsia" w:ascii="宋体" w:hAnsi="宋体"/>
          <w:color w:val="auto"/>
          <w:kern w:val="0"/>
          <w:szCs w:val="21"/>
        </w:rPr>
      </w:pPr>
      <w:r>
        <w:rPr>
          <w:rFonts w:hint="eastAsia" w:ascii="宋体" w:hAnsi="宋体"/>
          <w:color w:val="auto"/>
          <w:spacing w:val="-2"/>
          <w:kern w:val="0"/>
          <w:szCs w:val="21"/>
        </w:rPr>
        <w:t>关于出入现场的权利的约定：</w:t>
      </w:r>
      <w:r>
        <w:rPr>
          <w:rFonts w:hint="eastAsia" w:ascii="宋体" w:hAnsi="宋体"/>
          <w:color w:val="auto"/>
          <w:spacing w:val="-2"/>
          <w:kern w:val="0"/>
          <w:szCs w:val="21"/>
          <w:u w:val="single" w:color="000000"/>
        </w:rPr>
        <w:t>按本合同《通用条款》第</w:t>
      </w:r>
      <w:r>
        <w:rPr>
          <w:rFonts w:ascii="Times New Roman" w:hAnsi="Times New Roman" w:eastAsia="Times New Roman"/>
          <w:color w:val="auto"/>
          <w:spacing w:val="-1"/>
          <w:kern w:val="0"/>
          <w:szCs w:val="21"/>
          <w:u w:val="single" w:color="000000"/>
        </w:rPr>
        <w:t>1.10.1</w:t>
      </w:r>
      <w:r>
        <w:rPr>
          <w:rFonts w:hint="eastAsia" w:ascii="宋体" w:hAnsi="宋体"/>
          <w:color w:val="auto"/>
          <w:spacing w:val="-1"/>
          <w:kern w:val="0"/>
          <w:szCs w:val="21"/>
          <w:u w:val="single" w:color="000000"/>
        </w:rPr>
        <w:t>条规定</w:t>
      </w:r>
      <w:r>
        <w:rPr>
          <w:rFonts w:hint="eastAsia" w:ascii="宋体" w:hAnsi="宋体"/>
          <w:color w:val="auto"/>
          <w:kern w:val="0"/>
          <w:szCs w:val="21"/>
        </w:rPr>
        <w:t>。</w:t>
      </w:r>
    </w:p>
    <w:p w14:paraId="5C55A61D">
      <w:pPr>
        <w:spacing w:before="117"/>
        <w:ind w:left="538" w:right="148"/>
        <w:jc w:val="left"/>
        <w:rPr>
          <w:rFonts w:hint="eastAsia" w:ascii="宋体" w:hAnsi="宋体"/>
          <w:color w:val="auto"/>
          <w:kern w:val="0"/>
          <w:szCs w:val="21"/>
        </w:rPr>
      </w:pPr>
      <w:r>
        <w:rPr>
          <w:rFonts w:ascii="Times New Roman" w:hAnsi="Times New Roman" w:eastAsia="Times New Roman"/>
          <w:color w:val="auto"/>
          <w:kern w:val="0"/>
          <w:szCs w:val="21"/>
        </w:rPr>
        <w:t>1.10.3</w:t>
      </w:r>
      <w:r>
        <w:rPr>
          <w:rFonts w:hint="eastAsia" w:ascii="宋体" w:hAnsi="宋体"/>
          <w:color w:val="auto"/>
          <w:kern w:val="0"/>
          <w:szCs w:val="21"/>
        </w:rPr>
        <w:t>场内交通</w:t>
      </w:r>
    </w:p>
    <w:p w14:paraId="2F08D785">
      <w:pPr>
        <w:tabs>
          <w:tab w:val="left" w:pos="7367"/>
        </w:tabs>
        <w:spacing w:before="118" w:line="355" w:lineRule="auto"/>
        <w:ind w:left="538" w:right="148"/>
        <w:jc w:val="left"/>
        <w:rPr>
          <w:rFonts w:hint="eastAsia" w:ascii="宋体" w:hAnsi="宋体"/>
          <w:color w:val="auto"/>
          <w:kern w:val="0"/>
          <w:szCs w:val="21"/>
        </w:rPr>
      </w:pPr>
      <w:r>
        <w:rPr>
          <w:rFonts w:hint="eastAsia" w:ascii="宋体" w:hAnsi="宋体"/>
          <w:color w:val="auto"/>
          <w:kern w:val="0"/>
          <w:szCs w:val="21"/>
        </w:rPr>
        <w:t>关于场外交通和场内交通的边界的约定：</w:t>
      </w:r>
      <w:r>
        <w:rPr>
          <w:rFonts w:hint="eastAsia" w:ascii="宋体" w:hAnsi="宋体"/>
          <w:color w:val="auto"/>
          <w:kern w:val="0"/>
          <w:szCs w:val="21"/>
          <w:u w:val="single" w:color="000000"/>
        </w:rPr>
        <w:t>原则上以工程用地红线界定</w:t>
      </w:r>
      <w:r>
        <w:rPr>
          <w:rFonts w:hint="eastAsia" w:ascii="宋体" w:hAnsi="宋体"/>
          <w:color w:val="auto"/>
          <w:kern w:val="0"/>
          <w:szCs w:val="21"/>
        </w:rPr>
        <w:t>。</w:t>
      </w:r>
    </w:p>
    <w:p w14:paraId="1E166611">
      <w:pPr>
        <w:tabs>
          <w:tab w:val="left" w:pos="7367"/>
        </w:tabs>
        <w:spacing w:before="118" w:line="355" w:lineRule="auto"/>
        <w:ind w:left="538" w:right="148"/>
        <w:jc w:val="left"/>
        <w:rPr>
          <w:rFonts w:hint="eastAsia" w:ascii="宋体" w:hAnsi="宋体"/>
          <w:color w:val="auto"/>
          <w:kern w:val="0"/>
          <w:szCs w:val="21"/>
        </w:rPr>
      </w:pPr>
      <w:r>
        <w:rPr>
          <w:rFonts w:hint="eastAsia" w:ascii="宋体" w:hAnsi="宋体"/>
          <w:color w:val="auto"/>
          <w:spacing w:val="-2"/>
          <w:kern w:val="0"/>
          <w:szCs w:val="21"/>
        </w:rPr>
        <w:t>关于发包人向承包人免费提供满足工程施工需要的场内道路和交通设施的约</w:t>
      </w:r>
      <w:r>
        <w:rPr>
          <w:rFonts w:hint="eastAsia" w:ascii="宋体" w:hAnsi="宋体"/>
          <w:color w:val="auto"/>
          <w:spacing w:val="-2"/>
          <w:kern w:val="0"/>
          <w:szCs w:val="21"/>
          <w:u w:val="single" w:color="000000"/>
        </w:rPr>
        <w:t>定</w:t>
      </w:r>
      <w:r>
        <w:rPr>
          <w:rFonts w:hint="eastAsia" w:ascii="宋体" w:hAnsi="宋体"/>
          <w:color w:val="auto"/>
          <w:spacing w:val="-2"/>
          <w:kern w:val="0"/>
          <w:szCs w:val="21"/>
        </w:rPr>
        <w:t>：</w:t>
      </w:r>
      <w:r>
        <w:rPr>
          <w:rFonts w:hint="eastAsia" w:ascii="宋体" w:hAnsi="宋体"/>
          <w:color w:val="auto"/>
          <w:spacing w:val="-2"/>
          <w:kern w:val="0"/>
          <w:szCs w:val="21"/>
          <w:u w:val="single" w:color="000000"/>
        </w:rPr>
        <w:t>由承包人</w:t>
      </w:r>
    </w:p>
    <w:p w14:paraId="76821A19">
      <w:pPr>
        <w:tabs>
          <w:tab w:val="left" w:pos="3586"/>
        </w:tabs>
        <w:spacing w:before="30" w:line="352" w:lineRule="auto"/>
        <w:ind w:left="118" w:right="209"/>
        <w:jc w:val="left"/>
        <w:rPr>
          <w:rFonts w:hint="eastAsia" w:ascii="宋体" w:hAnsi="宋体"/>
          <w:color w:val="auto"/>
          <w:kern w:val="0"/>
          <w:szCs w:val="21"/>
        </w:rPr>
      </w:pPr>
      <w:r>
        <w:rPr>
          <w:rFonts w:hint="eastAsia" w:ascii="宋体" w:hAnsi="宋体"/>
          <w:color w:val="auto"/>
          <w:spacing w:val="-2"/>
          <w:kern w:val="0"/>
          <w:szCs w:val="21"/>
          <w:u w:val="single" w:color="000000"/>
        </w:rPr>
        <w:t>根据现场实际自行考虑，费用自理。若承包人使用发包人原有场内道路造成损坏的，由承包人负责按原道路标准修复并承担费用</w:t>
      </w:r>
      <w:r>
        <w:rPr>
          <w:rFonts w:hint="eastAsia" w:ascii="宋体" w:hAnsi="宋体"/>
          <w:color w:val="auto"/>
          <w:kern w:val="0"/>
          <w:szCs w:val="21"/>
        </w:rPr>
        <w:t>。</w:t>
      </w:r>
    </w:p>
    <w:p w14:paraId="204B279E">
      <w:pPr>
        <w:spacing w:line="360" w:lineRule="auto"/>
        <w:ind w:firstLine="420" w:firstLineChars="200"/>
        <w:jc w:val="left"/>
        <w:rPr>
          <w:color w:val="auto"/>
          <w:highlight w:val="none"/>
        </w:rPr>
      </w:pPr>
      <w:r>
        <w:rPr>
          <w:color w:val="auto"/>
          <w:highlight w:val="none"/>
        </w:rPr>
        <w:t xml:space="preserve">1.10.4 </w:t>
      </w:r>
      <w:r>
        <w:rPr>
          <w:rFonts w:hint="eastAsia" w:hAnsi="宋体" w:cs="宋体"/>
          <w:color w:val="auto"/>
          <w:highlight w:val="none"/>
        </w:rPr>
        <w:t>超大件和超重件的运输</w:t>
      </w:r>
    </w:p>
    <w:p w14:paraId="379DB783">
      <w:pPr>
        <w:spacing w:line="360" w:lineRule="auto"/>
        <w:ind w:firstLine="420" w:firstLineChars="200"/>
        <w:jc w:val="left"/>
        <w:rPr>
          <w:color w:val="auto"/>
          <w:highlight w:val="none"/>
          <w:u w:val="single"/>
        </w:rPr>
      </w:pPr>
      <w:r>
        <w:rPr>
          <w:rFonts w:hint="eastAsia" w:hAnsi="宋体" w:cs="宋体"/>
          <w:color w:val="auto"/>
          <w:highlight w:val="none"/>
        </w:rPr>
        <w:t>运输超大件或超重件所需的道路和桥梁临时加固改造费用和其他有关费用由</w:t>
      </w:r>
      <w:r>
        <w:rPr>
          <w:color w:val="auto"/>
          <w:highlight w:val="none"/>
          <w:u w:val="single"/>
        </w:rPr>
        <w:t xml:space="preserve">  </w:t>
      </w:r>
      <w:r>
        <w:rPr>
          <w:rFonts w:hint="eastAsia" w:ascii="宋体" w:hAnsi="宋体"/>
          <w:color w:val="auto"/>
          <w:kern w:val="0"/>
          <w:szCs w:val="21"/>
          <w:u w:val="single" w:color="000000"/>
        </w:rPr>
        <w:t>承包人</w:t>
      </w:r>
      <w:r>
        <w:rPr>
          <w:color w:val="auto"/>
          <w:highlight w:val="none"/>
          <w:u w:val="single"/>
        </w:rPr>
        <w:t xml:space="preserve">    </w:t>
      </w:r>
      <w:r>
        <w:rPr>
          <w:rFonts w:hint="eastAsia" w:hAnsi="宋体" w:cs="宋体"/>
          <w:color w:val="auto"/>
          <w:highlight w:val="none"/>
        </w:rPr>
        <w:t>承担。</w:t>
      </w:r>
    </w:p>
    <w:bookmarkEnd w:id="780"/>
    <w:p w14:paraId="0BB3989A">
      <w:pPr>
        <w:pStyle w:val="5"/>
        <w:rPr>
          <w:color w:val="auto"/>
          <w:highlight w:val="none"/>
        </w:rPr>
      </w:pPr>
      <w:bookmarkStart w:id="781" w:name="_Toc373478347"/>
      <w:bookmarkStart w:id="782" w:name="_Toc373227700"/>
      <w:bookmarkStart w:id="783" w:name="_Toc1495098807"/>
      <w:bookmarkStart w:id="784" w:name="_Toc389065266"/>
      <w:bookmarkStart w:id="785" w:name="_Toc78449788"/>
      <w:bookmarkStart w:id="786" w:name="_Toc407135202"/>
      <w:bookmarkStart w:id="787" w:name="_Toc10139"/>
      <w:bookmarkStart w:id="788" w:name="_Toc29152"/>
      <w:r>
        <w:rPr>
          <w:color w:val="auto"/>
          <w:highlight w:val="none"/>
        </w:rPr>
        <w:t xml:space="preserve">1.11 </w:t>
      </w:r>
      <w:r>
        <w:rPr>
          <w:rFonts w:hint="eastAsia" w:hAnsi="宋体" w:cs="黑体"/>
          <w:color w:val="auto"/>
          <w:highlight w:val="none"/>
        </w:rPr>
        <w:t>知识产权</w:t>
      </w:r>
      <w:bookmarkEnd w:id="781"/>
      <w:bookmarkEnd w:id="782"/>
      <w:bookmarkEnd w:id="783"/>
      <w:bookmarkEnd w:id="784"/>
      <w:bookmarkEnd w:id="785"/>
      <w:bookmarkEnd w:id="786"/>
      <w:bookmarkEnd w:id="787"/>
      <w:bookmarkEnd w:id="788"/>
    </w:p>
    <w:p w14:paraId="4AFD73B0">
      <w:pPr>
        <w:spacing w:before="184"/>
        <w:ind w:left="538"/>
        <w:jc w:val="left"/>
        <w:rPr>
          <w:rFonts w:hint="eastAsia" w:ascii="宋体" w:hAnsi="宋体"/>
          <w:color w:val="auto"/>
          <w:kern w:val="0"/>
          <w:szCs w:val="21"/>
        </w:rPr>
      </w:pPr>
      <w:bookmarkStart w:id="789" w:name="_Toc267680563"/>
      <w:bookmarkStart w:id="790" w:name="_Toc407135203"/>
      <w:bookmarkStart w:id="791" w:name="_Toc78449789"/>
      <w:bookmarkStart w:id="792" w:name="_Toc373227701"/>
      <w:bookmarkStart w:id="793" w:name="_Toc373478348"/>
      <w:bookmarkStart w:id="794" w:name="_Toc25183"/>
      <w:bookmarkStart w:id="795" w:name="_Toc389065267"/>
      <w:bookmarkStart w:id="796" w:name="_Toc14497"/>
      <w:r>
        <w:rPr>
          <w:rFonts w:ascii="Times New Roman" w:hAnsi="Times New Roman" w:eastAsia="Times New Roman"/>
          <w:color w:val="auto"/>
          <w:kern w:val="0"/>
          <w:szCs w:val="21"/>
        </w:rPr>
        <w:t>1.11.1</w:t>
      </w:r>
      <w:r>
        <w:rPr>
          <w:rFonts w:hint="eastAsia" w:ascii="宋体" w:hAnsi="宋体"/>
          <w:color w:val="auto"/>
          <w:kern w:val="0"/>
          <w:szCs w:val="21"/>
        </w:rPr>
        <w:t>关于发包人提供给承包人的图纸、发包人为实施工程自行编制或委托编制的技术规</w:t>
      </w:r>
      <w:r>
        <w:rPr>
          <w:rFonts w:hint="eastAsia" w:ascii="宋体" w:hAnsi="宋体"/>
          <w:color w:val="auto"/>
          <w:spacing w:val="14"/>
          <w:kern w:val="0"/>
          <w:szCs w:val="21"/>
        </w:rPr>
        <w:t>范以及反映发包人关于合同要求或其他类似性质的文件的著作权的归属：</w:t>
      </w:r>
      <w:r>
        <w:rPr>
          <w:rFonts w:hint="eastAsia" w:ascii="宋体" w:hAnsi="宋体"/>
          <w:color w:val="auto"/>
          <w:spacing w:val="12"/>
          <w:kern w:val="0"/>
          <w:szCs w:val="21"/>
          <w:u w:val="single" w:color="000000"/>
        </w:rPr>
        <w:t>归发包人所</w:t>
      </w:r>
      <w:r>
        <w:rPr>
          <w:rFonts w:hint="eastAsia" w:ascii="宋体" w:hAnsi="宋体"/>
          <w:color w:val="auto"/>
          <w:kern w:val="0"/>
          <w:szCs w:val="21"/>
          <w:u w:val="single" w:color="000000"/>
        </w:rPr>
        <w:t>有</w:t>
      </w:r>
      <w:r>
        <w:rPr>
          <w:rFonts w:hint="eastAsia" w:ascii="宋体" w:hAnsi="宋体"/>
          <w:color w:val="auto"/>
          <w:kern w:val="0"/>
          <w:szCs w:val="21"/>
        </w:rPr>
        <w:tab/>
      </w:r>
      <w:r>
        <w:rPr>
          <w:rFonts w:hint="eastAsia" w:ascii="宋体" w:hAnsi="宋体"/>
          <w:color w:val="auto"/>
          <w:kern w:val="0"/>
          <w:szCs w:val="21"/>
        </w:rPr>
        <w:t>。</w:t>
      </w:r>
    </w:p>
    <w:p w14:paraId="654362CE">
      <w:pPr>
        <w:spacing w:before="32" w:line="336" w:lineRule="auto"/>
        <w:ind w:left="538" w:right="108"/>
        <w:jc w:val="left"/>
        <w:rPr>
          <w:rFonts w:hint="eastAsia" w:ascii="宋体" w:hAnsi="宋体"/>
          <w:color w:val="auto"/>
          <w:kern w:val="0"/>
          <w:szCs w:val="21"/>
        </w:rPr>
      </w:pPr>
      <w:r>
        <w:rPr>
          <w:rFonts w:hint="eastAsia" w:ascii="宋体" w:hAnsi="宋体"/>
          <w:color w:val="auto"/>
          <w:spacing w:val="-3"/>
          <w:kern w:val="0"/>
          <w:szCs w:val="21"/>
        </w:rPr>
        <w:t>关于发包人提供的上述文件的使用限制的要求：</w:t>
      </w:r>
      <w:r>
        <w:rPr>
          <w:rFonts w:hint="eastAsia" w:ascii="宋体" w:hAnsi="宋体"/>
          <w:color w:val="auto"/>
          <w:spacing w:val="-7"/>
          <w:kern w:val="0"/>
          <w:szCs w:val="21"/>
          <w:u w:val="single" w:color="000000"/>
        </w:rPr>
        <w:t>按本合同《通用条款》第</w:t>
      </w:r>
      <w:r>
        <w:rPr>
          <w:rFonts w:ascii="Times New Roman" w:hAnsi="Times New Roman" w:eastAsia="Times New Roman"/>
          <w:color w:val="auto"/>
          <w:spacing w:val="-3"/>
          <w:kern w:val="0"/>
          <w:szCs w:val="21"/>
          <w:u w:val="single" w:color="000000"/>
        </w:rPr>
        <w:t>1.11</w:t>
      </w:r>
      <w:r>
        <w:rPr>
          <w:rFonts w:hint="eastAsia" w:ascii="宋体" w:hAnsi="宋体"/>
          <w:color w:val="auto"/>
          <w:kern w:val="0"/>
          <w:szCs w:val="21"/>
          <w:u w:val="single" w:color="000000"/>
        </w:rPr>
        <w:t>条规定</w:t>
      </w:r>
      <w:r>
        <w:rPr>
          <w:rFonts w:hint="eastAsia" w:ascii="宋体" w:hAnsi="宋体"/>
          <w:color w:val="auto"/>
          <w:kern w:val="0"/>
          <w:szCs w:val="21"/>
        </w:rPr>
        <w:t>。</w:t>
      </w:r>
    </w:p>
    <w:p w14:paraId="23E7564C">
      <w:pPr>
        <w:spacing w:before="32" w:line="336" w:lineRule="auto"/>
        <w:ind w:left="538" w:right="108"/>
        <w:jc w:val="left"/>
        <w:rPr>
          <w:rFonts w:hint="eastAsia" w:ascii="宋体" w:hAnsi="宋体"/>
          <w:color w:val="auto"/>
          <w:kern w:val="0"/>
          <w:szCs w:val="21"/>
        </w:rPr>
      </w:pPr>
      <w:r>
        <w:rPr>
          <w:rFonts w:ascii="Times New Roman" w:hAnsi="Times New Roman" w:eastAsia="Times New Roman"/>
          <w:color w:val="auto"/>
          <w:kern w:val="0"/>
          <w:szCs w:val="21"/>
        </w:rPr>
        <w:t>1.11.2</w:t>
      </w:r>
      <w:r>
        <w:rPr>
          <w:rFonts w:hint="eastAsia" w:ascii="宋体" w:hAnsi="宋体"/>
          <w:color w:val="auto"/>
          <w:kern w:val="0"/>
          <w:szCs w:val="21"/>
        </w:rPr>
        <w:t>关于承包人为实施工程所编制文件的著作权的归属：</w:t>
      </w:r>
      <w:r>
        <w:rPr>
          <w:rFonts w:hint="eastAsia" w:ascii="宋体" w:hAnsi="宋体"/>
          <w:color w:val="auto"/>
          <w:kern w:val="0"/>
          <w:szCs w:val="21"/>
          <w:u w:val="single" w:color="000000"/>
        </w:rPr>
        <w:t>归发包人所有</w:t>
      </w:r>
      <w:r>
        <w:rPr>
          <w:rFonts w:hint="eastAsia" w:ascii="宋体" w:hAnsi="宋体"/>
          <w:color w:val="auto"/>
          <w:kern w:val="0"/>
          <w:szCs w:val="21"/>
        </w:rPr>
        <w:t>。</w:t>
      </w:r>
    </w:p>
    <w:p w14:paraId="47C9BCD7">
      <w:pPr>
        <w:spacing w:before="32" w:line="336" w:lineRule="auto"/>
        <w:ind w:left="538" w:right="108"/>
        <w:jc w:val="left"/>
        <w:rPr>
          <w:rFonts w:hint="eastAsia" w:ascii="宋体" w:hAnsi="宋体"/>
          <w:color w:val="auto"/>
          <w:kern w:val="0"/>
          <w:szCs w:val="21"/>
        </w:rPr>
      </w:pPr>
      <w:r>
        <w:rPr>
          <w:rFonts w:hint="eastAsia" w:ascii="宋体" w:hAnsi="宋体"/>
          <w:color w:val="auto"/>
          <w:kern w:val="0"/>
          <w:szCs w:val="21"/>
        </w:rPr>
        <w:t>关于承包人提供的上述文件的使用限制的要求：</w:t>
      </w:r>
      <w:r>
        <w:rPr>
          <w:rFonts w:hint="eastAsia" w:ascii="宋体" w:hAnsi="宋体"/>
          <w:color w:val="auto"/>
          <w:kern w:val="0"/>
          <w:szCs w:val="21"/>
          <w:u w:val="single" w:color="000000"/>
        </w:rPr>
        <w:t>承包人可以为实现合同目的而复制、使</w:t>
      </w:r>
    </w:p>
    <w:p w14:paraId="4212DF8F">
      <w:pPr>
        <w:spacing w:before="47" w:line="352" w:lineRule="auto"/>
        <w:ind w:left="118" w:right="108"/>
        <w:jc w:val="left"/>
        <w:rPr>
          <w:rFonts w:hint="eastAsia" w:ascii="宋体" w:hAnsi="宋体"/>
          <w:color w:val="auto"/>
          <w:kern w:val="0"/>
          <w:szCs w:val="21"/>
        </w:rPr>
      </w:pPr>
      <w:r>
        <w:rPr>
          <w:rFonts w:hint="eastAsia" w:ascii="宋体" w:hAnsi="宋体"/>
          <w:color w:val="auto"/>
          <w:kern w:val="0"/>
          <w:szCs w:val="21"/>
          <w:u w:val="single" w:color="000000"/>
        </w:rPr>
        <w:t>用此类文件，但不能用于与合同无关的其他事项。未经发包人书面同意，承包人不得为了合同以外的目的而复制、使用上述文件或将之提供给任何第三方</w:t>
      </w:r>
      <w:r>
        <w:rPr>
          <w:rFonts w:hint="eastAsia" w:ascii="宋体" w:hAnsi="宋体"/>
          <w:color w:val="auto"/>
          <w:kern w:val="0"/>
          <w:szCs w:val="21"/>
        </w:rPr>
        <w:t>。</w:t>
      </w:r>
    </w:p>
    <w:p w14:paraId="472E054C">
      <w:pPr>
        <w:spacing w:before="34" w:line="336" w:lineRule="auto"/>
        <w:ind w:left="118" w:right="108" w:firstLine="419"/>
        <w:jc w:val="left"/>
        <w:rPr>
          <w:rFonts w:hint="eastAsia" w:ascii="宋体" w:hAnsi="宋体"/>
          <w:color w:val="auto"/>
          <w:kern w:val="0"/>
          <w:szCs w:val="21"/>
        </w:rPr>
      </w:pPr>
      <w:r>
        <w:rPr>
          <w:rFonts w:ascii="Times New Roman" w:hAnsi="Times New Roman" w:eastAsia="Times New Roman"/>
          <w:color w:val="auto"/>
          <w:kern w:val="0"/>
          <w:szCs w:val="21"/>
        </w:rPr>
        <w:t>1.11.4</w:t>
      </w:r>
      <w:r>
        <w:rPr>
          <w:rFonts w:hint="eastAsia" w:ascii="宋体" w:hAnsi="宋体"/>
          <w:color w:val="auto"/>
          <w:spacing w:val="-3"/>
          <w:kern w:val="0"/>
          <w:szCs w:val="21"/>
        </w:rPr>
        <w:t>承包人在施工过程中所采用的专利、专有技术、技术秘密的使用费的承担方式：</w:t>
      </w:r>
      <w:r>
        <w:rPr>
          <w:rFonts w:hint="eastAsia" w:ascii="宋体" w:hAnsi="宋体"/>
          <w:color w:val="auto"/>
          <w:kern w:val="0"/>
          <w:szCs w:val="21"/>
          <w:u w:val="single" w:color="000000"/>
        </w:rPr>
        <w:t>承包人自行承担</w:t>
      </w:r>
      <w:r>
        <w:rPr>
          <w:rFonts w:hint="eastAsia" w:ascii="宋体" w:hAnsi="宋体"/>
          <w:color w:val="auto"/>
          <w:kern w:val="0"/>
          <w:szCs w:val="21"/>
        </w:rPr>
        <w:t>。</w:t>
      </w:r>
    </w:p>
    <w:p w14:paraId="2E71EB9B">
      <w:pPr>
        <w:pStyle w:val="5"/>
        <w:rPr>
          <w:color w:val="auto"/>
          <w:highlight w:val="none"/>
        </w:rPr>
      </w:pPr>
      <w:r>
        <w:rPr>
          <w:color w:val="auto"/>
          <w:highlight w:val="none"/>
        </w:rPr>
        <w:t>1.13</w:t>
      </w:r>
      <w:r>
        <w:rPr>
          <w:rFonts w:hint="eastAsia" w:cs="黑体"/>
          <w:color w:val="auto"/>
          <w:highlight w:val="none"/>
        </w:rPr>
        <w:t>工程量清单错误的修正</w:t>
      </w:r>
      <w:bookmarkEnd w:id="789"/>
      <w:bookmarkEnd w:id="790"/>
      <w:bookmarkEnd w:id="791"/>
      <w:bookmarkEnd w:id="792"/>
      <w:bookmarkEnd w:id="793"/>
      <w:bookmarkEnd w:id="794"/>
      <w:bookmarkEnd w:id="795"/>
      <w:bookmarkEnd w:id="796"/>
    </w:p>
    <w:p w14:paraId="38128AB2">
      <w:pPr>
        <w:spacing w:line="360" w:lineRule="auto"/>
        <w:ind w:firstLine="420" w:firstLineChars="200"/>
        <w:rPr>
          <w:color w:val="auto"/>
          <w:highlight w:val="none"/>
        </w:rPr>
      </w:pPr>
      <w:r>
        <w:rPr>
          <w:rFonts w:hint="eastAsia" w:hAnsi="宋体" w:cs="宋体"/>
          <w:color w:val="auto"/>
          <w:highlight w:val="none"/>
        </w:rPr>
        <w:t>出现工程量清单工程量偏差时，是否调整合同</w:t>
      </w:r>
      <w:r>
        <w:rPr>
          <w:rFonts w:hint="eastAsia" w:hAnsi="宋体" w:cs="宋体"/>
          <w:color w:val="auto"/>
          <w:highlight w:val="none"/>
          <w:lang w:eastAsia="zh-CN"/>
        </w:rPr>
        <w:t>单价</w:t>
      </w:r>
      <w:r>
        <w:rPr>
          <w:rFonts w:hint="eastAsia" w:hAnsi="宋体" w:cs="宋体"/>
          <w:color w:val="auto"/>
          <w:highlight w:val="none"/>
        </w:rPr>
        <w:t>：</w:t>
      </w:r>
      <w:r>
        <w:rPr>
          <w:rFonts w:hint="eastAsia" w:hAnsi="宋体" w:cs="宋体"/>
          <w:color w:val="auto"/>
          <w:highlight w:val="none"/>
          <w:lang w:eastAsia="zh-CN"/>
        </w:rPr>
        <w:t>按</w:t>
      </w:r>
      <w:r>
        <w:rPr>
          <w:rFonts w:hint="eastAsia" w:hAnsi="宋体" w:cs="宋体"/>
          <w:color w:val="auto"/>
          <w:highlight w:val="none"/>
          <w:lang w:val="en-US" w:eastAsia="zh-CN"/>
        </w:rPr>
        <w:t>10.4.1（9）约定执行</w:t>
      </w:r>
      <w:r>
        <w:rPr>
          <w:rFonts w:hint="eastAsia" w:hAnsi="宋体" w:cs="宋体"/>
          <w:color w:val="auto"/>
          <w:kern w:val="0"/>
          <w:highlight w:val="none"/>
        </w:rPr>
        <w:t>。</w:t>
      </w:r>
    </w:p>
    <w:p w14:paraId="516B9822">
      <w:pPr>
        <w:pStyle w:val="4"/>
        <w:rPr>
          <w:color w:val="auto"/>
          <w:highlight w:val="none"/>
        </w:rPr>
      </w:pPr>
      <w:bookmarkStart w:id="797" w:name="_Toc373227702"/>
      <w:bookmarkStart w:id="798" w:name="_Toc78449790"/>
      <w:bookmarkStart w:id="799" w:name="_Toc407135204"/>
      <w:bookmarkStart w:id="800" w:name="_Toc143780453"/>
      <w:bookmarkStart w:id="801" w:name="_Toc351203634"/>
      <w:bookmarkStart w:id="802" w:name="_Toc373478349"/>
      <w:bookmarkStart w:id="803" w:name="_Toc389065268"/>
      <w:bookmarkStart w:id="804" w:name="_Toc10918"/>
      <w:r>
        <w:rPr>
          <w:color w:val="auto"/>
          <w:highlight w:val="none"/>
        </w:rPr>
        <w:t>2</w:t>
      </w:r>
      <w:bookmarkStart w:id="805" w:name="_Toc296503157"/>
      <w:bookmarkStart w:id="806" w:name="_Toc292559867"/>
      <w:bookmarkStart w:id="807" w:name="_Toc297048343"/>
      <w:bookmarkStart w:id="808" w:name="_Toc292559362"/>
      <w:bookmarkStart w:id="809" w:name="_Toc296944496"/>
      <w:bookmarkStart w:id="810" w:name="_Toc296890985"/>
      <w:bookmarkStart w:id="811" w:name="_Toc296347156"/>
      <w:bookmarkStart w:id="812" w:name="_Toc296346658"/>
      <w:bookmarkStart w:id="813" w:name="_Toc296891197"/>
      <w:bookmarkStart w:id="814" w:name="_Toc297120457"/>
      <w:r>
        <w:rPr>
          <w:color w:val="auto"/>
          <w:highlight w:val="none"/>
        </w:rPr>
        <w:t xml:space="preserve">. </w:t>
      </w:r>
      <w:r>
        <w:rPr>
          <w:rFonts w:hint="eastAsia" w:hAnsi="宋体" w:cs="黑体"/>
          <w:color w:val="auto"/>
          <w:highlight w:val="none"/>
        </w:rPr>
        <w:t>发包人</w:t>
      </w:r>
      <w:bookmarkEnd w:id="797"/>
      <w:bookmarkEnd w:id="798"/>
      <w:bookmarkEnd w:id="799"/>
      <w:bookmarkEnd w:id="800"/>
      <w:bookmarkEnd w:id="801"/>
      <w:bookmarkEnd w:id="802"/>
      <w:bookmarkEnd w:id="803"/>
      <w:bookmarkEnd w:id="804"/>
    </w:p>
    <w:bookmarkEnd w:id="805"/>
    <w:bookmarkEnd w:id="806"/>
    <w:bookmarkEnd w:id="807"/>
    <w:bookmarkEnd w:id="808"/>
    <w:bookmarkEnd w:id="809"/>
    <w:bookmarkEnd w:id="810"/>
    <w:bookmarkEnd w:id="811"/>
    <w:bookmarkEnd w:id="812"/>
    <w:bookmarkEnd w:id="813"/>
    <w:bookmarkEnd w:id="814"/>
    <w:p w14:paraId="230BDFA0">
      <w:pPr>
        <w:pStyle w:val="5"/>
        <w:rPr>
          <w:color w:val="auto"/>
          <w:highlight w:val="none"/>
        </w:rPr>
      </w:pPr>
      <w:bookmarkStart w:id="815" w:name="_Toc971240048"/>
      <w:bookmarkStart w:id="816" w:name="_Toc407135205"/>
      <w:bookmarkStart w:id="817" w:name="_Toc389065269"/>
      <w:bookmarkStart w:id="818" w:name="_Toc373227703"/>
      <w:bookmarkStart w:id="819" w:name="_Toc27372"/>
      <w:bookmarkStart w:id="820" w:name="_Toc373478350"/>
      <w:bookmarkStart w:id="821" w:name="_Toc26971"/>
      <w:bookmarkStart w:id="822" w:name="_Toc78449791"/>
      <w:r>
        <w:rPr>
          <w:color w:val="auto"/>
          <w:highlight w:val="none"/>
        </w:rPr>
        <w:t xml:space="preserve">2.2 </w:t>
      </w:r>
      <w:r>
        <w:rPr>
          <w:rFonts w:hint="eastAsia" w:hAnsi="宋体" w:cs="黑体"/>
          <w:color w:val="auto"/>
          <w:highlight w:val="none"/>
        </w:rPr>
        <w:t>发包人代表</w:t>
      </w:r>
      <w:bookmarkEnd w:id="815"/>
      <w:bookmarkEnd w:id="816"/>
      <w:bookmarkEnd w:id="817"/>
      <w:bookmarkEnd w:id="818"/>
      <w:bookmarkEnd w:id="819"/>
      <w:bookmarkEnd w:id="820"/>
      <w:bookmarkEnd w:id="821"/>
      <w:bookmarkEnd w:id="822"/>
    </w:p>
    <w:p w14:paraId="4ADCE5EB">
      <w:pPr>
        <w:spacing w:line="360" w:lineRule="auto"/>
        <w:ind w:firstLine="420" w:firstLineChars="200"/>
        <w:rPr>
          <w:color w:val="auto"/>
          <w:highlight w:val="none"/>
        </w:rPr>
      </w:pPr>
      <w:r>
        <w:rPr>
          <w:rFonts w:hint="eastAsia" w:hAnsi="宋体" w:cs="宋体"/>
          <w:color w:val="auto"/>
          <w:highlight w:val="none"/>
        </w:rPr>
        <w:t>发包人代表：</w:t>
      </w:r>
    </w:p>
    <w:p w14:paraId="3655FF78">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011F5E9B">
      <w:pPr>
        <w:spacing w:line="360" w:lineRule="auto"/>
        <w:ind w:firstLine="420" w:firstLineChars="200"/>
        <w:rPr>
          <w:color w:val="auto"/>
          <w:highlight w:val="none"/>
        </w:rPr>
      </w:pPr>
      <w:r>
        <w:rPr>
          <w:rFonts w:hAnsi="宋体"/>
          <w:color w:val="auto"/>
          <w:highlight w:val="none"/>
        </w:rPr>
        <w:t>身份证号：</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4CEB6122">
      <w:pPr>
        <w:spacing w:line="360" w:lineRule="auto"/>
        <w:ind w:firstLine="420" w:firstLineChars="200"/>
        <w:rPr>
          <w:color w:val="auto"/>
          <w:highlight w:val="none"/>
        </w:rPr>
      </w:pPr>
      <w:r>
        <w:rPr>
          <w:rFonts w:hAnsi="宋体"/>
          <w:color w:val="auto"/>
          <w:highlight w:val="none"/>
        </w:rPr>
        <w:t>职</w:t>
      </w:r>
      <w:r>
        <w:rPr>
          <w:color w:val="auto"/>
          <w:highlight w:val="none"/>
        </w:rPr>
        <w:t xml:space="preserve">    </w:t>
      </w:r>
      <w:r>
        <w:rPr>
          <w:rFonts w:hAnsi="宋体"/>
          <w:color w:val="auto"/>
          <w:highlight w:val="none"/>
        </w:rPr>
        <w:t>务：</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4CC7A831">
      <w:pPr>
        <w:spacing w:line="360" w:lineRule="auto"/>
        <w:ind w:firstLine="420" w:firstLineChars="200"/>
        <w:rPr>
          <w:color w:val="auto"/>
          <w:highlight w:val="none"/>
        </w:rPr>
      </w:pPr>
      <w:r>
        <w:rPr>
          <w:rFonts w:hAnsi="宋体"/>
          <w:color w:val="auto"/>
          <w:highlight w:val="none"/>
        </w:rPr>
        <w:t>联系电话：</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50A3A8DB">
      <w:pPr>
        <w:spacing w:line="360" w:lineRule="auto"/>
        <w:ind w:firstLine="420" w:firstLineChars="200"/>
        <w:rPr>
          <w:color w:val="auto"/>
          <w:highlight w:val="none"/>
        </w:rPr>
      </w:pPr>
      <w:r>
        <w:rPr>
          <w:rFonts w:hAnsi="宋体"/>
          <w:color w:val="auto"/>
          <w:highlight w:val="none"/>
        </w:rPr>
        <w:t>电子信箱：</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4892347D">
      <w:pPr>
        <w:spacing w:line="360" w:lineRule="auto"/>
        <w:ind w:firstLine="420" w:firstLineChars="200"/>
        <w:rPr>
          <w:color w:val="auto"/>
          <w:highlight w:val="none"/>
        </w:rPr>
      </w:pPr>
      <w:r>
        <w:rPr>
          <w:rFonts w:hAnsi="宋体"/>
          <w:color w:val="auto"/>
          <w:highlight w:val="none"/>
        </w:rPr>
        <w:t>通信地址：</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7F99665A">
      <w:pPr>
        <w:spacing w:before="36"/>
        <w:ind w:left="538" w:right="108"/>
        <w:jc w:val="left"/>
        <w:rPr>
          <w:rFonts w:hint="eastAsia" w:ascii="宋体" w:hAnsi="宋体"/>
          <w:color w:val="auto"/>
          <w:kern w:val="0"/>
          <w:szCs w:val="21"/>
        </w:rPr>
      </w:pPr>
      <w:r>
        <w:rPr>
          <w:rFonts w:hint="eastAsia" w:hAnsi="宋体" w:cs="宋体"/>
          <w:color w:val="auto"/>
          <w:highlight w:val="none"/>
        </w:rPr>
        <w:t>发包人对发包人代表的授权范围如下：</w:t>
      </w:r>
      <w:r>
        <w:rPr>
          <w:color w:val="auto"/>
          <w:highlight w:val="none"/>
          <w:u w:val="single"/>
        </w:rPr>
        <w:t xml:space="preserve">   </w:t>
      </w:r>
      <w:r>
        <w:rPr>
          <w:rFonts w:hint="eastAsia" w:ascii="宋体" w:hAnsi="宋体"/>
          <w:color w:val="auto"/>
          <w:spacing w:val="-4"/>
          <w:kern w:val="0"/>
          <w:szCs w:val="21"/>
          <w:u w:val="single" w:color="000000"/>
        </w:rPr>
        <w:t>向承包人提供所需指令、批准、提供图纸、工程签</w:t>
      </w:r>
    </w:p>
    <w:p w14:paraId="04A23737">
      <w:pPr>
        <w:spacing w:before="10"/>
        <w:jc w:val="left"/>
        <w:rPr>
          <w:rFonts w:hint="eastAsia" w:ascii="宋体" w:hAnsi="宋体" w:cs="宋体"/>
          <w:color w:val="auto"/>
          <w:kern w:val="0"/>
          <w:sz w:val="9"/>
          <w:szCs w:val="9"/>
        </w:rPr>
      </w:pPr>
    </w:p>
    <w:p w14:paraId="3D8D5099">
      <w:pPr>
        <w:spacing w:before="36"/>
        <w:ind w:left="118" w:right="108"/>
        <w:jc w:val="left"/>
        <w:rPr>
          <w:rFonts w:hint="eastAsia" w:ascii="宋体" w:hAnsi="宋体"/>
          <w:color w:val="auto"/>
          <w:kern w:val="0"/>
          <w:szCs w:val="21"/>
        </w:rPr>
      </w:pPr>
      <w:r>
        <w:rPr>
          <w:rFonts w:hint="eastAsia" w:ascii="宋体" w:hAnsi="宋体"/>
          <w:color w:val="auto"/>
          <w:kern w:val="0"/>
          <w:szCs w:val="21"/>
          <w:u w:val="single" w:color="000000"/>
        </w:rPr>
        <w:t>证、验收结算以及委派具体管理人员、工程量的确认、工程变更增减项目的确认、材料的认质</w:t>
      </w:r>
    </w:p>
    <w:p w14:paraId="2F8E7A04">
      <w:pPr>
        <w:spacing w:before="10"/>
        <w:jc w:val="left"/>
        <w:rPr>
          <w:rFonts w:hint="eastAsia" w:ascii="宋体" w:hAnsi="宋体" w:cs="宋体"/>
          <w:color w:val="auto"/>
          <w:kern w:val="0"/>
          <w:sz w:val="9"/>
          <w:szCs w:val="9"/>
        </w:rPr>
      </w:pPr>
    </w:p>
    <w:p w14:paraId="0AF11868">
      <w:pPr>
        <w:spacing w:before="36"/>
        <w:ind w:left="118" w:right="108"/>
        <w:jc w:val="left"/>
        <w:rPr>
          <w:rFonts w:hint="eastAsia" w:ascii="宋体" w:hAnsi="宋体"/>
          <w:color w:val="auto"/>
          <w:kern w:val="0"/>
          <w:szCs w:val="21"/>
        </w:rPr>
      </w:pPr>
      <w:r>
        <w:rPr>
          <w:rFonts w:hint="eastAsia" w:ascii="宋体" w:hAnsi="宋体"/>
          <w:color w:val="auto"/>
          <w:kern w:val="0"/>
          <w:szCs w:val="21"/>
          <w:u w:val="single" w:color="000000"/>
        </w:rPr>
        <w:t>及定价及负责工程项目的财务监督</w:t>
      </w:r>
      <w:r>
        <w:rPr>
          <w:rFonts w:hint="eastAsia" w:ascii="宋体" w:hAnsi="宋体"/>
          <w:color w:val="auto"/>
          <w:kern w:val="0"/>
          <w:szCs w:val="21"/>
        </w:rPr>
        <w:t>。</w:t>
      </w:r>
    </w:p>
    <w:p w14:paraId="743C0FF9">
      <w:pPr>
        <w:spacing w:line="360" w:lineRule="auto"/>
        <w:ind w:firstLine="420" w:firstLineChars="200"/>
        <w:rPr>
          <w:color w:val="auto"/>
          <w:highlight w:val="none"/>
          <w:u w:val="single"/>
        </w:rPr>
      </w:pPr>
    </w:p>
    <w:p w14:paraId="181C41BC">
      <w:pPr>
        <w:pStyle w:val="5"/>
        <w:rPr>
          <w:color w:val="auto"/>
          <w:highlight w:val="none"/>
        </w:rPr>
      </w:pPr>
      <w:bookmarkStart w:id="823" w:name="_Toc389065270"/>
      <w:bookmarkStart w:id="824" w:name="_Toc17202"/>
      <w:bookmarkStart w:id="825" w:name="_Toc407135206"/>
      <w:bookmarkStart w:id="826" w:name="_Toc2077499244"/>
      <w:bookmarkStart w:id="827" w:name="_Toc78449792"/>
      <w:bookmarkStart w:id="828" w:name="_Toc27528"/>
      <w:bookmarkStart w:id="829" w:name="_Toc373227704"/>
      <w:bookmarkStart w:id="830" w:name="_Toc373478351"/>
      <w:r>
        <w:rPr>
          <w:color w:val="auto"/>
          <w:highlight w:val="none"/>
        </w:rPr>
        <w:t xml:space="preserve">2.4 </w:t>
      </w:r>
      <w:r>
        <w:rPr>
          <w:rFonts w:hint="eastAsia" w:cs="黑体"/>
          <w:color w:val="auto"/>
          <w:highlight w:val="none"/>
        </w:rPr>
        <w:t>施工现场、施工条件和基础资料的提供</w:t>
      </w:r>
      <w:bookmarkEnd w:id="823"/>
      <w:bookmarkEnd w:id="824"/>
      <w:bookmarkEnd w:id="825"/>
      <w:bookmarkEnd w:id="826"/>
      <w:bookmarkEnd w:id="827"/>
      <w:bookmarkEnd w:id="828"/>
      <w:bookmarkEnd w:id="829"/>
      <w:bookmarkEnd w:id="830"/>
    </w:p>
    <w:p w14:paraId="39B042E0">
      <w:pPr>
        <w:spacing w:line="360" w:lineRule="auto"/>
        <w:ind w:firstLine="420" w:firstLineChars="200"/>
        <w:rPr>
          <w:color w:val="auto"/>
          <w:highlight w:val="none"/>
        </w:rPr>
      </w:pPr>
      <w:r>
        <w:rPr>
          <w:color w:val="auto"/>
          <w:highlight w:val="none"/>
        </w:rPr>
        <w:t xml:space="preserve">2.4.1 </w:t>
      </w:r>
      <w:r>
        <w:rPr>
          <w:rFonts w:hint="eastAsia" w:hAnsi="宋体" w:cs="宋体"/>
          <w:color w:val="auto"/>
          <w:highlight w:val="none"/>
        </w:rPr>
        <w:t>提供施工现场</w:t>
      </w:r>
    </w:p>
    <w:p w14:paraId="79EEFAAD">
      <w:pPr>
        <w:spacing w:line="360" w:lineRule="auto"/>
        <w:ind w:firstLine="420" w:firstLineChars="200"/>
        <w:jc w:val="left"/>
        <w:rPr>
          <w:color w:val="auto"/>
          <w:highlight w:val="none"/>
        </w:rPr>
      </w:pPr>
      <w:r>
        <w:rPr>
          <w:rFonts w:hint="eastAsia" w:hAnsi="宋体" w:cs="宋体"/>
          <w:color w:val="auto"/>
          <w:highlight w:val="none"/>
        </w:rPr>
        <w:t>关于发包人移交施工现场的期限要求：</w:t>
      </w:r>
      <w:r>
        <w:rPr>
          <w:color w:val="auto"/>
          <w:highlight w:val="none"/>
          <w:u w:val="single"/>
        </w:rPr>
        <w:t xml:space="preserve">     </w:t>
      </w:r>
      <w:r>
        <w:rPr>
          <w:rFonts w:hint="eastAsia" w:ascii="宋体" w:hAnsi="宋体"/>
          <w:color w:val="auto"/>
          <w:kern w:val="0"/>
          <w:szCs w:val="21"/>
          <w:u w:val="single" w:color="000000"/>
        </w:rPr>
        <w:t>开工前七日内</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0D0330CE">
      <w:pPr>
        <w:spacing w:line="360" w:lineRule="auto"/>
        <w:ind w:firstLine="420" w:firstLineChars="200"/>
        <w:rPr>
          <w:color w:val="auto"/>
          <w:highlight w:val="none"/>
        </w:rPr>
      </w:pPr>
      <w:r>
        <w:rPr>
          <w:color w:val="auto"/>
          <w:highlight w:val="none"/>
        </w:rPr>
        <w:t xml:space="preserve">2.4.2 </w:t>
      </w:r>
      <w:r>
        <w:rPr>
          <w:rFonts w:hint="eastAsia" w:hAnsi="宋体" w:cs="宋体"/>
          <w:color w:val="auto"/>
          <w:highlight w:val="none"/>
        </w:rPr>
        <w:t>提供施工条件</w:t>
      </w:r>
    </w:p>
    <w:p w14:paraId="5E8CDE6B">
      <w:pPr>
        <w:spacing w:line="360" w:lineRule="auto"/>
        <w:ind w:firstLine="420" w:firstLineChars="200"/>
        <w:rPr>
          <w:color w:val="auto"/>
          <w:highlight w:val="none"/>
          <w:u w:val="single"/>
        </w:rPr>
      </w:pPr>
      <w:r>
        <w:rPr>
          <w:rFonts w:hint="eastAsia" w:hAnsi="宋体" w:cs="宋体"/>
          <w:color w:val="auto"/>
          <w:highlight w:val="none"/>
        </w:rPr>
        <w:t>关于发包人应负责提供施工所需要的条件，包括：</w:t>
      </w:r>
      <w:r>
        <w:rPr>
          <w:color w:val="auto"/>
          <w:highlight w:val="none"/>
          <w:u w:val="single"/>
        </w:rPr>
        <w:t xml:space="preserve">  </w:t>
      </w:r>
      <w:r>
        <w:rPr>
          <w:rFonts w:hint="eastAsia" w:ascii="宋体" w:hAnsi="宋体"/>
          <w:color w:val="auto"/>
          <w:spacing w:val="-9"/>
          <w:kern w:val="0"/>
          <w:szCs w:val="21"/>
          <w:u w:val="single" w:color="000000"/>
        </w:rPr>
        <w:t>开工前完成施工场地“三通一平”，根</w:t>
      </w:r>
      <w:r>
        <w:rPr>
          <w:rFonts w:hint="eastAsia" w:ascii="宋体" w:hAnsi="宋体"/>
          <w:color w:val="auto"/>
          <w:kern w:val="0"/>
          <w:szCs w:val="21"/>
          <w:u w:val="single" w:color="000000"/>
        </w:rPr>
        <w:t>据现场要求提供水、电线路接口，其他线路由承包人自行办理</w:t>
      </w:r>
      <w:r>
        <w:rPr>
          <w:color w:val="auto"/>
          <w:highlight w:val="none"/>
          <w:u w:val="single"/>
        </w:rPr>
        <w:t xml:space="preserve">         </w:t>
      </w:r>
      <w:r>
        <w:rPr>
          <w:rFonts w:hint="eastAsia" w:hAnsi="宋体" w:cs="宋体"/>
          <w:color w:val="auto"/>
          <w:highlight w:val="none"/>
        </w:rPr>
        <w:t>。</w:t>
      </w:r>
    </w:p>
    <w:p w14:paraId="365E4BE6">
      <w:pPr>
        <w:pStyle w:val="5"/>
        <w:rPr>
          <w:color w:val="auto"/>
          <w:highlight w:val="none"/>
        </w:rPr>
      </w:pPr>
      <w:bookmarkStart w:id="831" w:name="_Toc373227705"/>
      <w:bookmarkStart w:id="832" w:name="_Toc389065271"/>
      <w:bookmarkStart w:id="833" w:name="_Toc22558"/>
      <w:bookmarkStart w:id="834" w:name="_Toc373478352"/>
      <w:bookmarkStart w:id="835" w:name="_Toc78449793"/>
      <w:bookmarkStart w:id="836" w:name="_Toc1238195908"/>
      <w:bookmarkStart w:id="837" w:name="_Toc7688"/>
      <w:bookmarkStart w:id="838" w:name="_Toc407135207"/>
      <w:r>
        <w:rPr>
          <w:color w:val="auto"/>
          <w:highlight w:val="none"/>
        </w:rPr>
        <w:t xml:space="preserve">2.5 </w:t>
      </w:r>
      <w:r>
        <w:rPr>
          <w:rFonts w:hint="eastAsia" w:cs="黑体"/>
          <w:color w:val="auto"/>
          <w:highlight w:val="none"/>
        </w:rPr>
        <w:t>资金来源证明及支付担保</w:t>
      </w:r>
      <w:bookmarkEnd w:id="831"/>
      <w:bookmarkEnd w:id="832"/>
      <w:bookmarkEnd w:id="833"/>
      <w:bookmarkEnd w:id="834"/>
      <w:bookmarkEnd w:id="835"/>
      <w:bookmarkEnd w:id="836"/>
      <w:bookmarkEnd w:id="837"/>
      <w:bookmarkEnd w:id="838"/>
    </w:p>
    <w:p w14:paraId="23AA8EE6">
      <w:pPr>
        <w:spacing w:line="360" w:lineRule="auto"/>
        <w:ind w:firstLine="420" w:firstLineChars="200"/>
        <w:rPr>
          <w:color w:val="auto"/>
          <w:highlight w:val="none"/>
        </w:rPr>
      </w:pPr>
      <w:r>
        <w:rPr>
          <w:rFonts w:hint="eastAsia" w:hAnsi="宋体" w:cs="宋体"/>
          <w:color w:val="auto"/>
          <w:highlight w:val="none"/>
        </w:rPr>
        <w:t>发包人提供资金来源证明的期限要求：</w:t>
      </w:r>
      <w:r>
        <w:rPr>
          <w:color w:val="auto"/>
          <w:highlight w:val="none"/>
          <w:u w:val="single"/>
        </w:rPr>
        <w:t xml:space="preserve">     </w:t>
      </w:r>
      <w:r>
        <w:rPr>
          <w:rFonts w:hint="eastAsia" w:ascii="宋体" w:hAnsi="宋体"/>
          <w:color w:val="auto"/>
          <w:kern w:val="0"/>
          <w:szCs w:val="21"/>
          <w:u w:val="single" w:color="000000"/>
        </w:rPr>
        <w:t>无</w:t>
      </w:r>
      <w:r>
        <w:rPr>
          <w:color w:val="auto"/>
          <w:highlight w:val="none"/>
          <w:u w:val="single"/>
        </w:rPr>
        <w:t xml:space="preserve">          </w:t>
      </w:r>
      <w:r>
        <w:rPr>
          <w:rFonts w:hint="eastAsia" w:hAnsi="宋体" w:cs="宋体"/>
          <w:color w:val="auto"/>
          <w:highlight w:val="none"/>
        </w:rPr>
        <w:t>。</w:t>
      </w:r>
    </w:p>
    <w:p w14:paraId="14EFC416">
      <w:pPr>
        <w:spacing w:line="360" w:lineRule="auto"/>
        <w:ind w:firstLine="420" w:firstLineChars="200"/>
        <w:rPr>
          <w:color w:val="auto"/>
          <w:highlight w:val="none"/>
        </w:rPr>
      </w:pPr>
      <w:r>
        <w:rPr>
          <w:rFonts w:hint="eastAsia" w:hAnsi="宋体" w:cs="宋体"/>
          <w:color w:val="auto"/>
          <w:highlight w:val="none"/>
        </w:rPr>
        <w:t>发包人是否提供支付担保：</w:t>
      </w:r>
      <w:r>
        <w:rPr>
          <w:color w:val="auto"/>
          <w:highlight w:val="none"/>
          <w:u w:val="single"/>
        </w:rPr>
        <w:t xml:space="preserve">     </w:t>
      </w:r>
      <w:r>
        <w:rPr>
          <w:rFonts w:hint="eastAsia" w:ascii="宋体" w:hAnsi="宋体"/>
          <w:color w:val="auto"/>
          <w:kern w:val="0"/>
          <w:szCs w:val="21"/>
          <w:u w:val="single" w:color="000000"/>
        </w:rPr>
        <w:t>无</w:t>
      </w:r>
      <w:r>
        <w:rPr>
          <w:color w:val="auto"/>
          <w:highlight w:val="none"/>
          <w:u w:val="single"/>
        </w:rPr>
        <w:t xml:space="preserve">               </w:t>
      </w:r>
      <w:r>
        <w:rPr>
          <w:rFonts w:hint="eastAsia" w:ascii="Times New Roman" w:hAnsi="宋体" w:eastAsia="宋体" w:cs="宋体"/>
          <w:color w:val="auto"/>
          <w:highlight w:val="none"/>
          <w:u w:val="none"/>
        </w:rPr>
        <w:t xml:space="preserve"> </w:t>
      </w:r>
      <w:r>
        <w:rPr>
          <w:rFonts w:hint="eastAsia" w:ascii="Times New Roman" w:hAnsi="宋体" w:eastAsia="宋体" w:cs="宋体"/>
          <w:color w:val="auto"/>
          <w:highlight w:val="none"/>
        </w:rPr>
        <w:t>。【</w:t>
      </w:r>
      <w:r>
        <w:rPr>
          <w:rFonts w:hint="eastAsia" w:ascii="Times New Roman" w:hAnsi="宋体" w:eastAsia="宋体" w:cs="宋体"/>
          <w:i w:val="0"/>
          <w:caps w:val="0"/>
          <w:color w:val="auto"/>
          <w:spacing w:val="0"/>
          <w:sz w:val="21"/>
          <w:szCs w:val="21"/>
          <w:highlight w:val="none"/>
          <w:lang w:eastAsia="zh-CN"/>
        </w:rPr>
        <w:t>发包</w:t>
      </w:r>
      <w:r>
        <w:rPr>
          <w:rFonts w:hint="eastAsia" w:ascii="Times New Roman" w:hAnsi="宋体" w:eastAsia="宋体" w:cs="宋体"/>
          <w:i w:val="0"/>
          <w:caps w:val="0"/>
          <w:color w:val="auto"/>
          <w:spacing w:val="0"/>
          <w:sz w:val="21"/>
          <w:szCs w:val="21"/>
          <w:highlight w:val="none"/>
        </w:rPr>
        <w:t>人要求</w:t>
      </w:r>
      <w:r>
        <w:rPr>
          <w:rFonts w:hint="eastAsia" w:ascii="Times New Roman" w:hAnsi="宋体" w:eastAsia="宋体" w:cs="宋体"/>
          <w:i w:val="0"/>
          <w:caps w:val="0"/>
          <w:color w:val="auto"/>
          <w:spacing w:val="0"/>
          <w:sz w:val="21"/>
          <w:szCs w:val="21"/>
          <w:highlight w:val="none"/>
          <w:lang w:eastAsia="zh-CN"/>
        </w:rPr>
        <w:t>承包</w:t>
      </w:r>
      <w:r>
        <w:rPr>
          <w:rFonts w:hint="eastAsia" w:ascii="Times New Roman" w:hAnsi="宋体" w:eastAsia="宋体" w:cs="宋体"/>
          <w:i w:val="0"/>
          <w:caps w:val="0"/>
          <w:color w:val="auto"/>
          <w:spacing w:val="0"/>
          <w:sz w:val="21"/>
          <w:szCs w:val="21"/>
          <w:highlight w:val="none"/>
        </w:rPr>
        <w:t>人提供履约担保的，应当同时向</w:t>
      </w:r>
      <w:r>
        <w:rPr>
          <w:rFonts w:hint="eastAsia" w:ascii="Times New Roman" w:hAnsi="宋体" w:eastAsia="宋体" w:cs="宋体"/>
          <w:i w:val="0"/>
          <w:caps w:val="0"/>
          <w:color w:val="auto"/>
          <w:spacing w:val="0"/>
          <w:sz w:val="21"/>
          <w:szCs w:val="21"/>
          <w:highlight w:val="none"/>
          <w:lang w:eastAsia="zh-CN"/>
        </w:rPr>
        <w:t>承包</w:t>
      </w:r>
      <w:r>
        <w:rPr>
          <w:rFonts w:hint="eastAsia" w:ascii="Times New Roman" w:hAnsi="宋体" w:eastAsia="宋体" w:cs="宋体"/>
          <w:i w:val="0"/>
          <w:caps w:val="0"/>
          <w:color w:val="auto"/>
          <w:spacing w:val="0"/>
          <w:sz w:val="21"/>
          <w:szCs w:val="21"/>
          <w:highlight w:val="none"/>
        </w:rPr>
        <w:t>人提供工程款支付担保。工程款支付担保可以全额担保，也可以分阶段担保。分阶段担保的，除保修金以外的全部款项，完成一个阶段清算后再进入下一阶段，有效期截至工程竣工结算款支付完毕。</w:t>
      </w:r>
      <w:r>
        <w:rPr>
          <w:rFonts w:hint="eastAsia" w:ascii="Times New Roman" w:hAnsi="宋体" w:eastAsia="宋体" w:cs="宋体"/>
          <w:i w:val="0"/>
          <w:caps w:val="0"/>
          <w:color w:val="auto"/>
          <w:spacing w:val="0"/>
          <w:sz w:val="21"/>
          <w:szCs w:val="21"/>
          <w:highlight w:val="none"/>
          <w:lang w:eastAsia="zh-CN"/>
        </w:rPr>
        <w:t>发包</w:t>
      </w:r>
      <w:r>
        <w:rPr>
          <w:rFonts w:hint="eastAsia" w:ascii="Times New Roman" w:hAnsi="宋体" w:eastAsia="宋体" w:cs="宋体"/>
          <w:i w:val="0"/>
          <w:caps w:val="0"/>
          <w:color w:val="auto"/>
          <w:spacing w:val="0"/>
          <w:sz w:val="21"/>
          <w:szCs w:val="21"/>
          <w:highlight w:val="none"/>
        </w:rPr>
        <w:t>人未按合同约定及时支付工程款的，工程担保保证人需承担担保责任。对政府投资项目，由建设单位提供落实财政资金来源的证明文件</w:t>
      </w:r>
      <w:r>
        <w:rPr>
          <w:rFonts w:hint="eastAsia" w:hAnsi="宋体" w:cs="宋体"/>
          <w:i w:val="0"/>
          <w:caps w:val="0"/>
          <w:color w:val="auto"/>
          <w:spacing w:val="0"/>
          <w:sz w:val="21"/>
          <w:szCs w:val="21"/>
          <w:highlight w:val="none"/>
          <w:lang w:eastAsia="zh-CN"/>
        </w:rPr>
        <w:t>】</w:t>
      </w:r>
    </w:p>
    <w:p w14:paraId="71392D56">
      <w:pPr>
        <w:spacing w:line="360" w:lineRule="auto"/>
        <w:ind w:firstLine="420" w:firstLineChars="200"/>
        <w:rPr>
          <w:rFonts w:hint="eastAsia" w:hAnsi="宋体" w:cs="宋体"/>
          <w:color w:val="auto"/>
          <w:highlight w:val="none"/>
          <w:lang w:val="en" w:eastAsia="zh-CN"/>
        </w:rPr>
      </w:pPr>
      <w:r>
        <w:rPr>
          <w:rFonts w:hint="eastAsia" w:hAnsi="宋体" w:cs="宋体"/>
          <w:color w:val="auto"/>
          <w:highlight w:val="none"/>
        </w:rPr>
        <w:t>发包人提供支付担保的形式：</w:t>
      </w:r>
      <w:r>
        <w:rPr>
          <w:rFonts w:hint="eastAsia"/>
          <w:color w:val="auto"/>
          <w:highlight w:val="none"/>
          <w:u w:val="none"/>
          <w:lang w:eastAsia="zh-CN"/>
        </w:rPr>
        <w:t>可以是</w:t>
      </w:r>
      <w:r>
        <w:rPr>
          <w:rFonts w:hint="eastAsia" w:hAnsi="宋体" w:cs="宋体"/>
          <w:color w:val="auto"/>
          <w:highlight w:val="none"/>
        </w:rPr>
        <w:t>银行转账、电汇或网上支付、保函（银行保函、电子</w:t>
      </w:r>
      <w:r>
        <w:rPr>
          <w:rFonts w:hAnsi="宋体" w:cs="宋体"/>
          <w:color w:val="auto"/>
          <w:highlight w:val="none"/>
        </w:rPr>
        <w:t>保函</w:t>
      </w:r>
      <w:r>
        <w:rPr>
          <w:rFonts w:hint="eastAsia" w:hAnsi="宋体" w:cs="宋体"/>
          <w:color w:val="auto"/>
          <w:highlight w:val="none"/>
        </w:rPr>
        <w:t>、保证保险保函、工程担保保函）</w:t>
      </w:r>
      <w:r>
        <w:rPr>
          <w:rFonts w:hint="eastAsia" w:hAnsi="宋体"/>
          <w:color w:val="auto"/>
          <w:highlight w:val="none"/>
        </w:rPr>
        <w:t>等</w:t>
      </w:r>
      <w:r>
        <w:rPr>
          <w:rFonts w:hint="eastAsia" w:hAnsi="宋体" w:cs="宋体"/>
          <w:color w:val="auto"/>
          <w:highlight w:val="none"/>
        </w:rPr>
        <w:t>形</w:t>
      </w:r>
      <w:r>
        <w:rPr>
          <w:rFonts w:hint="eastAsia" w:hAnsi="宋体"/>
          <w:color w:val="auto"/>
          <w:highlight w:val="none"/>
        </w:rPr>
        <w:t>式</w:t>
      </w:r>
      <w:r>
        <w:rPr>
          <w:rFonts w:hint="eastAsia" w:hAnsi="宋体" w:cs="宋体"/>
          <w:color w:val="auto"/>
          <w:highlight w:val="none"/>
        </w:rPr>
        <w:t>。</w:t>
      </w:r>
      <w:r>
        <w:rPr>
          <w:rFonts w:hint="eastAsia" w:hAnsi="宋体" w:cs="宋体"/>
          <w:color w:val="auto"/>
          <w:highlight w:val="none"/>
          <w:lang w:eastAsia="zh-CN"/>
        </w:rPr>
        <w:t>工程担保保证人应将出具的保函相关信息录入“广西建筑市场监管云”平台（https://gxjzsc.gxcic.</w:t>
      </w:r>
      <w:r>
        <w:rPr>
          <w:rFonts w:hint="eastAsia" w:cs="宋体"/>
          <w:color w:val="auto"/>
          <w:highlight w:val="none"/>
          <w:lang w:val="en-US" w:eastAsia="zh-CN"/>
        </w:rPr>
        <w:t>cn</w:t>
      </w:r>
      <w:r>
        <w:rPr>
          <w:rFonts w:hint="eastAsia" w:hAnsi="宋体" w:cs="宋体"/>
          <w:color w:val="auto"/>
          <w:highlight w:val="none"/>
          <w:lang w:eastAsia="zh-CN"/>
        </w:rPr>
        <w:t>），以实现保函查询及验真功能</w:t>
      </w:r>
      <w:r>
        <w:rPr>
          <w:rFonts w:hint="eastAsia" w:hAnsi="宋体" w:cs="宋体"/>
          <w:color w:val="auto"/>
          <w:highlight w:val="none"/>
          <w:lang w:val="en" w:eastAsia="zh-CN"/>
        </w:rPr>
        <w:t>。</w:t>
      </w:r>
    </w:p>
    <w:p w14:paraId="36B17D19">
      <w:pPr>
        <w:spacing w:line="360" w:lineRule="auto"/>
        <w:ind w:firstLine="420" w:firstLineChars="200"/>
        <w:rPr>
          <w:color w:val="auto"/>
          <w:highlight w:val="none"/>
          <w:u w:val="single"/>
        </w:rPr>
      </w:pPr>
      <w:r>
        <w:rPr>
          <w:rFonts w:hint="eastAsia" w:hAnsi="宋体" w:cs="宋体"/>
          <w:color w:val="auto"/>
          <w:highlight w:val="none"/>
        </w:rPr>
        <w:t>发包人提供的支付担保格式见合同附件</w:t>
      </w:r>
      <w:r>
        <w:rPr>
          <w:rFonts w:hint="eastAsia" w:hAnsi="宋体"/>
          <w:color w:val="auto"/>
          <w:highlight w:val="none"/>
        </w:rPr>
        <w:t>9</w:t>
      </w:r>
      <w:r>
        <w:rPr>
          <w:rFonts w:hint="eastAsia" w:hAnsi="宋体" w:cs="宋体"/>
          <w:color w:val="auto"/>
          <w:highlight w:val="none"/>
        </w:rPr>
        <w:t>。</w:t>
      </w:r>
    </w:p>
    <w:p w14:paraId="370F1078">
      <w:pPr>
        <w:pStyle w:val="4"/>
        <w:rPr>
          <w:color w:val="auto"/>
          <w:highlight w:val="none"/>
        </w:rPr>
      </w:pPr>
      <w:bookmarkStart w:id="839" w:name="_Toc1181400362"/>
      <w:bookmarkStart w:id="840" w:name="_Toc78449794"/>
      <w:bookmarkStart w:id="841" w:name="_Toc373478353"/>
      <w:bookmarkStart w:id="842" w:name="_Toc407135208"/>
      <w:bookmarkStart w:id="843" w:name="_Toc389065272"/>
      <w:bookmarkStart w:id="844" w:name="_Toc373227706"/>
      <w:bookmarkStart w:id="845" w:name="_Toc351203635"/>
      <w:bookmarkStart w:id="846" w:name="_Toc28432"/>
      <w:r>
        <w:rPr>
          <w:color w:val="auto"/>
          <w:highlight w:val="none"/>
        </w:rPr>
        <w:t>3</w:t>
      </w:r>
      <w:bookmarkStart w:id="847" w:name="_Toc292559868"/>
      <w:bookmarkStart w:id="848" w:name="_Toc296346659"/>
      <w:bookmarkStart w:id="849" w:name="_Toc296891198"/>
      <w:bookmarkStart w:id="850" w:name="_Toc292559363"/>
      <w:bookmarkStart w:id="851" w:name="_Toc296944497"/>
      <w:bookmarkStart w:id="852" w:name="_Toc296347157"/>
      <w:bookmarkStart w:id="853" w:name="_Toc296503158"/>
      <w:bookmarkStart w:id="854" w:name="_Toc297048344"/>
      <w:bookmarkStart w:id="855" w:name="_Toc296890986"/>
      <w:bookmarkStart w:id="856" w:name="_Toc297120458"/>
      <w:r>
        <w:rPr>
          <w:color w:val="auto"/>
          <w:highlight w:val="none"/>
        </w:rPr>
        <w:t xml:space="preserve">. </w:t>
      </w:r>
      <w:r>
        <w:rPr>
          <w:rFonts w:hint="eastAsia" w:hAnsi="宋体" w:cs="黑体"/>
          <w:color w:val="auto"/>
          <w:highlight w:val="none"/>
        </w:rPr>
        <w:t>承包人</w:t>
      </w:r>
      <w:bookmarkEnd w:id="839"/>
      <w:bookmarkEnd w:id="840"/>
      <w:bookmarkEnd w:id="841"/>
      <w:bookmarkEnd w:id="842"/>
      <w:bookmarkEnd w:id="843"/>
      <w:bookmarkEnd w:id="844"/>
      <w:bookmarkEnd w:id="845"/>
      <w:bookmarkEnd w:id="846"/>
    </w:p>
    <w:bookmarkEnd w:id="847"/>
    <w:bookmarkEnd w:id="848"/>
    <w:bookmarkEnd w:id="849"/>
    <w:bookmarkEnd w:id="850"/>
    <w:bookmarkEnd w:id="851"/>
    <w:bookmarkEnd w:id="852"/>
    <w:bookmarkEnd w:id="853"/>
    <w:bookmarkEnd w:id="854"/>
    <w:bookmarkEnd w:id="855"/>
    <w:bookmarkEnd w:id="856"/>
    <w:p w14:paraId="0262B6A0">
      <w:pPr>
        <w:pStyle w:val="5"/>
        <w:rPr>
          <w:color w:val="auto"/>
          <w:highlight w:val="none"/>
        </w:rPr>
      </w:pPr>
      <w:bookmarkStart w:id="857" w:name="_Toc78449795"/>
      <w:bookmarkStart w:id="858" w:name="_Toc962678435"/>
      <w:bookmarkStart w:id="859" w:name="_Toc23629"/>
      <w:bookmarkStart w:id="860" w:name="_Toc373478354"/>
      <w:bookmarkStart w:id="861" w:name="_Toc5874"/>
      <w:bookmarkStart w:id="862" w:name="_Toc407135209"/>
      <w:bookmarkStart w:id="863" w:name="_Toc373227707"/>
      <w:bookmarkStart w:id="864" w:name="_Toc389065273"/>
      <w:r>
        <w:rPr>
          <w:color w:val="auto"/>
          <w:highlight w:val="none"/>
        </w:rPr>
        <w:t xml:space="preserve">3.1 </w:t>
      </w:r>
      <w:r>
        <w:rPr>
          <w:rFonts w:hint="eastAsia" w:cs="黑体"/>
          <w:color w:val="auto"/>
          <w:highlight w:val="none"/>
        </w:rPr>
        <w:t>承包人的一般义务</w:t>
      </w:r>
      <w:bookmarkEnd w:id="857"/>
      <w:bookmarkEnd w:id="858"/>
      <w:bookmarkEnd w:id="859"/>
      <w:bookmarkEnd w:id="860"/>
      <w:bookmarkEnd w:id="861"/>
      <w:bookmarkEnd w:id="862"/>
      <w:bookmarkEnd w:id="863"/>
      <w:bookmarkEnd w:id="864"/>
    </w:p>
    <w:p w14:paraId="4966894D">
      <w:pPr>
        <w:spacing w:before="184"/>
        <w:ind w:left="538" w:right="108"/>
        <w:jc w:val="left"/>
        <w:rPr>
          <w:rFonts w:hint="eastAsia" w:ascii="宋体" w:hAnsi="宋体"/>
          <w:color w:val="auto"/>
          <w:kern w:val="0"/>
          <w:szCs w:val="21"/>
        </w:rPr>
      </w:pPr>
      <w:bookmarkStart w:id="865" w:name="_Toc26059"/>
      <w:bookmarkStart w:id="866" w:name="_Toc389065274"/>
      <w:bookmarkStart w:id="867" w:name="_Toc501741485"/>
      <w:bookmarkStart w:id="868" w:name="_Toc373227708"/>
      <w:bookmarkStart w:id="869" w:name="_Toc596"/>
      <w:bookmarkStart w:id="870" w:name="_Toc407135210"/>
      <w:bookmarkStart w:id="871" w:name="_Toc373478355"/>
      <w:bookmarkStart w:id="872" w:name="_Toc78449796"/>
      <w:r>
        <w:rPr>
          <w:rFonts w:ascii="Times New Roman" w:hAnsi="Times New Roman" w:eastAsia="Times New Roman"/>
          <w:color w:val="auto"/>
          <w:kern w:val="0"/>
          <w:szCs w:val="21"/>
        </w:rPr>
        <w:t>9</w:t>
      </w:r>
      <w:r>
        <w:rPr>
          <w:rFonts w:hint="eastAsia" w:ascii="宋体" w:hAnsi="宋体"/>
          <w:color w:val="auto"/>
          <w:kern w:val="0"/>
          <w:szCs w:val="21"/>
        </w:rPr>
        <w:t>）承包人提交的竣工资料的内容：</w:t>
      </w:r>
    </w:p>
    <w:p w14:paraId="4C9E4C35">
      <w:pPr>
        <w:spacing w:before="117" w:line="336" w:lineRule="auto"/>
        <w:ind w:left="118" w:right="213" w:firstLine="419"/>
        <w:rPr>
          <w:rFonts w:hint="eastAsia" w:ascii="宋体" w:hAnsi="宋体"/>
          <w:color w:val="auto"/>
          <w:kern w:val="0"/>
          <w:szCs w:val="21"/>
        </w:rPr>
      </w:pPr>
      <w:r>
        <w:rPr>
          <w:rFonts w:hint="eastAsia" w:ascii="宋体" w:hAnsi="宋体"/>
          <w:color w:val="auto"/>
          <w:spacing w:val="-2"/>
          <w:kern w:val="0"/>
          <w:szCs w:val="21"/>
          <w:u w:val="single" w:color="000000"/>
        </w:rPr>
        <w:t>①竣工图纸；②设计变更、洽商记录、现场签证；③施工资料：控制资料</w:t>
      </w:r>
      <w:r>
        <w:rPr>
          <w:rFonts w:ascii="Times New Roman" w:hAnsi="Times New Roman" w:eastAsia="Times New Roman"/>
          <w:color w:val="auto"/>
          <w:spacing w:val="-2"/>
          <w:kern w:val="0"/>
          <w:szCs w:val="21"/>
          <w:u w:val="single" w:color="000000"/>
        </w:rPr>
        <w:t>(</w:t>
      </w:r>
      <w:r>
        <w:rPr>
          <w:rFonts w:hint="eastAsia" w:ascii="宋体" w:hAnsi="宋体"/>
          <w:color w:val="auto"/>
          <w:spacing w:val="-2"/>
          <w:kern w:val="0"/>
          <w:szCs w:val="21"/>
          <w:u w:val="single" w:color="000000"/>
        </w:rPr>
        <w:t>含：材料检试验报告、施工记录、检验批质量、隐蔽工程记录、分项工程验收记录、分部工程验收记录</w:t>
      </w:r>
      <w:r>
        <w:rPr>
          <w:rFonts w:ascii="Times New Roman" w:hAnsi="Times New Roman" w:eastAsia="Times New Roman"/>
          <w:color w:val="auto"/>
          <w:spacing w:val="-2"/>
          <w:kern w:val="0"/>
          <w:szCs w:val="21"/>
          <w:u w:val="single" w:color="000000"/>
        </w:rPr>
        <w:t>)</w:t>
      </w:r>
      <w:r>
        <w:rPr>
          <w:rFonts w:hint="eastAsia" w:ascii="宋体" w:hAnsi="宋体"/>
          <w:color w:val="auto"/>
          <w:spacing w:val="-2"/>
          <w:kern w:val="0"/>
          <w:szCs w:val="21"/>
          <w:u w:val="single" w:color="000000"/>
        </w:rPr>
        <w:t>；④</w:t>
      </w:r>
      <w:r>
        <w:rPr>
          <w:rFonts w:hint="eastAsia" w:ascii="宋体" w:hAnsi="宋体"/>
          <w:color w:val="auto"/>
          <w:spacing w:val="-6"/>
          <w:kern w:val="0"/>
          <w:szCs w:val="21"/>
          <w:u w:val="single" w:color="000000"/>
        </w:rPr>
        <w:t>管理资料（含：开工报审表、施工日志、施工组织设计）</w:t>
      </w:r>
      <w:r>
        <w:rPr>
          <w:rFonts w:hint="eastAsia" w:ascii="宋体" w:hAnsi="宋体"/>
          <w:color w:val="auto"/>
          <w:spacing w:val="-6"/>
          <w:kern w:val="0"/>
          <w:szCs w:val="21"/>
        </w:rPr>
        <w:t>。</w:t>
      </w:r>
    </w:p>
    <w:p w14:paraId="3F1FA054">
      <w:pPr>
        <w:spacing w:before="47" w:line="352" w:lineRule="auto"/>
        <w:ind w:left="118" w:right="108" w:firstLine="419"/>
        <w:jc w:val="left"/>
        <w:rPr>
          <w:rFonts w:hint="eastAsia" w:ascii="宋体" w:hAnsi="宋体"/>
          <w:color w:val="auto"/>
          <w:kern w:val="0"/>
          <w:szCs w:val="21"/>
        </w:rPr>
      </w:pPr>
      <w:r>
        <w:rPr>
          <w:rFonts w:hint="eastAsia" w:ascii="宋体" w:hAnsi="宋体"/>
          <w:color w:val="auto"/>
          <w:spacing w:val="-2"/>
          <w:kern w:val="0"/>
          <w:szCs w:val="21"/>
        </w:rPr>
        <w:t>承包人需要提交的竣工资料套数：</w:t>
      </w:r>
      <w:r>
        <w:rPr>
          <w:rFonts w:hint="eastAsia" w:ascii="宋体" w:hAnsi="宋体"/>
          <w:color w:val="auto"/>
          <w:spacing w:val="-2"/>
          <w:kern w:val="0"/>
          <w:szCs w:val="21"/>
          <w:u w:val="single" w:color="000000"/>
        </w:rPr>
        <w:t>承包人需要提交的竣工资料套数，纸质版一式肆套，扫</w:t>
      </w:r>
      <w:r>
        <w:rPr>
          <w:rFonts w:hint="eastAsia" w:ascii="宋体" w:hAnsi="宋体"/>
          <w:color w:val="auto"/>
          <w:kern w:val="0"/>
          <w:szCs w:val="21"/>
          <w:u w:val="single" w:color="000000"/>
        </w:rPr>
        <w:t>描件电子版一套</w:t>
      </w:r>
      <w:r>
        <w:rPr>
          <w:rFonts w:hint="eastAsia" w:ascii="宋体" w:hAnsi="宋体"/>
          <w:color w:val="auto"/>
          <w:kern w:val="0"/>
          <w:szCs w:val="21"/>
        </w:rPr>
        <w:t>。</w:t>
      </w:r>
    </w:p>
    <w:p w14:paraId="5973B720">
      <w:pPr>
        <w:spacing w:before="32" w:line="352" w:lineRule="auto"/>
        <w:ind w:left="542" w:right="2068"/>
        <w:jc w:val="left"/>
        <w:rPr>
          <w:rFonts w:hint="eastAsia" w:ascii="宋体" w:hAnsi="宋体"/>
          <w:color w:val="auto"/>
          <w:kern w:val="0"/>
          <w:szCs w:val="21"/>
        </w:rPr>
      </w:pPr>
      <w:r>
        <w:rPr>
          <w:rFonts w:hint="eastAsia" w:ascii="宋体" w:hAnsi="宋体"/>
          <w:color w:val="auto"/>
          <w:kern w:val="0"/>
          <w:szCs w:val="21"/>
        </w:rPr>
        <w:t>承包人提交的竣工资料的费用承担：</w:t>
      </w:r>
      <w:r>
        <w:rPr>
          <w:rFonts w:hint="eastAsia" w:ascii="宋体" w:hAnsi="宋体"/>
          <w:color w:val="auto"/>
          <w:kern w:val="0"/>
          <w:szCs w:val="21"/>
          <w:u w:val="single" w:color="000000"/>
        </w:rPr>
        <w:t>承包人承担</w:t>
      </w:r>
      <w:r>
        <w:rPr>
          <w:rFonts w:hint="eastAsia" w:ascii="宋体" w:hAnsi="宋体"/>
          <w:color w:val="auto"/>
          <w:kern w:val="0"/>
          <w:szCs w:val="21"/>
        </w:rPr>
        <w:t>。</w:t>
      </w:r>
    </w:p>
    <w:p w14:paraId="0877D3FD">
      <w:pPr>
        <w:spacing w:before="32" w:line="352" w:lineRule="auto"/>
        <w:ind w:left="542" w:right="2068"/>
        <w:jc w:val="left"/>
        <w:rPr>
          <w:rFonts w:hint="eastAsia" w:ascii="宋体" w:hAnsi="宋体"/>
          <w:color w:val="auto"/>
          <w:kern w:val="0"/>
          <w:szCs w:val="21"/>
        </w:rPr>
      </w:pPr>
      <w:r>
        <w:rPr>
          <w:rFonts w:hint="eastAsia" w:ascii="宋体" w:hAnsi="宋体"/>
          <w:color w:val="auto"/>
          <w:kern w:val="0"/>
          <w:szCs w:val="21"/>
        </w:rPr>
        <w:t>承包人提交的竣工资料移交时间：</w:t>
      </w:r>
      <w:r>
        <w:rPr>
          <w:rFonts w:hint="eastAsia" w:ascii="宋体" w:hAnsi="宋体"/>
          <w:color w:val="auto"/>
          <w:kern w:val="0"/>
          <w:szCs w:val="21"/>
          <w:u w:val="single" w:color="000000"/>
        </w:rPr>
        <w:t>竣工验收后</w:t>
      </w:r>
      <w:r>
        <w:rPr>
          <w:rFonts w:ascii="Times New Roman" w:hAnsi="Times New Roman" w:eastAsia="Times New Roman"/>
          <w:color w:val="auto"/>
          <w:spacing w:val="-3"/>
          <w:kern w:val="0"/>
          <w:szCs w:val="21"/>
          <w:u w:val="single" w:color="000000"/>
        </w:rPr>
        <w:t>28</w:t>
      </w:r>
      <w:r>
        <w:rPr>
          <w:rFonts w:hint="eastAsia" w:ascii="宋体" w:hAnsi="宋体"/>
          <w:color w:val="auto"/>
          <w:kern w:val="0"/>
          <w:szCs w:val="21"/>
          <w:u w:val="single" w:color="000000"/>
        </w:rPr>
        <w:t>日内</w:t>
      </w:r>
      <w:r>
        <w:rPr>
          <w:rFonts w:hint="eastAsia" w:ascii="宋体" w:hAnsi="宋体"/>
          <w:color w:val="auto"/>
          <w:kern w:val="0"/>
          <w:szCs w:val="21"/>
        </w:rPr>
        <w:t>。</w:t>
      </w:r>
    </w:p>
    <w:p w14:paraId="7DC26BB0">
      <w:pPr>
        <w:spacing w:before="8"/>
        <w:ind w:left="538"/>
        <w:jc w:val="left"/>
        <w:rPr>
          <w:rFonts w:hint="eastAsia" w:ascii="宋体" w:hAnsi="宋体"/>
          <w:color w:val="auto"/>
          <w:kern w:val="0"/>
          <w:szCs w:val="21"/>
        </w:rPr>
      </w:pPr>
      <w:r>
        <w:rPr>
          <w:rFonts w:hint="eastAsia" w:ascii="宋体" w:hAnsi="宋体"/>
          <w:color w:val="auto"/>
          <w:kern w:val="0"/>
          <w:szCs w:val="21"/>
        </w:rPr>
        <w:t>承包人提交的竣工资料形式要求</w:t>
      </w:r>
      <w:r>
        <w:rPr>
          <w:rFonts w:hint="eastAsia" w:ascii="宋体" w:hAnsi="宋体"/>
          <w:color w:val="auto"/>
          <w:kern w:val="0"/>
          <w:szCs w:val="21"/>
          <w:u w:val="single" w:color="000000"/>
        </w:rPr>
        <w:t>：按竣工资料整理要求编制形成纸质资料并装订成册</w:t>
      </w:r>
      <w:r>
        <w:rPr>
          <w:rFonts w:hint="eastAsia" w:ascii="宋体" w:hAnsi="宋体"/>
          <w:color w:val="auto"/>
          <w:kern w:val="0"/>
          <w:szCs w:val="21"/>
        </w:rPr>
        <w:t>。</w:t>
      </w:r>
    </w:p>
    <w:p w14:paraId="592A25A1">
      <w:pPr>
        <w:spacing w:before="133" w:line="289" w:lineRule="exact"/>
        <w:ind w:left="538" w:right="108"/>
        <w:jc w:val="left"/>
        <w:rPr>
          <w:rFonts w:hint="eastAsia" w:ascii="宋体" w:hAnsi="宋体"/>
          <w:color w:val="auto"/>
          <w:kern w:val="0"/>
          <w:szCs w:val="21"/>
        </w:rPr>
      </w:pPr>
      <w:r>
        <w:rPr>
          <w:rFonts w:hint="eastAsia" w:ascii="宋体" w:hAnsi="宋体"/>
          <w:color w:val="auto"/>
          <w:kern w:val="0"/>
          <w:szCs w:val="21"/>
        </w:rPr>
        <w:t>（</w:t>
      </w:r>
      <w:r>
        <w:rPr>
          <w:rFonts w:ascii="Times New Roman" w:hAnsi="Times New Roman" w:eastAsia="Times New Roman"/>
          <w:color w:val="auto"/>
          <w:kern w:val="0"/>
          <w:szCs w:val="21"/>
        </w:rPr>
        <w:t>10</w:t>
      </w:r>
      <w:r>
        <w:rPr>
          <w:rFonts w:hint="eastAsia" w:ascii="宋体" w:hAnsi="宋体"/>
          <w:color w:val="auto"/>
          <w:kern w:val="0"/>
          <w:szCs w:val="21"/>
        </w:rPr>
        <w:t>）承包人应履行的其他义务：</w:t>
      </w:r>
      <w:r>
        <w:rPr>
          <w:rFonts w:hint="eastAsia" w:ascii="宋体" w:hAnsi="宋体"/>
          <w:color w:val="auto"/>
          <w:kern w:val="0"/>
          <w:szCs w:val="21"/>
          <w:u w:val="single" w:color="000000"/>
        </w:rPr>
        <w:t>对开工的项目，须组建项目工会。</w:t>
      </w:r>
      <w:r>
        <w:rPr>
          <w:rFonts w:hint="eastAsia" w:ascii="宋体" w:hAnsi="宋体"/>
          <w:color w:val="auto"/>
          <w:kern w:val="0"/>
          <w:szCs w:val="21"/>
        </w:rPr>
        <w:t>。</w:t>
      </w:r>
    </w:p>
    <w:p w14:paraId="21821B13">
      <w:pPr>
        <w:pStyle w:val="5"/>
        <w:rPr>
          <w:color w:val="auto"/>
          <w:highlight w:val="none"/>
        </w:rPr>
      </w:pPr>
      <w:r>
        <w:rPr>
          <w:color w:val="auto"/>
          <w:highlight w:val="none"/>
        </w:rPr>
        <w:t xml:space="preserve">3.2 </w:t>
      </w:r>
      <w:r>
        <w:rPr>
          <w:rFonts w:hint="eastAsia" w:hAnsi="宋体" w:cs="黑体"/>
          <w:color w:val="auto"/>
          <w:highlight w:val="none"/>
        </w:rPr>
        <w:t>项目经理</w:t>
      </w:r>
      <w:bookmarkEnd w:id="865"/>
      <w:bookmarkEnd w:id="866"/>
      <w:bookmarkEnd w:id="867"/>
      <w:bookmarkEnd w:id="868"/>
      <w:bookmarkEnd w:id="869"/>
      <w:bookmarkEnd w:id="870"/>
      <w:bookmarkEnd w:id="871"/>
      <w:bookmarkEnd w:id="872"/>
    </w:p>
    <w:p w14:paraId="038B2911">
      <w:pPr>
        <w:spacing w:line="360" w:lineRule="auto"/>
        <w:ind w:firstLine="420" w:firstLineChars="200"/>
        <w:rPr>
          <w:color w:val="auto"/>
          <w:highlight w:val="none"/>
        </w:rPr>
      </w:pPr>
      <w:r>
        <w:rPr>
          <w:color w:val="auto"/>
          <w:kern w:val="0"/>
          <w:highlight w:val="none"/>
        </w:rPr>
        <w:t xml:space="preserve">3.2.1 </w:t>
      </w:r>
      <w:r>
        <w:rPr>
          <w:rFonts w:hint="eastAsia" w:hAnsi="宋体" w:cs="宋体"/>
          <w:color w:val="auto"/>
          <w:highlight w:val="none"/>
        </w:rPr>
        <w:t>项目经理：</w:t>
      </w:r>
    </w:p>
    <w:p w14:paraId="2E4B459F">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24CEB672">
      <w:pPr>
        <w:spacing w:line="360" w:lineRule="auto"/>
        <w:ind w:firstLine="420" w:firstLineChars="200"/>
        <w:rPr>
          <w:color w:val="auto"/>
          <w:highlight w:val="none"/>
        </w:rPr>
      </w:pPr>
      <w:r>
        <w:rPr>
          <w:rFonts w:hAnsi="宋体"/>
          <w:color w:val="auto"/>
          <w:highlight w:val="none"/>
        </w:rPr>
        <w:t>身份证号：</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490CFD1A">
      <w:pPr>
        <w:spacing w:line="360" w:lineRule="auto"/>
        <w:ind w:firstLine="420" w:firstLineChars="200"/>
        <w:rPr>
          <w:color w:val="auto"/>
          <w:highlight w:val="none"/>
        </w:rPr>
      </w:pPr>
      <w:r>
        <w:rPr>
          <w:rFonts w:hAnsi="宋体"/>
          <w:color w:val="auto"/>
          <w:highlight w:val="none"/>
        </w:rPr>
        <w:t>建造师执业资格等级：</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2FE08C5C">
      <w:pPr>
        <w:spacing w:line="360" w:lineRule="auto"/>
        <w:ind w:firstLine="420" w:firstLineChars="200"/>
        <w:rPr>
          <w:color w:val="auto"/>
          <w:highlight w:val="none"/>
        </w:rPr>
      </w:pPr>
      <w:r>
        <w:rPr>
          <w:rFonts w:hAnsi="宋体"/>
          <w:color w:val="auto"/>
          <w:highlight w:val="none"/>
        </w:rPr>
        <w:t>建造师注册证书号：</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4F1B1563">
      <w:pPr>
        <w:spacing w:line="360" w:lineRule="auto"/>
        <w:ind w:firstLine="420" w:firstLineChars="200"/>
        <w:rPr>
          <w:rFonts w:hAnsi="宋体"/>
          <w:color w:val="auto"/>
          <w:highlight w:val="none"/>
        </w:rPr>
      </w:pPr>
      <w:r>
        <w:rPr>
          <w:rFonts w:hAnsi="宋体"/>
          <w:color w:val="auto"/>
          <w:highlight w:val="none"/>
        </w:rPr>
        <w:t>安全生产考核合格证书号：</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6C6126B0">
      <w:pPr>
        <w:spacing w:line="360" w:lineRule="auto"/>
        <w:ind w:firstLine="420" w:firstLineChars="200"/>
        <w:rPr>
          <w:color w:val="auto"/>
          <w:highlight w:val="none"/>
        </w:rPr>
      </w:pPr>
      <w:r>
        <w:rPr>
          <w:rFonts w:hAnsi="宋体"/>
          <w:color w:val="auto"/>
          <w:highlight w:val="none"/>
        </w:rPr>
        <w:t>联系电话：</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3F6F0A0B">
      <w:pPr>
        <w:spacing w:line="360" w:lineRule="auto"/>
        <w:ind w:firstLine="420" w:firstLineChars="200"/>
        <w:rPr>
          <w:color w:val="auto"/>
          <w:highlight w:val="none"/>
        </w:rPr>
      </w:pPr>
      <w:r>
        <w:rPr>
          <w:rFonts w:hAnsi="宋体"/>
          <w:color w:val="auto"/>
          <w:highlight w:val="none"/>
        </w:rPr>
        <w:t>电子信箱：</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678E4A8F">
      <w:pPr>
        <w:spacing w:line="360" w:lineRule="auto"/>
        <w:ind w:firstLine="420" w:firstLineChars="200"/>
        <w:rPr>
          <w:rFonts w:hint="eastAsia" w:hAnsi="宋体"/>
          <w:color w:val="auto"/>
          <w:highlight w:val="none"/>
        </w:rPr>
      </w:pPr>
      <w:r>
        <w:rPr>
          <w:rFonts w:hAnsi="宋体"/>
          <w:color w:val="auto"/>
          <w:highlight w:val="none"/>
        </w:rPr>
        <w:t>通信地址：</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667D8CD2">
      <w:pPr>
        <w:spacing w:line="360" w:lineRule="auto"/>
        <w:ind w:firstLine="420" w:firstLineChars="200"/>
        <w:rPr>
          <w:rFonts w:hint="eastAsia" w:eastAsia="宋体"/>
          <w:color w:val="auto"/>
          <w:highlight w:val="none"/>
          <w:lang w:eastAsia="zh-CN"/>
        </w:rPr>
      </w:pPr>
      <w:r>
        <w:rPr>
          <w:rFonts w:hint="eastAsia" w:hAnsi="宋体" w:cs="宋体"/>
          <w:color w:val="auto"/>
          <w:highlight w:val="none"/>
        </w:rPr>
        <w:t>承包人对项目经理的授权范围如下：</w:t>
      </w:r>
      <w:r>
        <w:rPr>
          <w:color w:val="auto"/>
          <w:highlight w:val="none"/>
        </w:rPr>
        <w:t xml:space="preserve">  </w:t>
      </w:r>
      <w:r>
        <w:rPr>
          <w:color w:val="auto"/>
          <w:highlight w:val="none"/>
          <w:u w:val="single"/>
        </w:rPr>
        <w:t xml:space="preserve">  </w:t>
      </w:r>
      <w:r>
        <w:rPr>
          <w:rFonts w:hint="eastAsia" w:ascii="宋体" w:hAnsi="宋体"/>
          <w:color w:val="auto"/>
          <w:spacing w:val="-3"/>
          <w:kern w:val="0"/>
          <w:szCs w:val="21"/>
          <w:u w:val="single" w:color="000000"/>
        </w:rPr>
        <w:t>项目经理仅限于对本工程的施工现场全面管理，包</w:t>
      </w:r>
      <w:r>
        <w:rPr>
          <w:rFonts w:hint="eastAsia" w:ascii="宋体" w:hAnsi="宋体"/>
          <w:color w:val="auto"/>
          <w:kern w:val="0"/>
          <w:szCs w:val="21"/>
          <w:u w:val="single" w:color="000000"/>
        </w:rPr>
        <w:t>括质量、技术、安全、进度管理，与发包人、监理工程师有关工程联系单、函件往来的签收，但未经承包人盖章同意授权下不得以承包人名义向外采购材料设备、租用建筑周转材料、雇佣劳动力、签订分包合同等从事一切为承包人设立义务或责任</w:t>
      </w:r>
      <w:r>
        <w:rPr>
          <w:rFonts w:hint="eastAsia" w:ascii="宋体" w:hAnsi="宋体"/>
          <w:color w:val="auto"/>
          <w:kern w:val="0"/>
          <w:szCs w:val="21"/>
          <w:u w:val="single" w:color="000000"/>
          <w:lang w:eastAsia="zh-CN"/>
        </w:rPr>
        <w:t>。</w:t>
      </w:r>
    </w:p>
    <w:p w14:paraId="6FDFB0D6">
      <w:pPr>
        <w:spacing w:line="360" w:lineRule="auto"/>
        <w:ind w:firstLine="420" w:firstLineChars="200"/>
        <w:jc w:val="left"/>
        <w:rPr>
          <w:rFonts w:hint="eastAsia"/>
          <w:color w:val="auto"/>
          <w:highlight w:val="none"/>
          <w:u w:val="single"/>
        </w:rPr>
      </w:pPr>
      <w:r>
        <w:rPr>
          <w:rFonts w:hint="eastAsia" w:hAnsi="宋体" w:cs="宋体"/>
          <w:color w:val="auto"/>
          <w:kern w:val="0"/>
          <w:highlight w:val="none"/>
        </w:rPr>
        <w:t>关于项目经理每月在施工现场的时间要求：</w:t>
      </w:r>
      <w:r>
        <w:rPr>
          <w:rFonts w:hint="eastAsia"/>
          <w:color w:val="auto"/>
          <w:highlight w:val="none"/>
          <w:u w:val="single"/>
        </w:rPr>
        <w:t>项目经理应常驻施工现场，且每月在岗带班时间不得少于当月施工时间的</w:t>
      </w:r>
      <w:r>
        <w:rPr>
          <w:rFonts w:hint="eastAsia"/>
          <w:color w:val="auto"/>
          <w:highlight w:val="none"/>
          <w:u w:val="single"/>
          <w:lang w:val="en-US" w:eastAsia="zh-CN"/>
        </w:rPr>
        <w:t>80</w:t>
      </w:r>
      <w:r>
        <w:rPr>
          <w:rFonts w:hint="eastAsia"/>
          <w:color w:val="auto"/>
          <w:highlight w:val="none"/>
          <w:u w:val="single"/>
        </w:rPr>
        <w:t xml:space="preserve"> %。（</w:t>
      </w:r>
      <w:r>
        <w:rPr>
          <w:rFonts w:hint="eastAsia"/>
          <w:color w:val="auto"/>
          <w:highlight w:val="none"/>
          <w:u w:val="single"/>
          <w:lang w:eastAsia="zh-CN"/>
        </w:rPr>
        <w:t>住房和城乡建设部</w:t>
      </w:r>
      <w:r>
        <w:rPr>
          <w:rFonts w:hint="eastAsia"/>
          <w:color w:val="auto"/>
          <w:highlight w:val="none"/>
          <w:u w:val="single"/>
        </w:rPr>
        <w:t>《建筑施工企业负责人及项目负责人施工现场带班暂行办法》（建质〔2011〕111号）规定：项目负责人每月带班生产时间不得少于本月施工时间的80%）</w:t>
      </w:r>
    </w:p>
    <w:p w14:paraId="3C0D8997">
      <w:pPr>
        <w:spacing w:line="360" w:lineRule="auto"/>
        <w:ind w:firstLine="420" w:firstLineChars="200"/>
        <w:jc w:val="left"/>
        <w:rPr>
          <w:rFonts w:hint="eastAsia"/>
          <w:color w:val="auto"/>
          <w:highlight w:val="none"/>
          <w:u w:val="single"/>
        </w:rPr>
      </w:pPr>
      <w:r>
        <w:rPr>
          <w:rFonts w:hint="eastAsia"/>
          <w:color w:val="auto"/>
          <w:highlight w:val="none"/>
          <w:u w:val="single"/>
        </w:rPr>
        <w:t xml:space="preserve">项目经理未达到到岗时间要求违约责任：项目经理每月到岗时间达不到合同约定时，每少1天，承包人须承担违约金 </w:t>
      </w:r>
      <w:r>
        <w:rPr>
          <w:rFonts w:ascii="Times New Roman" w:hAnsi="Times New Roman" w:eastAsia="Times New Roman"/>
          <w:color w:val="auto"/>
          <w:kern w:val="0"/>
          <w:szCs w:val="21"/>
          <w:u w:val="single" w:color="000000"/>
        </w:rPr>
        <w:t>1000</w:t>
      </w:r>
      <w:r>
        <w:rPr>
          <w:rFonts w:hint="eastAsia"/>
          <w:color w:val="auto"/>
          <w:highlight w:val="none"/>
          <w:u w:val="single"/>
        </w:rPr>
        <w:t xml:space="preserve">  元/天（人民币）。（项目经理到岗时间以广西建筑工人管理服务信息平台考勤记录为准）</w:t>
      </w:r>
    </w:p>
    <w:p w14:paraId="2EC0317F">
      <w:pPr>
        <w:spacing w:line="360" w:lineRule="auto"/>
        <w:ind w:firstLine="420" w:firstLineChars="200"/>
        <w:jc w:val="left"/>
        <w:rPr>
          <w:color w:val="auto"/>
          <w:kern w:val="0"/>
          <w:highlight w:val="none"/>
        </w:rPr>
      </w:pPr>
      <w:r>
        <w:rPr>
          <w:rFonts w:hint="eastAsia"/>
          <w:color w:val="auto"/>
          <w:highlight w:val="none"/>
          <w:u w:val="single"/>
        </w:rPr>
        <w:t>项目经理未经批准，擅自离开施工现场的违约责任：承包人须承担违约金</w:t>
      </w:r>
      <w:r>
        <w:rPr>
          <w:rFonts w:ascii="Times New Roman" w:hAnsi="Times New Roman" w:eastAsia="Times New Roman"/>
          <w:color w:val="auto"/>
          <w:kern w:val="0"/>
          <w:szCs w:val="21"/>
          <w:u w:val="single" w:color="000000"/>
        </w:rPr>
        <w:t>1000</w:t>
      </w:r>
      <w:r>
        <w:rPr>
          <w:rFonts w:hint="eastAsia"/>
          <w:color w:val="auto"/>
          <w:highlight w:val="none"/>
          <w:u w:val="single"/>
        </w:rPr>
        <w:t>元/天（人民币），并由承包人承担因上述违约行为给发包人造成的一切损失</w:t>
      </w:r>
      <w:r>
        <w:rPr>
          <w:rFonts w:hint="eastAsia"/>
          <w:color w:val="auto"/>
          <w:highlight w:val="none"/>
          <w:u w:val="single"/>
          <w:lang w:eastAsia="zh-CN"/>
        </w:rPr>
        <w:t>。</w:t>
      </w:r>
    </w:p>
    <w:p w14:paraId="6FD755F2">
      <w:pPr>
        <w:spacing w:line="360" w:lineRule="auto"/>
        <w:ind w:firstLine="420" w:firstLineChars="200"/>
        <w:rPr>
          <w:color w:val="auto"/>
          <w:highlight w:val="none"/>
          <w:u w:val="single"/>
        </w:rPr>
      </w:pPr>
      <w:r>
        <w:rPr>
          <w:rFonts w:hint="eastAsia" w:hAnsi="宋体" w:cs="宋体"/>
          <w:color w:val="auto"/>
          <w:kern w:val="0"/>
          <w:highlight w:val="none"/>
        </w:rPr>
        <w:t>承包人未提交劳动合同，以及没有为项目经理缴纳社会保险证明的违约责任：</w:t>
      </w:r>
    </w:p>
    <w:p w14:paraId="1069ADC2">
      <w:pPr>
        <w:spacing w:line="360" w:lineRule="auto"/>
        <w:rPr>
          <w:color w:val="auto"/>
          <w:kern w:val="0"/>
          <w:highlight w:val="none"/>
        </w:rPr>
      </w:pPr>
      <w:r>
        <w:rPr>
          <w:rFonts w:hint="eastAsia"/>
          <w:color w:val="auto"/>
          <w:highlight w:val="none"/>
          <w:u w:val="single"/>
        </w:rPr>
        <w:t>发包人有权要求承包人在3 日内补齐劳动合同、社保缴纳凭证等全部合规资料；逾期未补齐的，每逾期一日，承包人向发包人支付合同总价款万分之三的违约金</w:t>
      </w:r>
      <w:r>
        <w:rPr>
          <w:rFonts w:hint="eastAsia" w:hAnsi="宋体" w:cs="宋体"/>
          <w:color w:val="auto"/>
          <w:highlight w:val="none"/>
        </w:rPr>
        <w:t>。</w:t>
      </w:r>
    </w:p>
    <w:p w14:paraId="36154659">
      <w:pPr>
        <w:adjustRightInd w:val="0"/>
        <w:snapToGrid w:val="0"/>
        <w:spacing w:line="460" w:lineRule="exact"/>
        <w:ind w:firstLine="0" w:firstLineChars="0"/>
        <w:jc w:val="left"/>
        <w:rPr>
          <w:rFonts w:ascii="Times New Roman" w:hAnsi="Times New Roman" w:eastAsia="宋体" w:cs="Times New Roman"/>
          <w:color w:val="auto"/>
          <w:highlight w:val="none"/>
        </w:rPr>
      </w:pPr>
      <w:r>
        <w:rPr>
          <w:color w:val="auto"/>
          <w:highlight w:val="none"/>
        </w:rPr>
        <w:t xml:space="preserve">3.2.3 </w:t>
      </w:r>
      <w:r>
        <w:rPr>
          <w:rFonts w:hint="eastAsia" w:hAnsi="宋体" w:cs="宋体"/>
          <w:color w:val="auto"/>
          <w:highlight w:val="none"/>
        </w:rPr>
        <w:t>承包人擅自更换项目经理的违约责任：</w:t>
      </w:r>
      <w:r>
        <w:rPr>
          <w:rFonts w:hint="eastAsia" w:hAnsi="宋体" w:cs="宋体"/>
          <w:color w:val="auto"/>
          <w:highlight w:val="none"/>
          <w:u w:val="none"/>
        </w:rPr>
        <w:t>承包人项目经理必须与承包人投标时所承诺的人员一致，并在</w:t>
      </w:r>
      <w:r>
        <w:rPr>
          <w:color w:val="auto"/>
          <w:highlight w:val="none"/>
          <w:u w:val="single"/>
        </w:rPr>
        <w:t xml:space="preserve">  </w:t>
      </w:r>
      <w:r>
        <w:rPr>
          <w:rFonts w:hint="eastAsia" w:hAnsi="宋体" w:cs="宋体"/>
          <w:color w:val="auto"/>
          <w:highlight w:val="none"/>
          <w:u w:val="single"/>
        </w:rPr>
        <w:t>（开工日期）</w:t>
      </w:r>
      <w:r>
        <w:rPr>
          <w:color w:val="auto"/>
          <w:highlight w:val="none"/>
          <w:u w:val="single"/>
        </w:rPr>
        <w:t xml:space="preserve">  </w:t>
      </w:r>
      <w:r>
        <w:rPr>
          <w:rFonts w:hint="eastAsia" w:hAnsi="宋体" w:cs="宋体"/>
          <w:color w:val="auto"/>
          <w:highlight w:val="none"/>
          <w:u w:val="none"/>
        </w:rPr>
        <w:t>前到</w:t>
      </w:r>
      <w:r>
        <w:rPr>
          <w:rFonts w:hint="default" w:ascii="Times New Roman" w:hAnsi="Times New Roman" w:eastAsia="宋体" w:cs="Times New Roman"/>
          <w:color w:val="auto"/>
          <w:highlight w:val="none"/>
          <w:u w:val="none"/>
        </w:rPr>
        <w:t>任。在监理人向承包人颁发</w:t>
      </w:r>
      <w:r>
        <w:rPr>
          <w:rFonts w:ascii="Times New Roman" w:hAnsi="Times New Roman" w:eastAsia="宋体" w:cs="Times New Roman"/>
          <w:color w:val="auto"/>
          <w:highlight w:val="none"/>
          <w:u w:val="none"/>
        </w:rPr>
        <w:t xml:space="preserve"> </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single"/>
        </w:rPr>
        <w:t>（竣工证明材料名称）</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none"/>
        </w:rPr>
        <w:t xml:space="preserve"> </w:t>
      </w:r>
      <w:r>
        <w:rPr>
          <w:rFonts w:hint="default" w:ascii="Times New Roman" w:hAnsi="Times New Roman" w:eastAsia="宋体" w:cs="Times New Roman"/>
          <w:color w:val="auto"/>
          <w:highlight w:val="none"/>
          <w:u w:val="none"/>
        </w:rPr>
        <w:t>前，项目经理不得同时兼任其他任何项目的项目经理</w:t>
      </w:r>
      <w:r>
        <w:rPr>
          <w:rFonts w:hint="default" w:ascii="Times New Roman" w:hAnsi="Times New Roman" w:eastAsia="宋体" w:cs="Times New Roman"/>
          <w:color w:val="auto"/>
          <w:kern w:val="2"/>
          <w:highlight w:val="none"/>
          <w:u w:val="none"/>
        </w:rPr>
        <w:t>（</w:t>
      </w:r>
      <w:r>
        <w:rPr>
          <w:rFonts w:hint="default" w:ascii="Times New Roman" w:hAnsi="Times New Roman" w:eastAsia="宋体" w:cs="Times New Roman"/>
          <w:color w:val="auto"/>
          <w:kern w:val="2"/>
          <w:highlight w:val="none"/>
          <w:u w:val="none"/>
          <w:lang w:eastAsia="zh-CN"/>
        </w:rPr>
        <w:t>符合</w:t>
      </w:r>
      <w:r>
        <w:rPr>
          <w:rFonts w:hint="default" w:ascii="Times New Roman" w:hAnsi="Times New Roman" w:eastAsia="宋体" w:cs="Times New Roman"/>
          <w:color w:val="auto"/>
          <w:highlight w:val="none"/>
        </w:rPr>
        <w:t>《广西壮族自治区建筑市场诚信卡管理暂行办法》第十六条第一款及桂建管</w:t>
      </w:r>
      <w:r>
        <w:rPr>
          <w:rFonts w:ascii="Times New Roman" w:hAnsi="Times New Roman" w:eastAsia="宋体" w:cs="Times New Roman"/>
          <w:color w:val="auto"/>
          <w:highlight w:val="none"/>
        </w:rPr>
        <w:t>﹝</w:t>
      </w:r>
      <w:r>
        <w:rPr>
          <w:rFonts w:hint="default" w:ascii="Times New Roman" w:hAnsi="Times New Roman" w:eastAsia="宋体" w:cs="Times New Roman"/>
          <w:color w:val="auto"/>
          <w:kern w:val="2"/>
          <w:highlight w:val="none"/>
        </w:rPr>
        <w:t>2016</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70号</w:t>
      </w:r>
      <w:r>
        <w:rPr>
          <w:rFonts w:hint="default" w:ascii="Times New Roman" w:hAnsi="Times New Roman" w:eastAsia="宋体" w:cs="Times New Roman"/>
          <w:color w:val="auto"/>
          <w:highlight w:val="none"/>
          <w:u w:val="none"/>
          <w:lang w:eastAsia="zh-CN"/>
        </w:rPr>
        <w:t>、</w:t>
      </w:r>
      <w:r>
        <w:rPr>
          <w:rFonts w:hint="default" w:ascii="Times New Roman" w:hAnsi="Times New Roman" w:eastAsia="宋体" w:cs="Times New Roman"/>
          <w:color w:val="auto"/>
          <w:sz w:val="21"/>
          <w:szCs w:val="21"/>
          <w:highlight w:val="none"/>
          <w:u w:val="none"/>
        </w:rPr>
        <w:t>桂建管〔2020〕11号</w:t>
      </w:r>
      <w:r>
        <w:rPr>
          <w:rFonts w:hint="default" w:ascii="Times New Roman" w:hAnsi="Times New Roman" w:eastAsia="宋体" w:cs="Times New Roman"/>
          <w:color w:val="auto"/>
          <w:kern w:val="2"/>
          <w:highlight w:val="none"/>
          <w:u w:val="none"/>
        </w:rPr>
        <w:t>文除外）</w:t>
      </w:r>
      <w:r>
        <w:rPr>
          <w:rFonts w:hint="default" w:ascii="Times New Roman" w:hAnsi="Times New Roman" w:eastAsia="宋体" w:cs="Times New Roman"/>
          <w:color w:val="auto"/>
          <w:highlight w:val="none"/>
          <w:u w:val="none"/>
        </w:rPr>
        <w:t>。未经发包人书面同意，承包人擅自更换项目经理的视为违约，违约金处</w:t>
      </w:r>
      <w:r>
        <w:rPr>
          <w:rFonts w:ascii="Times New Roman" w:hAnsi="Times New Roman" w:eastAsia="宋体" w:cs="Times New Roman"/>
          <w:color w:val="auto"/>
          <w:highlight w:val="none"/>
          <w:u w:val="single"/>
        </w:rPr>
        <w:t xml:space="preserve"> </w:t>
      </w:r>
      <w:r>
        <w:rPr>
          <w:rFonts w:ascii="Times New Roman" w:hAnsi="Times New Roman" w:eastAsia="Times New Roman"/>
          <w:color w:val="auto"/>
          <w:kern w:val="0"/>
          <w:szCs w:val="21"/>
          <w:u w:val="single" w:color="000000"/>
        </w:rPr>
        <w:t>10000</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none"/>
        </w:rPr>
        <w:t>元</w:t>
      </w:r>
      <w:r>
        <w:rPr>
          <w:rFonts w:ascii="Times New Roman" w:hAnsi="Times New Roman" w:eastAsia="宋体" w:cs="Times New Roman"/>
          <w:color w:val="auto"/>
          <w:highlight w:val="none"/>
          <w:u w:val="none"/>
        </w:rPr>
        <w:t>/</w:t>
      </w:r>
      <w:r>
        <w:rPr>
          <w:rFonts w:hint="default" w:ascii="Times New Roman" w:hAnsi="Times New Roman" w:eastAsia="宋体" w:cs="Times New Roman"/>
          <w:color w:val="auto"/>
          <w:highlight w:val="none"/>
          <w:u w:val="none"/>
        </w:rPr>
        <w:t>人</w:t>
      </w:r>
      <w:r>
        <w:rPr>
          <w:rFonts w:ascii="Times New Roman" w:hAnsi="Times New Roman" w:eastAsia="宋体" w:cs="Times New Roman"/>
          <w:color w:val="auto"/>
          <w:highlight w:val="none"/>
          <w:u w:val="none"/>
        </w:rPr>
        <w:t>•</w:t>
      </w:r>
      <w:r>
        <w:rPr>
          <w:rFonts w:hint="default" w:ascii="Times New Roman" w:hAnsi="Times New Roman" w:eastAsia="宋体" w:cs="Times New Roman"/>
          <w:color w:val="auto"/>
          <w:highlight w:val="none"/>
          <w:u w:val="none"/>
        </w:rPr>
        <w:t>次（人民币）</w:t>
      </w:r>
      <w:r>
        <w:rPr>
          <w:rFonts w:hint="default" w:ascii="Times New Roman" w:hAnsi="Times New Roman" w:eastAsia="宋体" w:cs="Times New Roman"/>
          <w:color w:val="auto"/>
          <w:highlight w:val="none"/>
        </w:rPr>
        <w:t>。</w:t>
      </w:r>
    </w:p>
    <w:p w14:paraId="63D7E282">
      <w:pPr>
        <w:spacing w:line="360" w:lineRule="auto"/>
        <w:ind w:firstLine="420" w:firstLineChars="200"/>
        <w:rPr>
          <w:color w:val="auto"/>
          <w:highlight w:val="none"/>
        </w:rPr>
      </w:pPr>
      <w:r>
        <w:rPr>
          <w:color w:val="auto"/>
          <w:highlight w:val="none"/>
        </w:rPr>
        <w:t xml:space="preserve">3.2.4 </w:t>
      </w:r>
      <w:r>
        <w:rPr>
          <w:rFonts w:hint="eastAsia" w:hAnsi="宋体" w:cs="宋体"/>
          <w:color w:val="auto"/>
          <w:highlight w:val="none"/>
        </w:rPr>
        <w:t>承包人无正当理由拒绝更换项目经理的违约责任：</w:t>
      </w:r>
      <w:r>
        <w:rPr>
          <w:rFonts w:hint="eastAsia" w:hAnsi="宋体" w:cs="宋体"/>
          <w:color w:val="auto"/>
          <w:highlight w:val="none"/>
          <w:u w:val="single"/>
        </w:rPr>
        <w:t>因承包人项目经理不称职，发包人要求调换而未及时调换的，视为承包人违约，必须向发包人交纳</w:t>
      </w:r>
      <w:r>
        <w:rPr>
          <w:rFonts w:hint="eastAsia" w:hAnsi="宋体" w:cs="宋体"/>
          <w:color w:val="auto"/>
          <w:highlight w:val="none"/>
          <w:u w:val="single"/>
          <w:lang w:val="en-US" w:eastAsia="zh-CN"/>
        </w:rPr>
        <w:t>违约</w:t>
      </w:r>
      <w:r>
        <w:rPr>
          <w:rFonts w:hint="eastAsia" w:hAnsi="宋体" w:cs="宋体"/>
          <w:color w:val="auto"/>
          <w:highlight w:val="none"/>
          <w:u w:val="single"/>
        </w:rPr>
        <w:t>金</w:t>
      </w:r>
      <w:r>
        <w:rPr>
          <w:rFonts w:ascii="Times New Roman" w:hAnsi="Times New Roman" w:eastAsia="Times New Roman"/>
          <w:color w:val="auto"/>
          <w:kern w:val="0"/>
          <w:szCs w:val="21"/>
          <w:u w:val="single" w:color="000000"/>
        </w:rPr>
        <w:t>2000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58A605FD">
      <w:pPr>
        <w:pStyle w:val="5"/>
        <w:rPr>
          <w:color w:val="auto"/>
          <w:highlight w:val="none"/>
        </w:rPr>
      </w:pPr>
      <w:bookmarkStart w:id="873" w:name="_Toc78449797"/>
      <w:bookmarkStart w:id="874" w:name="_Toc373227709"/>
      <w:bookmarkStart w:id="875" w:name="_Toc24414"/>
      <w:bookmarkStart w:id="876" w:name="_Toc373478356"/>
      <w:bookmarkStart w:id="877" w:name="_Toc1443830486"/>
      <w:bookmarkStart w:id="878" w:name="_Toc389065275"/>
      <w:bookmarkStart w:id="879" w:name="_Toc15147"/>
      <w:bookmarkStart w:id="880" w:name="_Toc407135211"/>
      <w:r>
        <w:rPr>
          <w:color w:val="auto"/>
          <w:highlight w:val="none"/>
        </w:rPr>
        <w:t xml:space="preserve">3.3 </w:t>
      </w:r>
      <w:r>
        <w:rPr>
          <w:rFonts w:hint="eastAsia" w:hAnsi="宋体" w:cs="黑体"/>
          <w:color w:val="auto"/>
          <w:highlight w:val="none"/>
        </w:rPr>
        <w:t>承包人人员</w:t>
      </w:r>
      <w:bookmarkEnd w:id="873"/>
      <w:bookmarkEnd w:id="874"/>
      <w:bookmarkEnd w:id="875"/>
      <w:bookmarkEnd w:id="876"/>
      <w:bookmarkEnd w:id="877"/>
      <w:bookmarkEnd w:id="878"/>
      <w:bookmarkEnd w:id="879"/>
      <w:bookmarkEnd w:id="880"/>
    </w:p>
    <w:p w14:paraId="105F94F4">
      <w:pPr>
        <w:spacing w:line="360" w:lineRule="auto"/>
        <w:ind w:firstLine="420" w:firstLineChars="200"/>
        <w:rPr>
          <w:rFonts w:hAnsi="宋体"/>
          <w:color w:val="auto"/>
          <w:highlight w:val="none"/>
        </w:rPr>
      </w:pPr>
      <w:r>
        <w:rPr>
          <w:color w:val="auto"/>
          <w:highlight w:val="none"/>
        </w:rPr>
        <w:t xml:space="preserve">3.3.1 </w:t>
      </w:r>
      <w:r>
        <w:rPr>
          <w:rFonts w:hint="eastAsia" w:hAnsi="宋体" w:cs="宋体"/>
          <w:color w:val="auto"/>
          <w:highlight w:val="none"/>
        </w:rPr>
        <w:t>承包人提交项目管理机构及施工现场管理人员安排报告（格式见合同附件</w:t>
      </w:r>
      <w:r>
        <w:rPr>
          <w:rFonts w:hint="eastAsia" w:hAnsi="宋体"/>
          <w:color w:val="auto"/>
          <w:highlight w:val="none"/>
        </w:rPr>
        <w:t>5</w:t>
      </w:r>
      <w:r>
        <w:rPr>
          <w:rFonts w:hint="eastAsia" w:hAnsi="宋体" w:cs="宋体"/>
          <w:color w:val="auto"/>
          <w:highlight w:val="none"/>
        </w:rPr>
        <w:t>）的期限：</w:t>
      </w:r>
    </w:p>
    <w:p w14:paraId="02033F18">
      <w:pPr>
        <w:spacing w:before="184" w:line="336" w:lineRule="auto"/>
        <w:ind w:left="118" w:right="108" w:firstLine="419"/>
        <w:jc w:val="left"/>
        <w:rPr>
          <w:rFonts w:hint="eastAsia" w:ascii="宋体" w:hAnsi="宋体"/>
          <w:color w:val="auto"/>
          <w:kern w:val="0"/>
          <w:szCs w:val="21"/>
        </w:rPr>
      </w:pPr>
      <w:r>
        <w:rPr>
          <w:rFonts w:hint="eastAsia" w:ascii="宋体" w:hAnsi="宋体"/>
          <w:color w:val="auto"/>
          <w:kern w:val="0"/>
          <w:szCs w:val="21"/>
          <w:u w:val="single" w:color="000000"/>
        </w:rPr>
        <w:t>到开工通知后七日内</w:t>
      </w:r>
      <w:r>
        <w:rPr>
          <w:rFonts w:hint="eastAsia" w:ascii="宋体" w:hAnsi="宋体"/>
          <w:color w:val="auto"/>
          <w:kern w:val="0"/>
          <w:szCs w:val="21"/>
        </w:rPr>
        <w:t>。</w:t>
      </w:r>
    </w:p>
    <w:p w14:paraId="049861F2">
      <w:pPr>
        <w:spacing w:line="360" w:lineRule="auto"/>
        <w:rPr>
          <w:color w:val="auto"/>
          <w:highlight w:val="none"/>
        </w:rPr>
      </w:pPr>
    </w:p>
    <w:p w14:paraId="6443B992">
      <w:pPr>
        <w:spacing w:line="360" w:lineRule="auto"/>
        <w:ind w:firstLine="420" w:firstLineChars="200"/>
        <w:rPr>
          <w:color w:val="auto"/>
          <w:highlight w:val="none"/>
        </w:rPr>
      </w:pPr>
      <w:r>
        <w:rPr>
          <w:color w:val="auto"/>
          <w:highlight w:val="none"/>
        </w:rPr>
        <w:t xml:space="preserve">3.3.3 </w:t>
      </w:r>
      <w:r>
        <w:rPr>
          <w:rFonts w:hint="eastAsia" w:hAnsi="宋体" w:cs="宋体"/>
          <w:color w:val="auto"/>
          <w:highlight w:val="none"/>
        </w:rPr>
        <w:t>承包人无正当理由拒绝撤换主要施工管理人员的违约责任：</w:t>
      </w:r>
      <w:r>
        <w:rPr>
          <w:rFonts w:hint="eastAsia" w:hAnsi="宋体" w:cs="宋体"/>
          <w:color w:val="auto"/>
          <w:highlight w:val="none"/>
          <w:u w:val="single"/>
        </w:rPr>
        <w:t>因承包人主要施工管理人员不称职，发包人要求调换而无正当理由拒绝撤换或未及时调换的，视为承包人违约，必须向发包人交纳</w:t>
      </w:r>
      <w:r>
        <w:rPr>
          <w:rFonts w:hint="eastAsia" w:hAnsi="宋体" w:cs="宋体"/>
          <w:color w:val="auto"/>
          <w:highlight w:val="none"/>
          <w:u w:val="single"/>
          <w:lang w:val="en-US" w:eastAsia="zh-CN"/>
        </w:rPr>
        <w:t>违约金</w:t>
      </w:r>
      <w:r>
        <w:rPr>
          <w:rFonts w:hint="eastAsia" w:hAnsi="宋体" w:cs="宋体"/>
          <w:color w:val="auto"/>
          <w:highlight w:val="none"/>
          <w:u w:val="single"/>
        </w:rPr>
        <w:t>，</w:t>
      </w:r>
      <w:r>
        <w:rPr>
          <w:rFonts w:hint="eastAsia" w:hAnsi="宋体" w:cs="宋体"/>
          <w:color w:val="auto"/>
          <w:highlight w:val="none"/>
          <w:u w:val="single"/>
          <w:lang w:val="en-US" w:eastAsia="zh-CN"/>
        </w:rPr>
        <w:t>交纳</w:t>
      </w:r>
      <w:r>
        <w:rPr>
          <w:rFonts w:hint="eastAsia" w:hAnsi="宋体" w:cs="宋体"/>
          <w:color w:val="auto"/>
          <w:highlight w:val="none"/>
          <w:u w:val="single"/>
        </w:rPr>
        <w:t>标准：技术负责人</w:t>
      </w:r>
      <w:r>
        <w:rPr>
          <w:color w:val="auto"/>
          <w:highlight w:val="none"/>
          <w:u w:val="single"/>
        </w:rPr>
        <w:t xml:space="preserve">  </w:t>
      </w:r>
      <w:r>
        <w:rPr>
          <w:rFonts w:ascii="Times New Roman" w:hAnsi="Times New Roman" w:eastAsia="Times New Roman"/>
          <w:color w:val="auto"/>
          <w:kern w:val="0"/>
          <w:szCs w:val="21"/>
          <w:u w:val="single" w:color="000000"/>
        </w:rPr>
        <w:t>1000.00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；专业工程师</w:t>
      </w:r>
      <w:r>
        <w:rPr>
          <w:color w:val="auto"/>
          <w:highlight w:val="none"/>
          <w:u w:val="single"/>
        </w:rPr>
        <w:t xml:space="preserve">  </w:t>
      </w:r>
      <w:r>
        <w:rPr>
          <w:rFonts w:ascii="Times New Roman" w:hAnsi="Times New Roman" w:eastAsia="Times New Roman"/>
          <w:color w:val="auto"/>
          <w:kern w:val="0"/>
          <w:szCs w:val="21"/>
          <w:u w:val="single" w:color="000000"/>
        </w:rPr>
        <w:t>500.00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0C556585">
      <w:pPr>
        <w:spacing w:line="360" w:lineRule="auto"/>
        <w:ind w:firstLine="420" w:firstLineChars="200"/>
        <w:rPr>
          <w:color w:val="auto"/>
          <w:highlight w:val="none"/>
          <w:u w:val="single"/>
        </w:rPr>
      </w:pPr>
      <w:r>
        <w:rPr>
          <w:color w:val="auto"/>
          <w:highlight w:val="none"/>
        </w:rPr>
        <w:t xml:space="preserve">3.3.4 </w:t>
      </w:r>
      <w:r>
        <w:rPr>
          <w:rFonts w:hint="eastAsia" w:hAnsi="宋体" w:cs="宋体"/>
          <w:color w:val="auto"/>
          <w:highlight w:val="none"/>
        </w:rPr>
        <w:t>承包人主要施工管理人员离开施工现场的批准要求：</w:t>
      </w:r>
      <w:r>
        <w:rPr>
          <w:color w:val="auto"/>
          <w:highlight w:val="none"/>
          <w:u w:val="single"/>
        </w:rPr>
        <w:t xml:space="preserve">   </w:t>
      </w:r>
      <w:r>
        <w:rPr>
          <w:rFonts w:hint="eastAsia" w:ascii="宋体" w:hAnsi="宋体"/>
          <w:color w:val="auto"/>
          <w:spacing w:val="-3"/>
          <w:kern w:val="0"/>
          <w:szCs w:val="21"/>
          <w:u w:val="single" w:color="000000"/>
        </w:rPr>
        <w:t>按本合同《通用条款》相关条款</w:t>
      </w:r>
      <w:r>
        <w:rPr>
          <w:rFonts w:hint="eastAsia" w:ascii="宋体" w:hAnsi="宋体"/>
          <w:color w:val="auto"/>
          <w:kern w:val="0"/>
          <w:szCs w:val="21"/>
          <w:u w:val="single" w:color="000000"/>
        </w:rPr>
        <w:t>规定执行</w:t>
      </w:r>
      <w:r>
        <w:rPr>
          <w:color w:val="auto"/>
          <w:highlight w:val="none"/>
          <w:u w:val="single"/>
        </w:rPr>
        <w:t xml:space="preserve">    </w:t>
      </w:r>
      <w:r>
        <w:rPr>
          <w:rFonts w:hint="eastAsia" w:hAnsi="宋体" w:cs="宋体"/>
          <w:color w:val="auto"/>
          <w:highlight w:val="none"/>
        </w:rPr>
        <w:t>。</w:t>
      </w:r>
    </w:p>
    <w:p w14:paraId="0E508111">
      <w:pPr>
        <w:spacing w:line="360" w:lineRule="auto"/>
        <w:ind w:firstLine="420" w:firstLineChars="200"/>
        <w:rPr>
          <w:color w:val="auto"/>
          <w:highlight w:val="none"/>
        </w:rPr>
      </w:pPr>
      <w:r>
        <w:rPr>
          <w:color w:val="auto"/>
          <w:highlight w:val="none"/>
        </w:rPr>
        <w:t xml:space="preserve">3.3.5 </w:t>
      </w:r>
      <w:r>
        <w:rPr>
          <w:rFonts w:hint="eastAsia" w:hAnsi="宋体" w:cs="宋体"/>
          <w:color w:val="auto"/>
          <w:highlight w:val="none"/>
        </w:rPr>
        <w:t>承包人擅自更换主要施工管理人员的违约责任：</w:t>
      </w:r>
      <w:r>
        <w:rPr>
          <w:rFonts w:hint="eastAsia" w:hAnsi="宋体" w:cs="宋体"/>
          <w:color w:val="auto"/>
          <w:highlight w:val="none"/>
          <w:u w:val="single"/>
        </w:rPr>
        <w:t>项目技术负责人、专职安全生产管理人员及其承诺的其它在场管理人员未经发包人书面同意不准擅自更换，擅自更换项目技术负责人处</w:t>
      </w:r>
      <w:r>
        <w:rPr>
          <w:color w:val="auto"/>
          <w:highlight w:val="none"/>
          <w:u w:val="single"/>
        </w:rPr>
        <w:t xml:space="preserve">    </w:t>
      </w:r>
      <w:r>
        <w:rPr>
          <w:rFonts w:ascii="Times New Roman" w:hAnsi="Times New Roman" w:eastAsia="Times New Roman"/>
          <w:color w:val="auto"/>
          <w:kern w:val="0"/>
          <w:szCs w:val="21"/>
          <w:u w:val="single" w:color="000000"/>
        </w:rPr>
        <w:t>1000.00</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违约金；擅自更换专职安全生产管理人员处</w:t>
      </w:r>
      <w:r>
        <w:rPr>
          <w:color w:val="auto"/>
          <w:highlight w:val="none"/>
          <w:u w:val="single"/>
        </w:rPr>
        <w:t xml:space="preserve"> </w:t>
      </w:r>
      <w:r>
        <w:rPr>
          <w:rFonts w:ascii="Times New Roman" w:hAnsi="Times New Roman" w:eastAsia="Times New Roman"/>
          <w:color w:val="auto"/>
          <w:kern w:val="0"/>
          <w:szCs w:val="21"/>
          <w:u w:val="single" w:color="000000"/>
        </w:rPr>
        <w:t>1000.00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违约金；擅自更换其它在场管理人员处</w:t>
      </w:r>
      <w:r>
        <w:rPr>
          <w:color w:val="auto"/>
          <w:highlight w:val="none"/>
          <w:u w:val="single"/>
        </w:rPr>
        <w:t xml:space="preserve">  </w:t>
      </w:r>
      <w:r>
        <w:rPr>
          <w:rFonts w:ascii="Times New Roman" w:hAnsi="Times New Roman" w:eastAsia="Times New Roman"/>
          <w:color w:val="auto"/>
          <w:kern w:val="0"/>
          <w:szCs w:val="21"/>
          <w:u w:val="single" w:color="000000"/>
        </w:rPr>
        <w:t>1000.00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w:t>
      </w:r>
      <w:r>
        <w:rPr>
          <w:rFonts w:hint="eastAsia" w:hAnsi="宋体" w:cs="宋体"/>
          <w:color w:val="auto"/>
          <w:highlight w:val="none"/>
        </w:rPr>
        <w:t>。</w:t>
      </w:r>
    </w:p>
    <w:p w14:paraId="23E20CE5">
      <w:pPr>
        <w:spacing w:line="360" w:lineRule="auto"/>
        <w:ind w:firstLine="420" w:firstLineChars="200"/>
        <w:rPr>
          <w:color w:val="auto"/>
          <w:highlight w:val="none"/>
        </w:rPr>
      </w:pPr>
      <w:r>
        <w:rPr>
          <w:rFonts w:hint="eastAsia" w:hAnsi="宋体" w:cs="宋体"/>
          <w:color w:val="auto"/>
          <w:highlight w:val="none"/>
        </w:rPr>
        <w:t>承包人主要施工管理人员擅自离开施工现场的违约责任：</w:t>
      </w:r>
      <w:r>
        <w:rPr>
          <w:rFonts w:hint="eastAsia" w:hAnsi="宋体" w:cs="宋体"/>
          <w:color w:val="auto"/>
          <w:highlight w:val="none"/>
          <w:u w:val="single"/>
        </w:rPr>
        <w:t>未经发包人同意，项目技术负责人擅自离岗的，视为承包人违约，发包人有权处违约金</w:t>
      </w:r>
      <w:r>
        <w:rPr>
          <w:color w:val="auto"/>
          <w:highlight w:val="none"/>
          <w:u w:val="single"/>
        </w:rPr>
        <w:t xml:space="preserve"> </w:t>
      </w:r>
      <w:r>
        <w:rPr>
          <w:rFonts w:ascii="Times New Roman" w:hAnsi="Times New Roman" w:eastAsia="Times New Roman"/>
          <w:color w:val="auto"/>
          <w:kern w:val="0"/>
          <w:szCs w:val="21"/>
          <w:u w:val="single" w:color="000000"/>
        </w:rPr>
        <w:t>1000.00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；未经发包人同意，专职安全生产管理人员擅自离岗的，视为承包人违约，发包人有权处违约金</w:t>
      </w:r>
      <w:r>
        <w:rPr>
          <w:color w:val="auto"/>
          <w:highlight w:val="none"/>
          <w:u w:val="single"/>
        </w:rPr>
        <w:t xml:space="preserve">   </w:t>
      </w:r>
      <w:r>
        <w:rPr>
          <w:rFonts w:ascii="Times New Roman" w:hAnsi="Times New Roman" w:eastAsia="Times New Roman"/>
          <w:color w:val="auto"/>
          <w:kern w:val="0"/>
          <w:szCs w:val="21"/>
          <w:u w:val="single" w:color="000000"/>
        </w:rPr>
        <w:t>1000.00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；其它在场管理人员擅自离岗的，视为承包人违约，发包人有权处违约金</w:t>
      </w:r>
      <w:r>
        <w:rPr>
          <w:color w:val="auto"/>
          <w:highlight w:val="none"/>
          <w:u w:val="single"/>
        </w:rPr>
        <w:t xml:space="preserve"> </w:t>
      </w:r>
      <w:r>
        <w:rPr>
          <w:rFonts w:ascii="Times New Roman" w:hAnsi="Times New Roman" w:eastAsia="Times New Roman"/>
          <w:color w:val="auto"/>
          <w:kern w:val="0"/>
          <w:szCs w:val="21"/>
          <w:u w:val="single" w:color="000000"/>
        </w:rPr>
        <w:t>1000.00</w:t>
      </w:r>
      <w:r>
        <w:rPr>
          <w:color w:val="auto"/>
          <w:highlight w:val="none"/>
          <w:u w:val="single"/>
        </w:rPr>
        <w:t xml:space="preserve">   </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26A028F9">
      <w:pPr>
        <w:pStyle w:val="5"/>
        <w:rPr>
          <w:color w:val="auto"/>
          <w:highlight w:val="none"/>
        </w:rPr>
      </w:pPr>
      <w:bookmarkStart w:id="881" w:name="_Toc78449798"/>
      <w:bookmarkStart w:id="882" w:name="_Toc389065276"/>
      <w:bookmarkStart w:id="883" w:name="_Toc2025600126"/>
      <w:bookmarkStart w:id="884" w:name="_Toc373478357"/>
      <w:bookmarkStart w:id="885" w:name="_Toc10076"/>
      <w:bookmarkStart w:id="886" w:name="_Toc373227710"/>
      <w:bookmarkStart w:id="887" w:name="_Toc21361"/>
      <w:bookmarkStart w:id="888" w:name="_Toc407135212"/>
      <w:r>
        <w:rPr>
          <w:color w:val="auto"/>
          <w:highlight w:val="none"/>
        </w:rPr>
        <w:t>3</w:t>
      </w:r>
      <w:bookmarkStart w:id="889" w:name="_Toc296891199"/>
      <w:bookmarkStart w:id="890" w:name="_Toc297123492"/>
      <w:bookmarkStart w:id="891" w:name="_Toc297120459"/>
      <w:bookmarkStart w:id="892" w:name="_Toc296347158"/>
      <w:bookmarkStart w:id="893" w:name="_Toc304295523"/>
      <w:bookmarkStart w:id="894" w:name="_Toc296346660"/>
      <w:bookmarkStart w:id="895" w:name="_Toc303539102"/>
      <w:bookmarkStart w:id="896" w:name="_Toc300934945"/>
      <w:bookmarkStart w:id="897" w:name="_Toc296944498"/>
      <w:bookmarkStart w:id="898" w:name="_Toc312677988"/>
      <w:bookmarkStart w:id="899" w:name="_Toc297048345"/>
      <w:bookmarkStart w:id="900" w:name="_Toc292559869"/>
      <w:bookmarkStart w:id="901" w:name="_Toc296890987"/>
      <w:bookmarkStart w:id="902" w:name="_Toc296503159"/>
      <w:bookmarkStart w:id="903" w:name="_Toc292559364"/>
      <w:bookmarkStart w:id="904" w:name="_Toc297216151"/>
      <w:r>
        <w:rPr>
          <w:color w:val="auto"/>
          <w:highlight w:val="none"/>
        </w:rPr>
        <w:t xml:space="preserve">.5 </w:t>
      </w:r>
      <w:r>
        <w:rPr>
          <w:rFonts w:hint="eastAsia" w:hAnsi="宋体" w:cs="黑体"/>
          <w:color w:val="auto"/>
          <w:highlight w:val="none"/>
        </w:rPr>
        <w:t>分包</w:t>
      </w:r>
      <w:bookmarkEnd w:id="881"/>
      <w:bookmarkEnd w:id="882"/>
      <w:bookmarkEnd w:id="883"/>
      <w:bookmarkEnd w:id="884"/>
      <w:bookmarkEnd w:id="885"/>
      <w:bookmarkEnd w:id="886"/>
      <w:bookmarkEnd w:id="887"/>
      <w:bookmarkEnd w:id="888"/>
    </w:p>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14:paraId="6AE440B5">
      <w:pPr>
        <w:spacing w:line="360" w:lineRule="auto"/>
        <w:ind w:firstLine="420" w:firstLineChars="200"/>
        <w:rPr>
          <w:color w:val="auto"/>
          <w:highlight w:val="none"/>
        </w:rPr>
      </w:pPr>
      <w:r>
        <w:rPr>
          <w:color w:val="auto"/>
          <w:highlight w:val="none"/>
        </w:rPr>
        <w:t>3</w:t>
      </w:r>
      <w:bookmarkStart w:id="905" w:name="_Toc296347159"/>
      <w:bookmarkStart w:id="906" w:name="_Toc303539103"/>
      <w:bookmarkStart w:id="907" w:name="_Toc296503160"/>
      <w:bookmarkStart w:id="908" w:name="_Toc292559870"/>
      <w:bookmarkStart w:id="909" w:name="_Toc300934946"/>
      <w:bookmarkStart w:id="910" w:name="_Toc296944499"/>
      <w:bookmarkStart w:id="911" w:name="_Toc296346661"/>
      <w:bookmarkStart w:id="912" w:name="_Toc297120460"/>
      <w:bookmarkStart w:id="913" w:name="_Toc297123493"/>
      <w:bookmarkStart w:id="914" w:name="_Toc296890988"/>
      <w:bookmarkStart w:id="915" w:name="_Toc292559365"/>
      <w:bookmarkStart w:id="916" w:name="_Toc318581158"/>
      <w:bookmarkStart w:id="917" w:name="_Toc312677989"/>
      <w:bookmarkStart w:id="918" w:name="_Toc297216152"/>
      <w:bookmarkStart w:id="919" w:name="_Toc297048346"/>
      <w:bookmarkStart w:id="920" w:name="_Toc304295524"/>
      <w:bookmarkStart w:id="921" w:name="_Toc296891200"/>
      <w:r>
        <w:rPr>
          <w:color w:val="auto"/>
          <w:highlight w:val="none"/>
        </w:rPr>
        <w:t xml:space="preserve">.5.1 </w:t>
      </w:r>
      <w:r>
        <w:rPr>
          <w:rFonts w:hint="eastAsia" w:hAnsi="宋体" w:cs="宋体"/>
          <w:color w:val="auto"/>
          <w:highlight w:val="none"/>
        </w:rPr>
        <w:t>分包的一般约定</w:t>
      </w:r>
    </w:p>
    <w:p w14:paraId="40CAFB61">
      <w:pPr>
        <w:spacing w:line="360" w:lineRule="auto"/>
        <w:ind w:firstLine="420" w:firstLineChars="200"/>
        <w:jc w:val="left"/>
        <w:rPr>
          <w:color w:val="auto"/>
          <w:highlight w:val="none"/>
        </w:rPr>
      </w:pPr>
      <w:r>
        <w:rPr>
          <w:rFonts w:hint="eastAsia" w:hAnsi="宋体" w:cs="宋体"/>
          <w:color w:val="auto"/>
          <w:highlight w:val="none"/>
        </w:rPr>
        <w:t>禁止分包的工程包括：</w:t>
      </w:r>
      <w:r>
        <w:rPr>
          <w:color w:val="auto"/>
          <w:highlight w:val="none"/>
          <w:u w:val="single"/>
        </w:rPr>
        <w:t xml:space="preserve">     </w:t>
      </w:r>
      <w:r>
        <w:rPr>
          <w:rFonts w:hint="eastAsia" w:ascii="宋体" w:hAnsi="宋体"/>
          <w:color w:val="auto"/>
          <w:kern w:val="0"/>
          <w:szCs w:val="21"/>
          <w:u w:val="single" w:color="000000"/>
        </w:rPr>
        <w:t>本项目禁止分包</w:t>
      </w:r>
      <w:r>
        <w:rPr>
          <w:color w:val="auto"/>
          <w:highlight w:val="none"/>
          <w:u w:val="single"/>
        </w:rPr>
        <w:t xml:space="preserve">       </w:t>
      </w:r>
      <w:r>
        <w:rPr>
          <w:rFonts w:hint="eastAsia" w:hAnsi="宋体" w:cs="宋体"/>
          <w:color w:val="auto"/>
          <w:highlight w:val="none"/>
        </w:rPr>
        <w:t>。</w:t>
      </w:r>
    </w:p>
    <w:p w14:paraId="22F08B94">
      <w:pPr>
        <w:spacing w:line="360" w:lineRule="auto"/>
        <w:ind w:firstLine="420" w:firstLineChars="200"/>
        <w:jc w:val="left"/>
        <w:rPr>
          <w:rFonts w:hAnsi="宋体"/>
          <w:color w:val="auto"/>
          <w:highlight w:val="none"/>
        </w:rPr>
      </w:pPr>
      <w:r>
        <w:rPr>
          <w:rFonts w:hint="eastAsia" w:hAnsi="宋体" w:cs="宋体"/>
          <w:color w:val="auto"/>
          <w:highlight w:val="none"/>
        </w:rPr>
        <w:t>主体结构、关键性工作的范围：</w:t>
      </w:r>
      <w:r>
        <w:rPr>
          <w:color w:val="auto"/>
          <w:highlight w:val="none"/>
          <w:u w:val="single"/>
        </w:rPr>
        <w:t xml:space="preserve">      </w:t>
      </w:r>
      <w:r>
        <w:rPr>
          <w:rFonts w:hint="eastAsia" w:ascii="宋体" w:hAnsi="宋体"/>
          <w:color w:val="auto"/>
          <w:kern w:val="0"/>
          <w:szCs w:val="21"/>
          <w:u w:val="single" w:color="000000"/>
          <w:lang w:eastAsia="zh-CN"/>
        </w:rPr>
        <w:t>按国家相关规定确定</w:t>
      </w:r>
      <w:r>
        <w:rPr>
          <w:color w:val="auto"/>
          <w:highlight w:val="none"/>
          <w:u w:val="single"/>
        </w:rPr>
        <w:t xml:space="preserve">      </w:t>
      </w:r>
      <w:r>
        <w:rPr>
          <w:rFonts w:hint="eastAsia" w:hAnsi="宋体" w:cs="宋体"/>
          <w:color w:val="auto"/>
          <w:highlight w:val="none"/>
        </w:rPr>
        <w:t>。</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p w14:paraId="7324B877">
      <w:pPr>
        <w:spacing w:line="360" w:lineRule="auto"/>
        <w:ind w:firstLine="420" w:firstLineChars="200"/>
        <w:jc w:val="left"/>
        <w:rPr>
          <w:color w:val="auto"/>
          <w:highlight w:val="none"/>
        </w:rPr>
      </w:pPr>
      <w:r>
        <w:rPr>
          <w:color w:val="auto"/>
          <w:highlight w:val="none"/>
        </w:rPr>
        <w:t>3</w:t>
      </w:r>
      <w:bookmarkStart w:id="922" w:name="_Toc312677990"/>
      <w:bookmarkStart w:id="923" w:name="_Toc318581159"/>
      <w:r>
        <w:rPr>
          <w:color w:val="auto"/>
          <w:highlight w:val="none"/>
        </w:rPr>
        <w:t xml:space="preserve">.5.2 </w:t>
      </w:r>
      <w:r>
        <w:rPr>
          <w:rFonts w:hint="eastAsia" w:hAnsi="宋体" w:cs="宋体"/>
          <w:color w:val="auto"/>
          <w:highlight w:val="none"/>
        </w:rPr>
        <w:t>分包的确定</w:t>
      </w:r>
    </w:p>
    <w:p w14:paraId="07CB7D66">
      <w:pPr>
        <w:spacing w:line="360" w:lineRule="auto"/>
        <w:ind w:firstLine="420" w:firstLineChars="200"/>
        <w:rPr>
          <w:color w:val="auto"/>
          <w:highlight w:val="none"/>
          <w:u w:val="single"/>
        </w:rPr>
      </w:pPr>
      <w:r>
        <w:rPr>
          <w:rFonts w:hint="eastAsia" w:hAnsi="宋体" w:cs="宋体"/>
          <w:color w:val="auto"/>
          <w:highlight w:val="none"/>
        </w:rPr>
        <w:t>允许分包的专业工程包括：</w:t>
      </w:r>
      <w:r>
        <w:rPr>
          <w:color w:val="auto"/>
          <w:highlight w:val="none"/>
          <w:u w:val="single"/>
        </w:rPr>
        <w:t xml:space="preserve">     </w:t>
      </w:r>
      <w:r>
        <w:rPr>
          <w:rFonts w:hint="eastAsia" w:ascii="Times New Roman" w:hAnsi="Times New Roman" w:eastAsia="宋体"/>
          <w:color w:val="auto"/>
          <w:spacing w:val="-2"/>
          <w:kern w:val="0"/>
          <w:szCs w:val="21"/>
          <w:u w:val="single" w:color="000000"/>
          <w:lang w:eastAsia="zh-CN"/>
        </w:rPr>
        <w:t>非主体结构（劳务分包除外）</w:t>
      </w:r>
      <w:r>
        <w:rPr>
          <w:color w:val="auto"/>
          <w:highlight w:val="none"/>
          <w:u w:val="single"/>
        </w:rPr>
        <w:t xml:space="preserve">      </w:t>
      </w:r>
      <w:r>
        <w:rPr>
          <w:rFonts w:hint="eastAsia" w:hAnsi="宋体" w:cs="宋体"/>
          <w:color w:val="auto"/>
          <w:highlight w:val="none"/>
        </w:rPr>
        <w:t>。</w:t>
      </w:r>
    </w:p>
    <w:p w14:paraId="3AD8CFF5">
      <w:pPr>
        <w:spacing w:line="360" w:lineRule="auto"/>
        <w:ind w:firstLine="420" w:firstLineChars="200"/>
        <w:rPr>
          <w:color w:val="auto"/>
          <w:highlight w:val="none"/>
        </w:rPr>
      </w:pPr>
      <w:r>
        <w:rPr>
          <w:rFonts w:hint="eastAsia" w:hAnsi="宋体" w:cs="宋体"/>
          <w:color w:val="auto"/>
          <w:highlight w:val="none"/>
        </w:rPr>
        <w:t>其他关于分包的约定：</w:t>
      </w:r>
    </w:p>
    <w:p w14:paraId="58410669">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w:t>
      </w:r>
      <w:r>
        <w:rPr>
          <w:rFonts w:hint="eastAsia" w:hAnsi="宋体" w:cs="宋体"/>
          <w:color w:val="auto"/>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eastAsia" w:hAnsi="宋体"/>
          <w:color w:val="auto"/>
          <w:highlight w:val="none"/>
        </w:rPr>
        <w:t>6</w:t>
      </w:r>
      <w:r>
        <w:rPr>
          <w:rFonts w:hint="eastAsia" w:hAnsi="宋体" w:cs="宋体"/>
          <w:color w:val="auto"/>
          <w:highlight w:val="none"/>
        </w:rPr>
        <w:t>。</w:t>
      </w:r>
    </w:p>
    <w:p w14:paraId="1DEDD792">
      <w:pPr>
        <w:spacing w:line="360" w:lineRule="auto"/>
        <w:ind w:firstLine="420" w:firstLineChars="200"/>
        <w:rPr>
          <w:color w:val="auto"/>
          <w:highlight w:val="none"/>
          <w:u w:val="single"/>
        </w:rPr>
      </w:pPr>
      <w:r>
        <w:rPr>
          <w:rFonts w:hint="eastAsia" w:cs="宋体"/>
          <w:color w:val="auto"/>
          <w:highlight w:val="none"/>
        </w:rPr>
        <w:t>（</w:t>
      </w:r>
      <w:r>
        <w:rPr>
          <w:color w:val="auto"/>
          <w:highlight w:val="none"/>
        </w:rPr>
        <w:t>2</w:t>
      </w:r>
      <w:r>
        <w:rPr>
          <w:rFonts w:hint="eastAsia" w:cs="宋体"/>
          <w:color w:val="auto"/>
          <w:highlight w:val="none"/>
        </w:rPr>
        <w:t>）</w:t>
      </w:r>
      <w:r>
        <w:rPr>
          <w:rFonts w:hint="eastAsia" w:hAnsi="宋体" w:cs="宋体"/>
          <w:color w:val="auto"/>
          <w:highlight w:val="none"/>
        </w:rPr>
        <w:t>在相关分包合同签订并报送有关建设行政主管部门备案后</w:t>
      </w:r>
      <w:r>
        <w:rPr>
          <w:color w:val="auto"/>
          <w:highlight w:val="none"/>
        </w:rPr>
        <w:t>7</w:t>
      </w:r>
      <w:r>
        <w:rPr>
          <w:rFonts w:hint="eastAsia" w:hAnsi="宋体" w:cs="宋体"/>
          <w:color w:val="auto"/>
          <w:highlight w:val="none"/>
        </w:rPr>
        <w:t>天内，承包人应当将一份副本提交给监理人，承包人应保障分包工作不得再次分包。</w:t>
      </w:r>
    </w:p>
    <w:p w14:paraId="2F325BA1">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r>
        <w:rPr>
          <w:rFonts w:hint="eastAsia" w:hAnsi="宋体" w:cs="宋体"/>
          <w:color w:val="auto"/>
          <w:highlight w:val="none"/>
        </w:rPr>
        <w:t>未经承包人和监理人审批同意的分包工程和分包人，承包人有权拒绝验收分包工程和支付相应款项，由此引起的发包人费用增加和</w:t>
      </w:r>
      <w:r>
        <w:rPr>
          <w:rFonts w:hint="eastAsia" w:hAnsi="宋体" w:cs="宋体"/>
          <w:color w:val="auto"/>
          <w:highlight w:val="none"/>
          <w:lang w:eastAsia="zh-CN"/>
        </w:rPr>
        <w:t>（</w:t>
      </w:r>
      <w:r>
        <w:rPr>
          <w:rFonts w:hint="eastAsia" w:hAnsi="宋体" w:cs="宋体"/>
          <w:color w:val="auto"/>
          <w:highlight w:val="none"/>
        </w:rPr>
        <w:t>或</w:t>
      </w:r>
      <w:r>
        <w:rPr>
          <w:rFonts w:hint="eastAsia" w:hAnsi="宋体" w:cs="宋体"/>
          <w:color w:val="auto"/>
          <w:highlight w:val="none"/>
          <w:lang w:eastAsia="zh-CN"/>
        </w:rPr>
        <w:t>）</w:t>
      </w:r>
      <w:r>
        <w:rPr>
          <w:rFonts w:hint="eastAsia" w:hAnsi="宋体" w:cs="宋体"/>
          <w:color w:val="auto"/>
          <w:highlight w:val="none"/>
        </w:rPr>
        <w:t>延误的工期由发包人承担。</w:t>
      </w:r>
    </w:p>
    <w:p w14:paraId="6C8D51A1">
      <w:pPr>
        <w:pStyle w:val="22"/>
        <w:spacing w:line="360" w:lineRule="auto"/>
        <w:ind w:firstLine="420"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w:t>
      </w:r>
      <w:r>
        <w:rPr>
          <w:rFonts w:ascii="Times New Roman" w:hAnsi="Times New Roman"/>
          <w:color w:val="auto"/>
          <w:sz w:val="21"/>
          <w:szCs w:val="21"/>
          <w:highlight w:val="none"/>
        </w:rPr>
        <w:t>4</w:t>
      </w:r>
      <w:r>
        <w:rPr>
          <w:rFonts w:hint="eastAsia" w:ascii="Times New Roman" w:hAnsi="Times New Roman"/>
          <w:color w:val="auto"/>
          <w:sz w:val="21"/>
          <w:szCs w:val="21"/>
          <w:highlight w:val="none"/>
        </w:rPr>
        <w:t>）</w:t>
      </w:r>
      <w:r>
        <w:rPr>
          <w:rFonts w:hint="eastAsia" w:ascii="Times New Roman" w:hAnsi="宋体"/>
          <w:color w:val="auto"/>
          <w:sz w:val="21"/>
          <w:szCs w:val="21"/>
          <w:highlight w:val="none"/>
        </w:rPr>
        <w:t>承包人有以下情况之一者，发包人有权解除合同，并视情况扣除其履约保证金：</w:t>
      </w:r>
    </w:p>
    <w:p w14:paraId="05ADE902">
      <w:pPr>
        <w:pStyle w:val="22"/>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①个人承包工程，包括本人单位及外单位人员承包，发包人不承认其个人拥有任何资质等级及营业许可资格。没收全部履约保证金。</w:t>
      </w:r>
    </w:p>
    <w:p w14:paraId="39506C14">
      <w:pPr>
        <w:pStyle w:val="22"/>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②几个人联合承包工程，就地组织暗分包队伍，不具备完成本工程的技术、机械能力，被发包人判定为没有能力履行的承包人。没收全部履约保证金。</w:t>
      </w:r>
    </w:p>
    <w:p w14:paraId="609702DC">
      <w:pPr>
        <w:pStyle w:val="22"/>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③就地转包全部的工程，以谋取高额转让费、管理费的承包人。没收全部履约保证金。</w:t>
      </w:r>
    </w:p>
    <w:p w14:paraId="701268FA">
      <w:pPr>
        <w:spacing w:line="360" w:lineRule="auto"/>
        <w:ind w:firstLine="420" w:firstLineChars="200"/>
        <w:rPr>
          <w:color w:val="auto"/>
          <w:highlight w:val="none"/>
          <w:u w:val="single"/>
        </w:rPr>
      </w:pPr>
      <w:r>
        <w:rPr>
          <w:rFonts w:hint="eastAsia" w:hAnsi="宋体" w:cs="宋体"/>
          <w:color w:val="auto"/>
          <w:highlight w:val="none"/>
        </w:rPr>
        <w:t>④承包人有部分分包现象（其中包括冒充承包人下属单位的</w:t>
      </w:r>
      <w:r>
        <w:rPr>
          <w:rFonts w:hint="eastAsia" w:hAnsi="宋体" w:cs="宋体"/>
          <w:color w:val="auto"/>
          <w:highlight w:val="none"/>
          <w:lang w:eastAsia="zh-CN"/>
        </w:rPr>
        <w:t>挂钩</w:t>
      </w:r>
      <w:r>
        <w:rPr>
          <w:rFonts w:hint="eastAsia" w:hAnsi="宋体" w:cs="宋体"/>
          <w:color w:val="auto"/>
          <w:highlight w:val="none"/>
        </w:rPr>
        <w:t>单位，凭口头协议参与施工的分包人及其他暗分包个体户），一经发现核实，发包人将采取驱逐该暗分包人措施。没收全部履约保证金。</w:t>
      </w:r>
    </w:p>
    <w:p w14:paraId="734CECD9">
      <w:pPr>
        <w:spacing w:line="360" w:lineRule="auto"/>
        <w:ind w:firstLine="420" w:firstLineChars="200"/>
        <w:rPr>
          <w:color w:val="auto"/>
          <w:highlight w:val="none"/>
        </w:rPr>
      </w:pPr>
      <w:r>
        <w:rPr>
          <w:color w:val="auto"/>
          <w:highlight w:val="none"/>
        </w:rPr>
        <w:t xml:space="preserve">3.5.4 </w:t>
      </w:r>
      <w:r>
        <w:rPr>
          <w:rFonts w:hint="eastAsia" w:hAnsi="宋体" w:cs="宋体"/>
          <w:color w:val="auto"/>
          <w:highlight w:val="none"/>
        </w:rPr>
        <w:t>分包合同价款</w:t>
      </w:r>
    </w:p>
    <w:bookmarkEnd w:id="922"/>
    <w:bookmarkEnd w:id="923"/>
    <w:p w14:paraId="13FE2928">
      <w:pPr>
        <w:spacing w:line="360" w:lineRule="auto"/>
        <w:ind w:firstLine="420" w:firstLineChars="200"/>
        <w:rPr>
          <w:color w:val="auto"/>
          <w:highlight w:val="none"/>
        </w:rPr>
      </w:pPr>
      <w:bookmarkStart w:id="924" w:name="_Toc373478358"/>
      <w:bookmarkStart w:id="925" w:name="_Toc389065277"/>
      <w:bookmarkStart w:id="926" w:name="_Toc373227711"/>
      <w:r>
        <w:rPr>
          <w:rFonts w:hint="eastAsia" w:hAnsi="宋体" w:cs="宋体"/>
          <w:color w:val="auto"/>
          <w:highlight w:val="none"/>
        </w:rPr>
        <w:t>关于分包合同价款支付的约定：</w:t>
      </w:r>
      <w:r>
        <w:rPr>
          <w:rFonts w:hint="eastAsia" w:hAnsi="宋体" w:cs="宋体"/>
          <w:color w:val="auto"/>
          <w:highlight w:val="none"/>
          <w:u w:val="single"/>
        </w:rPr>
        <w:t>分包工程价款由承包人与分包人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结算。发包人未经承包人同意不得以任何形式向分包人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支付相关分包合同项下的任何工程款项。因发包人未经承包人同意直接向分包人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支付相关分包合同项下的任何工程款项而影响承包人工作的，所造成的承包人费用增加和</w:t>
      </w:r>
      <w:r>
        <w:rPr>
          <w:rFonts w:hint="eastAsia" w:cs="宋体"/>
          <w:color w:val="auto"/>
          <w:highlight w:val="none"/>
          <w:u w:val="single"/>
        </w:rPr>
        <w:t>（</w:t>
      </w:r>
      <w:r>
        <w:rPr>
          <w:rFonts w:hint="eastAsia" w:hAnsi="宋体" w:cs="宋体"/>
          <w:color w:val="auto"/>
          <w:highlight w:val="none"/>
          <w:u w:val="single"/>
        </w:rPr>
        <w:t>或</w:t>
      </w:r>
      <w:r>
        <w:rPr>
          <w:rFonts w:hint="eastAsia" w:cs="宋体"/>
          <w:color w:val="auto"/>
          <w:highlight w:val="none"/>
          <w:u w:val="single"/>
        </w:rPr>
        <w:t>）</w:t>
      </w:r>
      <w:r>
        <w:rPr>
          <w:rFonts w:hint="eastAsia" w:hAnsi="宋体" w:cs="宋体"/>
          <w:color w:val="auto"/>
          <w:highlight w:val="none"/>
          <w:u w:val="single"/>
        </w:rPr>
        <w:t>延误的工期由发包人承担。</w:t>
      </w:r>
    </w:p>
    <w:p w14:paraId="598AFAE8">
      <w:pPr>
        <w:pStyle w:val="5"/>
        <w:rPr>
          <w:color w:val="auto"/>
          <w:highlight w:val="none"/>
        </w:rPr>
      </w:pPr>
      <w:bookmarkStart w:id="927" w:name="_Toc11266"/>
      <w:bookmarkStart w:id="928" w:name="_Toc407135213"/>
      <w:bookmarkStart w:id="929" w:name="_Toc57329529"/>
      <w:bookmarkStart w:id="930" w:name="_Toc78449799"/>
      <w:bookmarkStart w:id="931" w:name="_Toc18329"/>
      <w:r>
        <w:rPr>
          <w:color w:val="auto"/>
          <w:highlight w:val="none"/>
        </w:rPr>
        <w:t xml:space="preserve">3.6 </w:t>
      </w:r>
      <w:r>
        <w:rPr>
          <w:rFonts w:hint="eastAsia" w:cs="黑体"/>
          <w:color w:val="auto"/>
          <w:highlight w:val="none"/>
        </w:rPr>
        <w:t>工程照管与成品、半成品保护</w:t>
      </w:r>
      <w:bookmarkEnd w:id="924"/>
      <w:bookmarkEnd w:id="925"/>
      <w:bookmarkEnd w:id="926"/>
      <w:bookmarkEnd w:id="927"/>
      <w:bookmarkEnd w:id="928"/>
      <w:bookmarkEnd w:id="929"/>
      <w:bookmarkEnd w:id="930"/>
      <w:bookmarkEnd w:id="931"/>
    </w:p>
    <w:p w14:paraId="3B1D4C4D">
      <w:pPr>
        <w:spacing w:line="360" w:lineRule="auto"/>
        <w:ind w:firstLine="420" w:firstLineChars="200"/>
        <w:rPr>
          <w:color w:val="auto"/>
          <w:kern w:val="0"/>
          <w:highlight w:val="none"/>
          <w:u w:val="single"/>
        </w:rPr>
      </w:pPr>
      <w:r>
        <w:rPr>
          <w:rFonts w:hint="eastAsia" w:hAnsi="宋体" w:cs="宋体"/>
          <w:color w:val="auto"/>
          <w:kern w:val="0"/>
          <w:highlight w:val="none"/>
        </w:rPr>
        <w:t>承包人负责照管工程及工程相关的材料、工程设备的起始时间：</w:t>
      </w:r>
      <w:r>
        <w:rPr>
          <w:color w:val="auto"/>
          <w:kern w:val="0"/>
          <w:highlight w:val="none"/>
          <w:u w:val="single"/>
        </w:rPr>
        <w:t xml:space="preserve"> </w:t>
      </w:r>
      <w:r>
        <w:rPr>
          <w:rFonts w:hint="eastAsia" w:ascii="宋体" w:hAnsi="宋体"/>
          <w:color w:val="auto"/>
          <w:spacing w:val="-3"/>
          <w:kern w:val="0"/>
          <w:szCs w:val="21"/>
          <w:u w:val="single" w:color="000000"/>
        </w:rPr>
        <w:t>工程接收证书颁发前，承</w:t>
      </w:r>
      <w:r>
        <w:rPr>
          <w:rFonts w:hint="eastAsia" w:ascii="宋体" w:hAnsi="宋体"/>
          <w:color w:val="auto"/>
          <w:kern w:val="0"/>
          <w:szCs w:val="21"/>
          <w:u w:val="single" w:color="000000"/>
        </w:rPr>
        <w:t>包人应负责照管和维护工程。工程接收证书颁发时尚有部分未竣工工程的，承包人还应负责该未竣工工程的照管和维护工作，直到竣工后移交给发包人为止。</w:t>
      </w:r>
    </w:p>
    <w:p w14:paraId="0198C933">
      <w:pPr>
        <w:pStyle w:val="5"/>
        <w:rPr>
          <w:color w:val="auto"/>
          <w:highlight w:val="none"/>
        </w:rPr>
      </w:pPr>
      <w:bookmarkStart w:id="932" w:name="_Toc373478359"/>
      <w:bookmarkStart w:id="933" w:name="_Toc389065278"/>
      <w:bookmarkStart w:id="934" w:name="_Toc373227712"/>
      <w:bookmarkStart w:id="935" w:name="_Toc407135214"/>
      <w:bookmarkStart w:id="936" w:name="_Toc32164"/>
      <w:bookmarkStart w:id="937" w:name="_Toc1042049436"/>
      <w:bookmarkStart w:id="938" w:name="_Toc78449800"/>
      <w:bookmarkStart w:id="939" w:name="_Toc15964"/>
      <w:r>
        <w:rPr>
          <w:color w:val="auto"/>
          <w:highlight w:val="none"/>
        </w:rPr>
        <w:t xml:space="preserve">3.7 </w:t>
      </w:r>
      <w:r>
        <w:rPr>
          <w:rFonts w:hint="eastAsia" w:hAnsi="宋体" w:cs="黑体"/>
          <w:color w:val="auto"/>
          <w:highlight w:val="none"/>
        </w:rPr>
        <w:t>履约</w:t>
      </w:r>
      <w:bookmarkEnd w:id="932"/>
      <w:bookmarkEnd w:id="933"/>
      <w:bookmarkEnd w:id="934"/>
      <w:r>
        <w:rPr>
          <w:rFonts w:hint="eastAsia" w:hAnsi="宋体" w:cs="黑体"/>
          <w:color w:val="auto"/>
          <w:highlight w:val="none"/>
        </w:rPr>
        <w:t>保证金</w:t>
      </w:r>
      <w:bookmarkEnd w:id="935"/>
      <w:bookmarkEnd w:id="936"/>
      <w:bookmarkEnd w:id="937"/>
      <w:bookmarkEnd w:id="938"/>
      <w:bookmarkEnd w:id="939"/>
    </w:p>
    <w:p w14:paraId="1E0C80A1">
      <w:pPr>
        <w:spacing w:line="360" w:lineRule="auto"/>
        <w:ind w:firstLine="420" w:firstLineChars="200"/>
        <w:jc w:val="left"/>
        <w:rPr>
          <w:rFonts w:hint="eastAsia" w:hAnsi="宋体" w:cs="宋体"/>
          <w:color w:val="auto"/>
          <w:highlight w:val="none"/>
          <w:u w:val="single"/>
        </w:rPr>
      </w:pPr>
      <w:bookmarkStart w:id="940" w:name="_Toc351203636"/>
      <w:bookmarkStart w:id="941" w:name="_Toc389065279"/>
      <w:bookmarkStart w:id="942" w:name="_Toc373227713"/>
      <w:bookmarkStart w:id="943" w:name="_Toc373478360"/>
      <w:r>
        <w:rPr>
          <w:rFonts w:hint="eastAsia" w:hAnsi="宋体" w:cs="宋体"/>
          <w:color w:val="auto"/>
          <w:highlight w:val="none"/>
        </w:rPr>
        <w:t>承包人提供履约担保的形式、金额及期限的：</w:t>
      </w:r>
      <w:r>
        <w:rPr>
          <w:rFonts w:hint="eastAsia" w:hAnsi="宋体" w:cs="宋体"/>
          <w:color w:val="auto"/>
          <w:highlight w:val="none"/>
          <w:u w:val="single"/>
        </w:rPr>
        <w:t>承包人在收到中标通知书后，须在</w:t>
      </w:r>
      <w:r>
        <w:rPr>
          <w:color w:val="auto"/>
          <w:highlight w:val="none"/>
          <w:u w:val="single"/>
        </w:rPr>
        <w:t xml:space="preserve">  </w:t>
      </w:r>
      <w:r>
        <w:rPr>
          <w:rFonts w:ascii="Times New Roman" w:hAnsi="Times New Roman" w:eastAsia="Times New Roman"/>
          <w:color w:val="auto"/>
          <w:spacing w:val="-3"/>
          <w:kern w:val="0"/>
          <w:szCs w:val="21"/>
          <w:u w:val="single" w:color="000000"/>
        </w:rPr>
        <w:t>15</w:t>
      </w:r>
      <w:r>
        <w:rPr>
          <w:color w:val="auto"/>
          <w:highlight w:val="none"/>
          <w:u w:val="single"/>
        </w:rPr>
        <w:t xml:space="preserve">  </w:t>
      </w:r>
      <w:r>
        <w:rPr>
          <w:rFonts w:hint="eastAsia" w:hAnsi="宋体" w:cs="宋体"/>
          <w:color w:val="auto"/>
          <w:highlight w:val="none"/>
          <w:u w:val="single"/>
        </w:rPr>
        <w:t>日内向发包人提交合同价款扣除暂列金额、专业工程暂估价</w:t>
      </w:r>
      <w:r>
        <w:rPr>
          <w:rFonts w:hint="eastAsia" w:hAnsi="宋体" w:cs="宋体"/>
          <w:color w:val="auto"/>
          <w:highlight w:val="none"/>
          <w:u w:val="single"/>
          <w:lang w:val="en-US" w:eastAsia="zh-CN"/>
        </w:rPr>
        <w:t>后</w:t>
      </w:r>
      <w:r>
        <w:rPr>
          <w:rFonts w:hint="eastAsia" w:hAnsi="宋体" w:cs="宋体"/>
          <w:color w:val="auto"/>
          <w:highlight w:val="none"/>
          <w:u w:val="single"/>
        </w:rPr>
        <w:t>的</w:t>
      </w:r>
      <w:r>
        <w:rPr>
          <w:rFonts w:hint="eastAsia" w:hAnsi="宋体" w:cs="宋体"/>
          <w:color w:val="auto"/>
          <w:highlight w:val="none"/>
          <w:u w:val="single"/>
          <w:lang w:val="en-US" w:eastAsia="zh-CN"/>
        </w:rPr>
        <w:t>2</w:t>
      </w:r>
      <w:r>
        <w:rPr>
          <w:color w:val="auto"/>
          <w:highlight w:val="none"/>
          <w:u w:val="single"/>
        </w:rPr>
        <w:t xml:space="preserve"> %</w:t>
      </w:r>
      <w:r>
        <w:rPr>
          <w:rFonts w:hint="eastAsia" w:hAnsi="宋体" w:cs="宋体"/>
          <w:color w:val="auto"/>
          <w:highlight w:val="none"/>
          <w:u w:val="single"/>
        </w:rPr>
        <w:t>的履约担保（格式见合同附件</w:t>
      </w:r>
      <w:r>
        <w:rPr>
          <w:rFonts w:hint="eastAsia" w:hAnsi="宋体"/>
          <w:color w:val="auto"/>
          <w:highlight w:val="none"/>
          <w:u w:val="single"/>
        </w:rPr>
        <w:t>7</w:t>
      </w:r>
      <w:r>
        <w:rPr>
          <w:rFonts w:hint="eastAsia" w:hAnsi="宋体" w:cs="宋体"/>
          <w:color w:val="auto"/>
          <w:highlight w:val="none"/>
          <w:u w:val="single"/>
        </w:rPr>
        <w:t>）。履约担保的有效期应当自本合同生效之日起至发包人签认并由监理人向承包人出具</w:t>
      </w:r>
      <w:r>
        <w:rPr>
          <w:color w:val="auto"/>
          <w:highlight w:val="none"/>
          <w:u w:val="single"/>
        </w:rPr>
        <w:t xml:space="preserve">        </w:t>
      </w:r>
      <w:r>
        <w:rPr>
          <w:rFonts w:hint="eastAsia" w:hAnsi="宋体" w:cs="宋体"/>
          <w:color w:val="auto"/>
          <w:highlight w:val="none"/>
          <w:u w:val="single"/>
        </w:rPr>
        <w:t>（竣工证明材料名称）之日止。如果承包人无法获得一份不带具体截止日期的担保，履约担保中应当有</w:t>
      </w:r>
      <w:r>
        <w:rPr>
          <w:rFonts w:hint="eastAsia"/>
          <w:color w:val="auto"/>
          <w:highlight w:val="none"/>
          <w:u w:val="single"/>
          <w:lang w:eastAsia="zh-CN"/>
        </w:rPr>
        <w:t>“</w:t>
      </w:r>
      <w:r>
        <w:rPr>
          <w:rFonts w:hint="eastAsia" w:hAnsi="宋体" w:cs="宋体"/>
          <w:color w:val="auto"/>
          <w:highlight w:val="none"/>
          <w:u w:val="single"/>
        </w:rPr>
        <w:t>变更工程竣工日期的，保证期间按照变更后的竣工日期做相应调整</w:t>
      </w:r>
      <w:r>
        <w:rPr>
          <w:rFonts w:hint="eastAsia"/>
          <w:color w:val="auto"/>
          <w:highlight w:val="none"/>
          <w:u w:val="single"/>
          <w:lang w:eastAsia="zh-CN"/>
        </w:rPr>
        <w:t>”</w:t>
      </w:r>
      <w:r>
        <w:rPr>
          <w:rFonts w:hint="eastAsia" w:hAnsi="宋体" w:cs="宋体"/>
          <w:color w:val="auto"/>
          <w:highlight w:val="none"/>
          <w:u w:val="single"/>
        </w:rPr>
        <w:t>或类似约定的条款。</w:t>
      </w:r>
    </w:p>
    <w:p w14:paraId="4D8465D6">
      <w:pPr>
        <w:spacing w:line="360" w:lineRule="auto"/>
        <w:ind w:firstLine="420" w:firstLineChars="200"/>
        <w:jc w:val="left"/>
        <w:rPr>
          <w:rFonts w:hint="eastAsia" w:hAnsi="宋体" w:eastAsia="宋体" w:cs="宋体"/>
          <w:color w:val="auto"/>
          <w:highlight w:val="none"/>
          <w:u w:val="single"/>
          <w:lang w:eastAsia="zh-CN"/>
        </w:rPr>
      </w:pPr>
      <w:r>
        <w:rPr>
          <w:rFonts w:hint="eastAsia" w:hAnsi="宋体" w:cs="宋体"/>
          <w:color w:val="auto"/>
          <w:highlight w:val="none"/>
          <w:lang w:eastAsia="zh-CN"/>
        </w:rPr>
        <w:t>承包人</w:t>
      </w:r>
      <w:r>
        <w:rPr>
          <w:rFonts w:hint="eastAsia" w:hAnsi="宋体" w:cs="宋体"/>
          <w:color w:val="auto"/>
          <w:highlight w:val="none"/>
        </w:rPr>
        <w:t>提供</w:t>
      </w:r>
      <w:r>
        <w:rPr>
          <w:rFonts w:hint="eastAsia" w:hAnsi="宋体" w:cs="宋体"/>
          <w:color w:val="auto"/>
          <w:highlight w:val="none"/>
          <w:lang w:eastAsia="zh-CN"/>
        </w:rPr>
        <w:t>履约</w:t>
      </w:r>
      <w:r>
        <w:rPr>
          <w:rFonts w:hint="eastAsia" w:hAnsi="宋体" w:cs="宋体"/>
          <w:color w:val="auto"/>
          <w:highlight w:val="none"/>
        </w:rPr>
        <w:t>担保的形式：</w:t>
      </w:r>
      <w:r>
        <w:rPr>
          <w:rFonts w:hint="eastAsia"/>
          <w:color w:val="auto"/>
          <w:highlight w:val="none"/>
          <w:u w:val="single"/>
          <w:lang w:eastAsia="zh-CN"/>
        </w:rPr>
        <w:t>可以是</w:t>
      </w:r>
      <w:r>
        <w:rPr>
          <w:rFonts w:hint="eastAsia" w:ascii="Calibri" w:hAnsi="Calibri" w:eastAsia="宋体" w:cs="宋体"/>
          <w:color w:val="auto"/>
          <w:highlight w:val="none"/>
        </w:rPr>
        <w:t>现金、银行保函、工程担保、</w:t>
      </w:r>
      <w:r>
        <w:rPr>
          <w:rFonts w:hint="default" w:ascii="Calibri" w:hAnsi="Calibri" w:eastAsia="宋体" w:cs="宋体"/>
          <w:color w:val="auto"/>
          <w:highlight w:val="none"/>
        </w:rPr>
        <w:t>电子保函</w:t>
      </w:r>
      <w:r>
        <w:rPr>
          <w:rFonts w:hint="eastAsia" w:ascii="Calibri" w:hAnsi="Calibri" w:eastAsia="宋体" w:cs="宋体"/>
          <w:color w:val="auto"/>
          <w:highlight w:val="none"/>
        </w:rPr>
        <w:t>或保证保险</w:t>
      </w:r>
      <w:r>
        <w:rPr>
          <w:rFonts w:hint="eastAsia" w:hAnsi="宋体"/>
          <w:color w:val="auto"/>
          <w:highlight w:val="none"/>
        </w:rPr>
        <w:t>等</w:t>
      </w:r>
      <w:r>
        <w:rPr>
          <w:rFonts w:hint="eastAsia" w:hAnsi="宋体" w:cs="宋体"/>
          <w:color w:val="auto"/>
          <w:highlight w:val="none"/>
        </w:rPr>
        <w:t>形</w:t>
      </w:r>
      <w:r>
        <w:rPr>
          <w:rFonts w:hint="eastAsia" w:hAnsi="宋体"/>
          <w:color w:val="auto"/>
          <w:highlight w:val="none"/>
        </w:rPr>
        <w:t>式</w:t>
      </w:r>
      <w:r>
        <w:rPr>
          <w:rFonts w:hint="eastAsia" w:hAnsi="宋体" w:cs="宋体"/>
          <w:color w:val="auto"/>
          <w:highlight w:val="none"/>
        </w:rPr>
        <w:t>。</w:t>
      </w:r>
      <w:r>
        <w:rPr>
          <w:rFonts w:hint="eastAsia" w:hAnsi="宋体" w:cs="宋体"/>
          <w:color w:val="auto"/>
          <w:highlight w:val="none"/>
          <w:u w:val="single"/>
        </w:rPr>
        <w:t>工程担保保证人应将出具的保函相关信息录入</w:t>
      </w:r>
      <w:r>
        <w:rPr>
          <w:rFonts w:hint="eastAsia" w:hAnsi="宋体" w:cs="宋体"/>
          <w:color w:val="auto"/>
          <w:highlight w:val="none"/>
          <w:u w:val="single"/>
          <w:lang w:eastAsia="zh-CN"/>
        </w:rPr>
        <w:t>“</w:t>
      </w:r>
      <w:r>
        <w:rPr>
          <w:rFonts w:hint="eastAsia" w:hAnsi="宋体" w:cs="宋体"/>
          <w:color w:val="auto"/>
          <w:highlight w:val="none"/>
          <w:u w:val="single"/>
        </w:rPr>
        <w:t>广西建筑市场监管云</w:t>
      </w:r>
      <w:r>
        <w:rPr>
          <w:rFonts w:hint="eastAsia" w:hAnsi="宋体" w:cs="宋体"/>
          <w:color w:val="auto"/>
          <w:highlight w:val="none"/>
          <w:u w:val="single"/>
          <w:lang w:eastAsia="zh-CN"/>
        </w:rPr>
        <w:t>”</w:t>
      </w:r>
      <w:r>
        <w:rPr>
          <w:rFonts w:hint="eastAsia" w:hAnsi="宋体" w:cs="宋体"/>
          <w:color w:val="auto"/>
          <w:highlight w:val="none"/>
          <w:u w:val="single"/>
        </w:rPr>
        <w:t>平台（</w:t>
      </w:r>
      <w:r>
        <w:rPr>
          <w:rFonts w:hint="eastAsia" w:hAnsi="宋体" w:cs="宋体"/>
          <w:color w:val="auto"/>
          <w:highlight w:val="none"/>
          <w:u w:val="single"/>
          <w:lang w:eastAsia="zh-CN"/>
        </w:rPr>
        <w:t>https://gxjzsc.gxcic.</w:t>
      </w:r>
      <w:r>
        <w:rPr>
          <w:rFonts w:hint="eastAsia" w:cs="宋体"/>
          <w:color w:val="auto"/>
          <w:highlight w:val="none"/>
          <w:lang w:val="en-US" w:eastAsia="zh-CN"/>
        </w:rPr>
        <w:t>cn</w:t>
      </w:r>
      <w:r>
        <w:rPr>
          <w:rFonts w:hint="eastAsia" w:hAnsi="宋体" w:cs="宋体"/>
          <w:color w:val="auto"/>
          <w:highlight w:val="none"/>
          <w:u w:val="single"/>
          <w:lang w:eastAsia="zh-CN"/>
        </w:rPr>
        <w:t>）</w:t>
      </w:r>
      <w:r>
        <w:rPr>
          <w:rFonts w:hint="eastAsia" w:hAnsi="宋体" w:cs="宋体"/>
          <w:color w:val="auto"/>
          <w:highlight w:val="none"/>
          <w:u w:val="single"/>
        </w:rPr>
        <w:t>，以实现保函查询及验真功能</w:t>
      </w:r>
      <w:r>
        <w:rPr>
          <w:rFonts w:hint="eastAsia" w:hAnsi="宋体" w:cs="宋体"/>
          <w:color w:val="auto"/>
          <w:highlight w:val="none"/>
          <w:u w:val="single"/>
          <w:lang w:eastAsia="zh-CN"/>
        </w:rPr>
        <w:t>。</w:t>
      </w:r>
    </w:p>
    <w:p w14:paraId="2988FFD3">
      <w:pPr>
        <w:spacing w:line="360" w:lineRule="auto"/>
        <w:ind w:firstLine="420" w:firstLineChars="200"/>
        <w:rPr>
          <w:color w:val="auto"/>
          <w:highlight w:val="none"/>
          <w:u w:val="single"/>
        </w:rPr>
      </w:pPr>
      <w:r>
        <w:rPr>
          <w:rFonts w:hint="eastAsia" w:hAnsi="宋体" w:cs="宋体"/>
          <w:color w:val="auto"/>
          <w:highlight w:val="none"/>
          <w:u w:val="single"/>
        </w:rPr>
        <w:t>工程竣工验收合格并对验收发现的问题完成整改后的</w:t>
      </w:r>
      <w:r>
        <w:rPr>
          <w:color w:val="auto"/>
          <w:highlight w:val="none"/>
          <w:u w:val="single"/>
        </w:rPr>
        <w:t>7</w:t>
      </w:r>
      <w:r>
        <w:rPr>
          <w:rFonts w:hint="eastAsia" w:hAnsi="宋体" w:cs="宋体"/>
          <w:color w:val="auto"/>
          <w:highlight w:val="none"/>
          <w:u w:val="single"/>
        </w:rPr>
        <w:t>个日历天内，发包人支付履约保证金的</w:t>
      </w:r>
      <w:r>
        <w:rPr>
          <w:color w:val="auto"/>
          <w:highlight w:val="none"/>
          <w:u w:val="single"/>
        </w:rPr>
        <w:t>50%</w:t>
      </w:r>
      <w:r>
        <w:rPr>
          <w:rFonts w:hint="eastAsia" w:hAnsi="宋体" w:cs="宋体"/>
          <w:color w:val="auto"/>
          <w:highlight w:val="none"/>
          <w:u w:val="single"/>
        </w:rPr>
        <w:t>；承包人向发包人完成（施工）竣工资料移交手续后，可向发包人申请退还剩余履约保证金，发包人应在收到申请之日起</w:t>
      </w:r>
      <w:r>
        <w:rPr>
          <w:color w:val="auto"/>
          <w:highlight w:val="none"/>
          <w:u w:val="single"/>
        </w:rPr>
        <w:t>28</w:t>
      </w:r>
      <w:r>
        <w:rPr>
          <w:rFonts w:hint="eastAsia" w:hAnsi="宋体" w:cs="宋体"/>
          <w:color w:val="auto"/>
          <w:highlight w:val="none"/>
          <w:u w:val="single"/>
        </w:rPr>
        <w:t>个日历天内扣减承包人赔偿金和其他应从承包人扣回的款项后，将履约保证金的余额退还给承包人。</w:t>
      </w:r>
    </w:p>
    <w:p w14:paraId="26C18760">
      <w:pPr>
        <w:pStyle w:val="4"/>
        <w:rPr>
          <w:color w:val="auto"/>
          <w:highlight w:val="none"/>
        </w:rPr>
      </w:pPr>
      <w:bookmarkStart w:id="944" w:name="_Toc407135215"/>
      <w:bookmarkStart w:id="945" w:name="_Toc907912356"/>
      <w:bookmarkStart w:id="946" w:name="_Toc78449801"/>
      <w:bookmarkStart w:id="947" w:name="_Toc17369"/>
      <w:r>
        <w:rPr>
          <w:color w:val="auto"/>
          <w:highlight w:val="none"/>
        </w:rPr>
        <w:t>4</w:t>
      </w:r>
      <w:bookmarkStart w:id="948" w:name="_Toc296944501"/>
      <w:bookmarkStart w:id="949" w:name="_Toc296346663"/>
      <w:bookmarkStart w:id="950" w:name="_Toc267251413"/>
      <w:bookmarkStart w:id="951" w:name="_Toc292559871"/>
      <w:bookmarkStart w:id="952" w:name="_Toc296891202"/>
      <w:bookmarkStart w:id="953" w:name="_Toc296890990"/>
      <w:bookmarkStart w:id="954" w:name="_Toc296347161"/>
      <w:bookmarkStart w:id="955" w:name="_Toc292559366"/>
      <w:bookmarkStart w:id="956" w:name="_Toc297048348"/>
      <w:bookmarkStart w:id="957" w:name="_Toc296503162"/>
      <w:bookmarkStart w:id="958" w:name="_Toc297120462"/>
      <w:r>
        <w:rPr>
          <w:color w:val="auto"/>
          <w:highlight w:val="none"/>
        </w:rPr>
        <w:t xml:space="preserve">. </w:t>
      </w:r>
      <w:r>
        <w:rPr>
          <w:rFonts w:hint="eastAsia" w:hAnsi="宋体" w:cs="黑体"/>
          <w:color w:val="auto"/>
          <w:highlight w:val="none"/>
        </w:rPr>
        <w:t>监</w:t>
      </w:r>
      <w:bookmarkEnd w:id="948"/>
      <w:bookmarkEnd w:id="949"/>
      <w:bookmarkEnd w:id="950"/>
      <w:bookmarkEnd w:id="951"/>
      <w:bookmarkEnd w:id="952"/>
      <w:bookmarkEnd w:id="953"/>
      <w:bookmarkEnd w:id="954"/>
      <w:bookmarkEnd w:id="955"/>
      <w:bookmarkEnd w:id="956"/>
      <w:bookmarkEnd w:id="957"/>
      <w:bookmarkEnd w:id="958"/>
      <w:r>
        <w:rPr>
          <w:rFonts w:hint="eastAsia" w:hAnsi="宋体" w:cs="黑体"/>
          <w:color w:val="auto"/>
          <w:highlight w:val="none"/>
        </w:rPr>
        <w:t>理人</w:t>
      </w:r>
      <w:bookmarkEnd w:id="940"/>
      <w:bookmarkEnd w:id="941"/>
      <w:bookmarkEnd w:id="942"/>
      <w:bookmarkEnd w:id="943"/>
      <w:bookmarkEnd w:id="944"/>
      <w:bookmarkEnd w:id="945"/>
      <w:bookmarkEnd w:id="946"/>
      <w:bookmarkEnd w:id="947"/>
    </w:p>
    <w:p w14:paraId="406F8863">
      <w:pPr>
        <w:pStyle w:val="5"/>
        <w:rPr>
          <w:color w:val="auto"/>
          <w:highlight w:val="none"/>
        </w:rPr>
      </w:pPr>
      <w:bookmarkStart w:id="959" w:name="_Toc373227714"/>
      <w:bookmarkStart w:id="960" w:name="_Toc373478361"/>
      <w:bookmarkStart w:id="961" w:name="_Toc389065280"/>
      <w:bookmarkStart w:id="962" w:name="_Toc1595043148"/>
      <w:bookmarkStart w:id="963" w:name="_Toc78449802"/>
      <w:bookmarkStart w:id="964" w:name="_Toc21437"/>
      <w:bookmarkStart w:id="965" w:name="_Toc407135216"/>
      <w:bookmarkStart w:id="966" w:name="_Toc2993"/>
      <w:r>
        <w:rPr>
          <w:color w:val="auto"/>
          <w:highlight w:val="none"/>
        </w:rPr>
        <w:t xml:space="preserve">4.1 </w:t>
      </w:r>
      <w:r>
        <w:rPr>
          <w:rFonts w:hint="eastAsia" w:cs="黑体"/>
          <w:color w:val="auto"/>
          <w:highlight w:val="none"/>
        </w:rPr>
        <w:t>监理人的一般规定</w:t>
      </w:r>
      <w:bookmarkEnd w:id="959"/>
      <w:bookmarkEnd w:id="960"/>
      <w:bookmarkEnd w:id="961"/>
      <w:bookmarkEnd w:id="962"/>
      <w:bookmarkEnd w:id="963"/>
      <w:bookmarkEnd w:id="964"/>
      <w:bookmarkEnd w:id="965"/>
      <w:bookmarkEnd w:id="966"/>
    </w:p>
    <w:p w14:paraId="23605CF9">
      <w:pPr>
        <w:spacing w:before="184" w:line="352" w:lineRule="auto"/>
        <w:ind w:left="118" w:right="108" w:firstLine="419"/>
        <w:jc w:val="left"/>
        <w:rPr>
          <w:rFonts w:hint="eastAsia" w:ascii="宋体" w:hAnsi="宋体"/>
          <w:color w:val="auto"/>
          <w:kern w:val="0"/>
          <w:szCs w:val="21"/>
        </w:rPr>
      </w:pPr>
      <w:bookmarkStart w:id="967" w:name="_Toc373227715"/>
      <w:bookmarkStart w:id="968" w:name="_Toc389065281"/>
      <w:bookmarkStart w:id="969" w:name="_Toc16747"/>
      <w:bookmarkStart w:id="970" w:name="_Toc373478362"/>
      <w:bookmarkStart w:id="971" w:name="_Toc9467"/>
      <w:bookmarkStart w:id="972" w:name="_Toc407135217"/>
      <w:bookmarkStart w:id="973" w:name="_Toc386397261"/>
      <w:bookmarkStart w:id="974" w:name="_Toc78449803"/>
      <w:r>
        <w:rPr>
          <w:rFonts w:hint="eastAsia" w:ascii="宋体" w:hAnsi="宋体"/>
          <w:color w:val="auto"/>
          <w:spacing w:val="-4"/>
          <w:kern w:val="0"/>
          <w:szCs w:val="21"/>
        </w:rPr>
        <w:t>关于监理人的监理内容：</w:t>
      </w:r>
      <w:r>
        <w:rPr>
          <w:rFonts w:hint="eastAsia" w:ascii="宋体" w:hAnsi="宋体"/>
          <w:color w:val="auto"/>
          <w:spacing w:val="-6"/>
          <w:kern w:val="0"/>
          <w:szCs w:val="21"/>
          <w:u w:val="single" w:color="000000"/>
        </w:rPr>
        <w:t>施工过程中的质量、进度、费用控制，安全生产监督管理、合同、</w:t>
      </w:r>
      <w:r>
        <w:rPr>
          <w:rFonts w:hint="eastAsia" w:ascii="宋体" w:hAnsi="宋体"/>
          <w:color w:val="auto"/>
          <w:kern w:val="0"/>
          <w:szCs w:val="21"/>
          <w:u w:val="single" w:color="000000"/>
        </w:rPr>
        <w:t>信息方面的协调管理；保修阶段检查和记录工程质量缺陷，对缺陷原因进行调查分析并确定责</w:t>
      </w:r>
      <w:r>
        <w:rPr>
          <w:rFonts w:hint="eastAsia" w:ascii="宋体" w:hAnsi="宋体"/>
          <w:color w:val="auto"/>
          <w:spacing w:val="-2"/>
          <w:kern w:val="0"/>
          <w:szCs w:val="21"/>
          <w:u w:val="single" w:color="000000"/>
        </w:rPr>
        <w:t>任归属，审核修复方案，监督修复过程并验收，审核修复费用。具体工作包括审查施工承包人提交的施工组织设计，专项施工方案与工程建设强制性标准的符合性；检查施工承包人工程质量、安全、施工进度；审查施工承包人报送的工程材料、构配件、设备质量证明文件的有效性和符合性；签发工程暂停令和复工令；验收隐蔽工程、分部分项工程；参与工程变更的审核签认，协助发包人核签现场发生的签证，最终须经发包人认可后作为结算的依据，审核月进度工</w:t>
      </w:r>
      <w:r>
        <w:rPr>
          <w:rFonts w:hint="eastAsia" w:ascii="宋体" w:hAnsi="宋体"/>
          <w:color w:val="auto"/>
          <w:kern w:val="0"/>
          <w:szCs w:val="21"/>
          <w:u w:val="single" w:color="000000"/>
        </w:rPr>
        <w:t>作报表并报发包人审批；审核工程款支付申请；参加工程竣工验收等</w:t>
      </w:r>
      <w:r>
        <w:rPr>
          <w:rFonts w:hint="eastAsia" w:ascii="宋体" w:hAnsi="宋体"/>
          <w:color w:val="auto"/>
          <w:kern w:val="0"/>
          <w:szCs w:val="21"/>
        </w:rPr>
        <w:t>。</w:t>
      </w:r>
    </w:p>
    <w:p w14:paraId="39F16957">
      <w:pPr>
        <w:spacing w:before="30" w:line="355" w:lineRule="auto"/>
        <w:ind w:left="118" w:right="271" w:firstLine="419"/>
        <w:rPr>
          <w:rFonts w:hint="eastAsia" w:ascii="宋体" w:hAnsi="宋体"/>
          <w:color w:val="auto"/>
          <w:kern w:val="0"/>
          <w:szCs w:val="21"/>
        </w:rPr>
      </w:pPr>
      <w:r>
        <w:rPr>
          <w:rFonts w:hint="eastAsia" w:ascii="宋体" w:hAnsi="宋体"/>
          <w:color w:val="auto"/>
          <w:kern w:val="0"/>
          <w:szCs w:val="21"/>
        </w:rPr>
        <w:t>关于监理人的监理权限：</w:t>
      </w:r>
      <w:r>
        <w:rPr>
          <w:rFonts w:hint="eastAsia" w:ascii="宋体" w:hAnsi="宋体"/>
          <w:color w:val="auto"/>
          <w:kern w:val="0"/>
          <w:szCs w:val="21"/>
          <w:u w:val="single" w:color="000000"/>
        </w:rPr>
        <w:t>工程暂停令和复工令签发、参与工程变更的审核签认、审核月进度工作报表以及审核工程款支付申请最终均须经发包人审批确认</w:t>
      </w:r>
      <w:r>
        <w:rPr>
          <w:rFonts w:hint="eastAsia" w:ascii="宋体" w:hAnsi="宋体"/>
          <w:color w:val="auto"/>
          <w:kern w:val="0"/>
          <w:szCs w:val="21"/>
        </w:rPr>
        <w:t>。</w:t>
      </w:r>
    </w:p>
    <w:p w14:paraId="6E538FC6">
      <w:pPr>
        <w:spacing w:before="30" w:line="355" w:lineRule="auto"/>
        <w:ind w:left="118" w:right="211" w:firstLine="419"/>
        <w:rPr>
          <w:rFonts w:hint="eastAsia" w:ascii="宋体" w:hAnsi="宋体"/>
          <w:color w:val="auto"/>
          <w:kern w:val="0"/>
          <w:szCs w:val="21"/>
        </w:rPr>
      </w:pPr>
      <w:r>
        <w:rPr>
          <w:rFonts w:hint="eastAsia" w:ascii="宋体" w:hAnsi="宋体"/>
          <w:color w:val="auto"/>
          <w:kern w:val="0"/>
          <w:szCs w:val="21"/>
        </w:rPr>
        <w:t>关于监理人在施工现场的办公场所、生活场所的提供和费用承担的约定：</w:t>
      </w:r>
      <w:r>
        <w:rPr>
          <w:rFonts w:hint="eastAsia" w:ascii="宋体" w:hAnsi="宋体"/>
          <w:color w:val="auto"/>
          <w:kern w:val="0"/>
          <w:szCs w:val="21"/>
          <w:u w:val="single" w:color="000000"/>
        </w:rPr>
        <w:t>由承包人提供</w:t>
      </w:r>
      <w:r>
        <w:rPr>
          <w:rFonts w:hint="eastAsia" w:ascii="宋体" w:hAnsi="宋体"/>
          <w:color w:val="auto"/>
          <w:spacing w:val="3"/>
          <w:kern w:val="0"/>
          <w:szCs w:val="21"/>
          <w:u w:val="single" w:color="000000"/>
        </w:rPr>
        <w:t>满足监理人办公、住宿需要的房间各一间，并配置好相应的家具（办公电器由监理人自行提</w:t>
      </w:r>
      <w:r>
        <w:rPr>
          <w:rFonts w:hint="eastAsia" w:ascii="宋体" w:hAnsi="宋体"/>
          <w:color w:val="auto"/>
          <w:kern w:val="0"/>
          <w:szCs w:val="21"/>
          <w:u w:val="single" w:color="000000"/>
        </w:rPr>
        <w:t>供）</w:t>
      </w:r>
      <w:r>
        <w:rPr>
          <w:rFonts w:hint="eastAsia" w:ascii="宋体" w:hAnsi="宋体"/>
          <w:color w:val="auto"/>
          <w:kern w:val="0"/>
          <w:szCs w:val="21"/>
        </w:rPr>
        <w:t>。</w:t>
      </w:r>
    </w:p>
    <w:p w14:paraId="49ACD051">
      <w:pPr>
        <w:pStyle w:val="5"/>
        <w:rPr>
          <w:color w:val="auto"/>
          <w:highlight w:val="none"/>
        </w:rPr>
      </w:pPr>
      <w:r>
        <w:rPr>
          <w:color w:val="auto"/>
          <w:highlight w:val="none"/>
        </w:rPr>
        <w:t xml:space="preserve">4.2 </w:t>
      </w:r>
      <w:r>
        <w:rPr>
          <w:rFonts w:hint="eastAsia" w:hAnsi="宋体" w:cs="黑体"/>
          <w:color w:val="auto"/>
          <w:highlight w:val="none"/>
        </w:rPr>
        <w:t>监理人员</w:t>
      </w:r>
      <w:bookmarkEnd w:id="967"/>
      <w:bookmarkEnd w:id="968"/>
      <w:bookmarkEnd w:id="969"/>
      <w:bookmarkEnd w:id="970"/>
      <w:bookmarkEnd w:id="971"/>
      <w:bookmarkEnd w:id="972"/>
      <w:bookmarkEnd w:id="973"/>
      <w:bookmarkEnd w:id="974"/>
    </w:p>
    <w:p w14:paraId="6CBBDF31">
      <w:pPr>
        <w:spacing w:line="360" w:lineRule="auto"/>
        <w:ind w:firstLine="420" w:firstLineChars="200"/>
        <w:rPr>
          <w:color w:val="auto"/>
          <w:highlight w:val="none"/>
        </w:rPr>
      </w:pPr>
      <w:r>
        <w:rPr>
          <w:rFonts w:hint="eastAsia" w:hAnsi="宋体" w:cs="宋体"/>
          <w:color w:val="auto"/>
          <w:highlight w:val="none"/>
        </w:rPr>
        <w:t>总监理工程师：</w:t>
      </w:r>
    </w:p>
    <w:p w14:paraId="1F68BE08">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2271F60B">
      <w:pPr>
        <w:spacing w:line="360" w:lineRule="auto"/>
        <w:ind w:firstLine="420" w:firstLineChars="200"/>
        <w:rPr>
          <w:color w:val="auto"/>
          <w:highlight w:val="none"/>
        </w:rPr>
      </w:pPr>
      <w:r>
        <w:rPr>
          <w:rFonts w:hAnsi="宋体"/>
          <w:color w:val="auto"/>
          <w:highlight w:val="none"/>
        </w:rPr>
        <w:t>职</w:t>
      </w:r>
      <w:r>
        <w:rPr>
          <w:color w:val="auto"/>
          <w:highlight w:val="none"/>
        </w:rPr>
        <w:t xml:space="preserve">    </w:t>
      </w:r>
      <w:r>
        <w:rPr>
          <w:rFonts w:hAnsi="宋体"/>
          <w:color w:val="auto"/>
          <w:highlight w:val="none"/>
        </w:rPr>
        <w:t>务：</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73B32694">
      <w:pPr>
        <w:spacing w:line="360" w:lineRule="auto"/>
        <w:ind w:firstLine="420" w:firstLineChars="200"/>
        <w:rPr>
          <w:rFonts w:hAnsi="宋体"/>
          <w:color w:val="auto"/>
          <w:highlight w:val="none"/>
        </w:rPr>
      </w:pPr>
      <w:r>
        <w:rPr>
          <w:rFonts w:hAnsi="宋体"/>
          <w:color w:val="auto"/>
          <w:highlight w:val="none"/>
        </w:rPr>
        <w:t>监理工程师注册证书号：</w:t>
      </w:r>
      <w:r>
        <w:rPr>
          <w:rFonts w:hint="eastAsia" w:hAnsi="宋体"/>
          <w:color w:val="auto"/>
          <w:highlight w:val="none"/>
          <w:u w:val="single"/>
          <w:lang w:eastAsia="zh-CN"/>
        </w:rPr>
        <w:t xml:space="preserve">    </w:t>
      </w:r>
      <w:r>
        <w:rPr>
          <w:rFonts w:hint="eastAsia" w:hAnsi="宋体"/>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5CF1F7DD">
      <w:pPr>
        <w:spacing w:line="360" w:lineRule="auto"/>
        <w:ind w:firstLine="420" w:firstLineChars="200"/>
        <w:rPr>
          <w:color w:val="auto"/>
          <w:highlight w:val="none"/>
        </w:rPr>
      </w:pPr>
      <w:r>
        <w:rPr>
          <w:rFonts w:hAnsi="宋体"/>
          <w:color w:val="auto"/>
          <w:highlight w:val="none"/>
        </w:rPr>
        <w:t>联系电话：</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2FB7FB7B">
      <w:pPr>
        <w:spacing w:line="360" w:lineRule="auto"/>
        <w:ind w:firstLine="420" w:firstLineChars="200"/>
        <w:rPr>
          <w:color w:val="auto"/>
          <w:highlight w:val="none"/>
        </w:rPr>
      </w:pPr>
      <w:r>
        <w:rPr>
          <w:rFonts w:hAnsi="宋体"/>
          <w:color w:val="auto"/>
          <w:highlight w:val="none"/>
        </w:rPr>
        <w:t>电子信箱：</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094CFDA8">
      <w:pPr>
        <w:spacing w:line="360" w:lineRule="auto"/>
        <w:ind w:firstLine="420" w:firstLineChars="200"/>
        <w:rPr>
          <w:color w:val="auto"/>
          <w:highlight w:val="none"/>
        </w:rPr>
      </w:pPr>
      <w:r>
        <w:rPr>
          <w:rFonts w:hAnsi="宋体"/>
          <w:color w:val="auto"/>
          <w:highlight w:val="none"/>
        </w:rPr>
        <w:t>通信地址：</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52176C5A">
      <w:pPr>
        <w:spacing w:line="360" w:lineRule="auto"/>
        <w:ind w:firstLine="420" w:firstLineChars="200"/>
        <w:rPr>
          <w:color w:val="auto"/>
          <w:highlight w:val="none"/>
        </w:rPr>
      </w:pPr>
      <w:r>
        <w:rPr>
          <w:rFonts w:hAnsi="宋体"/>
          <w:color w:val="auto"/>
          <w:highlight w:val="none"/>
        </w:rPr>
        <w:t>关于监理人的其他约定：</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color w:val="auto"/>
          <w:highlight w:val="none"/>
          <w:u w:val="single"/>
        </w:rPr>
        <w:t xml:space="preserve"> </w:t>
      </w:r>
      <w:r>
        <w:rPr>
          <w:rFonts w:hint="eastAsia" w:hAnsi="宋体"/>
          <w:color w:val="auto"/>
          <w:highlight w:val="none"/>
          <w:u w:val="single"/>
          <w:lang w:eastAsia="zh-CN"/>
        </w:rPr>
        <w:t xml:space="preserve">  </w:t>
      </w:r>
      <w:r>
        <w:rPr>
          <w:rFonts w:hAnsi="宋体"/>
          <w:color w:val="auto"/>
          <w:highlight w:val="none"/>
        </w:rPr>
        <w:t>。</w:t>
      </w:r>
    </w:p>
    <w:p w14:paraId="68B47356">
      <w:pPr>
        <w:pStyle w:val="5"/>
        <w:rPr>
          <w:color w:val="auto"/>
          <w:highlight w:val="none"/>
        </w:rPr>
      </w:pPr>
      <w:bookmarkStart w:id="975" w:name="_Toc30189"/>
      <w:bookmarkStart w:id="976" w:name="_Toc78449804"/>
      <w:bookmarkStart w:id="977" w:name="_Toc539923186"/>
      <w:bookmarkStart w:id="978" w:name="_Toc373478363"/>
      <w:bookmarkStart w:id="979" w:name="_Toc389065282"/>
      <w:bookmarkStart w:id="980" w:name="_Toc407135218"/>
      <w:bookmarkStart w:id="981" w:name="_Toc29998"/>
      <w:bookmarkStart w:id="982" w:name="_Toc373227716"/>
      <w:r>
        <w:rPr>
          <w:color w:val="auto"/>
          <w:highlight w:val="none"/>
        </w:rPr>
        <w:t xml:space="preserve">4.4 </w:t>
      </w:r>
      <w:r>
        <w:rPr>
          <w:rFonts w:hint="eastAsia" w:hAnsi="宋体" w:cs="黑体"/>
          <w:color w:val="auto"/>
          <w:highlight w:val="none"/>
        </w:rPr>
        <w:t>商定或确定</w:t>
      </w:r>
      <w:bookmarkEnd w:id="975"/>
      <w:bookmarkEnd w:id="976"/>
      <w:bookmarkEnd w:id="977"/>
      <w:bookmarkEnd w:id="978"/>
      <w:bookmarkEnd w:id="979"/>
      <w:bookmarkEnd w:id="980"/>
      <w:bookmarkEnd w:id="981"/>
      <w:bookmarkEnd w:id="982"/>
    </w:p>
    <w:p w14:paraId="3503537B">
      <w:pPr>
        <w:spacing w:line="360" w:lineRule="auto"/>
        <w:ind w:firstLine="420" w:firstLineChars="200"/>
        <w:rPr>
          <w:color w:val="auto"/>
          <w:highlight w:val="none"/>
        </w:rPr>
      </w:pPr>
      <w:bookmarkStart w:id="983" w:name="_Toc267251418"/>
      <w:r>
        <w:rPr>
          <w:rFonts w:hint="eastAsia" w:hAnsi="宋体" w:cs="宋体"/>
          <w:color w:val="auto"/>
          <w:highlight w:val="none"/>
        </w:rPr>
        <w:t>在发包人和承包人不能通过协商达成一致意见时，发包人授权监理人对以下事项进行确定：</w:t>
      </w:r>
    </w:p>
    <w:p w14:paraId="0B5DE5D4">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lang w:eastAsia="zh-CN"/>
        </w:rPr>
        <w:t>(</w:t>
      </w:r>
      <w:r>
        <w:rPr>
          <w:color w:val="auto"/>
          <w:kern w:val="0"/>
          <w:highlight w:val="none"/>
        </w:rPr>
        <w:t>1</w:t>
      </w:r>
      <w:r>
        <w:rPr>
          <w:rFonts w:hint="eastAsia"/>
          <w:color w:val="auto"/>
          <w:kern w:val="0"/>
          <w:highlight w:val="none"/>
          <w:lang w:eastAsia="zh-CN"/>
        </w:rPr>
        <w:t>)</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color w:val="auto"/>
          <w:highlight w:val="none"/>
          <w:u w:val="single"/>
          <w:lang w:eastAsia="zh-CN"/>
        </w:rPr>
        <w:t>;</w:t>
      </w:r>
    </w:p>
    <w:p w14:paraId="1F43382E">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lang w:eastAsia="zh-CN"/>
        </w:rPr>
        <w:t>(</w:t>
      </w:r>
      <w:r>
        <w:rPr>
          <w:color w:val="auto"/>
          <w:kern w:val="0"/>
          <w:highlight w:val="none"/>
        </w:rPr>
        <w:t>2</w:t>
      </w:r>
      <w:r>
        <w:rPr>
          <w:rFonts w:hint="eastAsia"/>
          <w:color w:val="auto"/>
          <w:kern w:val="0"/>
          <w:highlight w:val="none"/>
          <w:lang w:eastAsia="zh-CN"/>
        </w:rPr>
        <w:t>)</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color w:val="auto"/>
          <w:highlight w:val="none"/>
          <w:u w:val="single"/>
          <w:lang w:eastAsia="zh-CN"/>
        </w:rPr>
        <w:t>;</w:t>
      </w:r>
    </w:p>
    <w:p w14:paraId="5F29938C">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lang w:eastAsia="zh-CN"/>
        </w:rPr>
        <w:t>(</w:t>
      </w:r>
      <w:r>
        <w:rPr>
          <w:color w:val="auto"/>
          <w:kern w:val="0"/>
          <w:highlight w:val="none"/>
        </w:rPr>
        <w:t>3</w:t>
      </w:r>
      <w:r>
        <w:rPr>
          <w:rFonts w:hint="eastAsia"/>
          <w:color w:val="auto"/>
          <w:kern w:val="0"/>
          <w:highlight w:val="none"/>
          <w:lang w:eastAsia="zh-CN"/>
        </w:rPr>
        <w:t>)</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color w:val="auto"/>
          <w:highlight w:val="none"/>
          <w:u w:val="single"/>
          <w:lang w:eastAsia="zh-CN"/>
        </w:rPr>
        <w:t>.</w:t>
      </w:r>
    </w:p>
    <w:p w14:paraId="1AFAB01B">
      <w:pPr>
        <w:pStyle w:val="4"/>
        <w:rPr>
          <w:color w:val="auto"/>
          <w:highlight w:val="none"/>
        </w:rPr>
      </w:pPr>
      <w:bookmarkStart w:id="984" w:name="_Toc407135219"/>
      <w:bookmarkStart w:id="985" w:name="_Toc389065283"/>
      <w:bookmarkStart w:id="986" w:name="_Toc373227717"/>
      <w:bookmarkStart w:id="987" w:name="_Toc7948"/>
      <w:bookmarkStart w:id="988" w:name="_Toc373478364"/>
      <w:bookmarkStart w:id="989" w:name="_Toc351203637"/>
      <w:bookmarkStart w:id="990" w:name="_Toc1603077308"/>
      <w:bookmarkStart w:id="991" w:name="_Toc78449805"/>
      <w:r>
        <w:rPr>
          <w:color w:val="auto"/>
          <w:highlight w:val="none"/>
        </w:rPr>
        <w:t>5</w:t>
      </w:r>
      <w:bookmarkEnd w:id="983"/>
      <w:bookmarkStart w:id="992" w:name="_Toc296944502"/>
      <w:bookmarkStart w:id="993" w:name="_Toc296890991"/>
      <w:bookmarkStart w:id="994" w:name="_Toc296891203"/>
      <w:bookmarkStart w:id="995" w:name="_Toc292559367"/>
      <w:bookmarkStart w:id="996" w:name="_Toc292559872"/>
      <w:bookmarkStart w:id="997" w:name="_Toc296347162"/>
      <w:bookmarkStart w:id="998" w:name="_Toc297048349"/>
      <w:bookmarkStart w:id="999" w:name="_Toc297120463"/>
      <w:bookmarkStart w:id="1000" w:name="_Toc296503163"/>
      <w:bookmarkStart w:id="1001" w:name="_Toc296346664"/>
      <w:r>
        <w:rPr>
          <w:color w:val="auto"/>
          <w:highlight w:val="none"/>
        </w:rPr>
        <w:t xml:space="preserve">. </w:t>
      </w:r>
      <w:r>
        <w:rPr>
          <w:rFonts w:hint="eastAsia" w:hAnsi="宋体" w:cs="黑体"/>
          <w:color w:val="auto"/>
          <w:highlight w:val="none"/>
        </w:rPr>
        <w:t>工程质量</w:t>
      </w:r>
      <w:bookmarkEnd w:id="984"/>
      <w:bookmarkEnd w:id="985"/>
      <w:bookmarkEnd w:id="986"/>
      <w:bookmarkEnd w:id="987"/>
      <w:bookmarkEnd w:id="988"/>
      <w:bookmarkEnd w:id="989"/>
      <w:bookmarkEnd w:id="990"/>
      <w:bookmarkEnd w:id="991"/>
    </w:p>
    <w:p w14:paraId="5ED1E8BC">
      <w:pPr>
        <w:pStyle w:val="5"/>
        <w:rPr>
          <w:color w:val="auto"/>
          <w:highlight w:val="none"/>
        </w:rPr>
      </w:pPr>
      <w:bookmarkStart w:id="1002" w:name="_Toc1835421345"/>
      <w:bookmarkStart w:id="1003" w:name="_Toc407135220"/>
      <w:bookmarkStart w:id="1004" w:name="_Toc373478365"/>
      <w:bookmarkStart w:id="1005" w:name="_Toc78449806"/>
      <w:bookmarkStart w:id="1006" w:name="_Toc14510"/>
      <w:bookmarkStart w:id="1007" w:name="_Toc30160"/>
      <w:bookmarkStart w:id="1008" w:name="_Toc389065284"/>
      <w:bookmarkStart w:id="1009" w:name="_Toc373227718"/>
      <w:r>
        <w:rPr>
          <w:color w:val="auto"/>
          <w:highlight w:val="none"/>
        </w:rPr>
        <w:t xml:space="preserve">5.1 </w:t>
      </w:r>
      <w:r>
        <w:rPr>
          <w:rFonts w:hint="eastAsia" w:hAnsi="宋体" w:cs="黑体"/>
          <w:color w:val="auto"/>
          <w:highlight w:val="none"/>
        </w:rPr>
        <w:t>质量要求</w:t>
      </w:r>
      <w:bookmarkEnd w:id="1002"/>
      <w:bookmarkEnd w:id="1003"/>
      <w:bookmarkEnd w:id="1004"/>
      <w:bookmarkEnd w:id="1005"/>
      <w:bookmarkEnd w:id="1006"/>
      <w:bookmarkEnd w:id="1007"/>
      <w:bookmarkEnd w:id="1008"/>
      <w:bookmarkEnd w:id="1009"/>
    </w:p>
    <w:p w14:paraId="771DE3CA">
      <w:pPr>
        <w:spacing w:line="360" w:lineRule="auto"/>
        <w:ind w:firstLine="420" w:firstLineChars="200"/>
        <w:jc w:val="left"/>
        <w:rPr>
          <w:rFonts w:hint="eastAsia" w:ascii="宋体" w:hAnsi="宋体"/>
          <w:color w:val="auto"/>
          <w:kern w:val="0"/>
          <w:szCs w:val="21"/>
        </w:rPr>
      </w:pPr>
      <w:r>
        <w:rPr>
          <w:color w:val="auto"/>
          <w:highlight w:val="none"/>
        </w:rPr>
        <w:t>5</w:t>
      </w:r>
      <w:bookmarkStart w:id="1010" w:name="_Toc318581164"/>
      <w:bookmarkStart w:id="1011" w:name="_Toc297216155"/>
      <w:bookmarkStart w:id="1012" w:name="_Toc304295527"/>
      <w:bookmarkStart w:id="1013" w:name="_Toc300934949"/>
      <w:bookmarkStart w:id="1014" w:name="_Toc297123496"/>
      <w:bookmarkStart w:id="1015" w:name="_Toc303539106"/>
      <w:bookmarkStart w:id="1016" w:name="_Toc312677997"/>
      <w:r>
        <w:rPr>
          <w:color w:val="auto"/>
          <w:highlight w:val="none"/>
        </w:rPr>
        <w:t xml:space="preserve">.1.1 </w:t>
      </w:r>
      <w:r>
        <w:rPr>
          <w:rFonts w:hint="eastAsia" w:hAnsi="宋体" w:cs="宋体"/>
          <w:color w:val="auto"/>
          <w:highlight w:val="none"/>
        </w:rPr>
        <w:t>特殊质量标准和要求：</w:t>
      </w:r>
      <w:r>
        <w:rPr>
          <w:color w:val="auto"/>
          <w:highlight w:val="none"/>
          <w:u w:val="single"/>
        </w:rPr>
        <w:t xml:space="preserve"> </w:t>
      </w:r>
      <w:r>
        <w:rPr>
          <w:rFonts w:hint="eastAsia" w:ascii="宋体" w:hAnsi="宋体"/>
          <w:color w:val="auto"/>
          <w:kern w:val="0"/>
          <w:szCs w:val="21"/>
          <w:u w:val="single" w:color="000000"/>
        </w:rPr>
        <w:t>无</w:t>
      </w:r>
      <w:r>
        <w:rPr>
          <w:rFonts w:hint="eastAsia" w:ascii="宋体" w:hAnsi="宋体"/>
          <w:color w:val="auto"/>
          <w:kern w:val="0"/>
          <w:szCs w:val="21"/>
          <w:u w:val="single" w:color="000000"/>
          <w:lang w:val="en-US" w:eastAsia="zh-CN"/>
        </w:rPr>
        <w:t xml:space="preserve"> </w:t>
      </w:r>
      <w:r>
        <w:rPr>
          <w:rFonts w:hint="eastAsia" w:ascii="宋体" w:hAnsi="宋体"/>
          <w:color w:val="auto"/>
          <w:kern w:val="0"/>
          <w:szCs w:val="21"/>
        </w:rPr>
        <w:t>。</w:t>
      </w:r>
    </w:p>
    <w:p w14:paraId="61042DF0">
      <w:pPr>
        <w:spacing w:line="360" w:lineRule="auto"/>
        <w:ind w:firstLine="420" w:firstLineChars="200"/>
        <w:jc w:val="left"/>
        <w:rPr>
          <w:color w:val="auto"/>
          <w:highlight w:val="none"/>
        </w:rPr>
      </w:pPr>
      <w:r>
        <w:rPr>
          <w:rFonts w:hint="eastAsia" w:hAnsi="宋体" w:cs="宋体"/>
          <w:color w:val="auto"/>
          <w:highlight w:val="none"/>
        </w:rPr>
        <w:t>关于工程奖项的约定：</w:t>
      </w:r>
      <w:r>
        <w:rPr>
          <w:color w:val="auto"/>
          <w:highlight w:val="none"/>
        </w:rPr>
        <w:t xml:space="preserve"> </w:t>
      </w:r>
      <w:r>
        <w:rPr>
          <w:rFonts w:hint="eastAsia"/>
          <w:color w:val="auto"/>
          <w:highlight w:val="none"/>
        </w:rPr>
        <w:t>如果</w:t>
      </w:r>
      <w:r>
        <w:rPr>
          <w:color w:val="auto"/>
          <w:highlight w:val="none"/>
        </w:rPr>
        <w:t>工程获得</w:t>
      </w:r>
      <w:r>
        <w:rPr>
          <w:rFonts w:hint="eastAsia"/>
          <w:color w:val="auto"/>
          <w:highlight w:val="none"/>
          <w:u w:val="single"/>
        </w:rPr>
        <w:t xml:space="preserve">             （奖项名称）</w:t>
      </w:r>
      <w:r>
        <w:rPr>
          <w:rFonts w:hint="eastAsia"/>
          <w:color w:val="auto"/>
          <w:highlight w:val="none"/>
        </w:rPr>
        <w:t>，</w:t>
      </w:r>
      <w:r>
        <w:rPr>
          <w:rFonts w:hint="eastAsia"/>
          <w:color w:val="auto"/>
          <w:highlight w:val="none"/>
          <w:lang w:eastAsia="zh-CN"/>
        </w:rPr>
        <w:t>结算时按工程量清单</w:t>
      </w:r>
      <w:r>
        <w:rPr>
          <w:rFonts w:hint="eastAsia" w:hAnsi="宋体" w:cs="宋体"/>
          <w:color w:val="auto"/>
          <w:highlight w:val="none"/>
          <w:lang w:eastAsia="zh-CN"/>
        </w:rPr>
        <w:t>暂列金额表中的优良工程增加费计取</w:t>
      </w:r>
      <w:r>
        <w:rPr>
          <w:rFonts w:hint="eastAsia" w:hAnsi="宋体" w:cs="宋体"/>
          <w:color w:val="auto"/>
          <w:highlight w:val="none"/>
        </w:rPr>
        <w:t>。</w:t>
      </w:r>
    </w:p>
    <w:p w14:paraId="6D2F1BD4">
      <w:pPr>
        <w:spacing w:line="360" w:lineRule="auto"/>
        <w:ind w:firstLine="420" w:firstLineChars="200"/>
        <w:jc w:val="left"/>
        <w:rPr>
          <w:color w:val="auto"/>
          <w:highlight w:val="none"/>
        </w:rPr>
      </w:pPr>
      <w:r>
        <w:rPr>
          <w:color w:val="auto"/>
          <w:highlight w:val="none"/>
        </w:rPr>
        <w:t xml:space="preserve">5.3 </w:t>
      </w:r>
      <w:r>
        <w:rPr>
          <w:rFonts w:hint="eastAsia" w:hAnsi="宋体" w:cs="宋体"/>
          <w:color w:val="auto"/>
          <w:highlight w:val="none"/>
        </w:rPr>
        <w:t>隐蔽工程检查</w:t>
      </w:r>
    </w:p>
    <w:p w14:paraId="79820A60">
      <w:pPr>
        <w:spacing w:line="360" w:lineRule="auto"/>
        <w:ind w:firstLine="420" w:firstLineChars="200"/>
        <w:jc w:val="left"/>
        <w:rPr>
          <w:color w:val="auto"/>
          <w:highlight w:val="none"/>
          <w:u w:val="single"/>
        </w:rPr>
      </w:pPr>
      <w:r>
        <w:rPr>
          <w:color w:val="auto"/>
          <w:highlight w:val="none"/>
        </w:rPr>
        <w:t>5.3.2</w:t>
      </w:r>
      <w:r>
        <w:rPr>
          <w:rFonts w:hint="eastAsia" w:hAnsi="宋体" w:cs="宋体"/>
          <w:color w:val="auto"/>
          <w:highlight w:val="none"/>
        </w:rPr>
        <w:t>承包人提前通知监理人隐蔽工程检查的期限的约定：工程隐蔽或中间验收前</w:t>
      </w:r>
      <w:r>
        <w:rPr>
          <w:color w:val="auto"/>
          <w:highlight w:val="none"/>
        </w:rPr>
        <w:t>12</w:t>
      </w:r>
      <w:r>
        <w:rPr>
          <w:rFonts w:hint="eastAsia" w:hAnsi="宋体" w:cs="宋体"/>
          <w:color w:val="auto"/>
          <w:highlight w:val="none"/>
        </w:rPr>
        <w:t>小时以书面形式通知发包人和监理工程师验收的内容、时间、地点，承包人准备验收记录单（最好是印制的表格）由双方签证。验收合格，承包人可进行隐蔽和继续施工；验收不合格，双方</w:t>
      </w:r>
      <w:r>
        <w:rPr>
          <w:rFonts w:hint="eastAsia" w:hAnsi="宋体" w:cs="宋体"/>
          <w:color w:val="auto"/>
          <w:highlight w:val="none"/>
          <w:lang w:eastAsia="zh-CN"/>
        </w:rPr>
        <w:t>商定</w:t>
      </w:r>
      <w:r>
        <w:rPr>
          <w:rFonts w:hint="eastAsia" w:hAnsi="宋体" w:cs="宋体"/>
          <w:color w:val="auto"/>
          <w:highlight w:val="none"/>
        </w:rPr>
        <w:t>时限内修改后按上述</w:t>
      </w:r>
      <w:r>
        <w:rPr>
          <w:rFonts w:hint="eastAsia" w:hAnsi="宋体" w:cs="宋体"/>
          <w:color w:val="auto"/>
          <w:highlight w:val="none"/>
          <w:lang w:eastAsia="zh-CN"/>
        </w:rPr>
        <w:t>顺序</w:t>
      </w:r>
      <w:r>
        <w:rPr>
          <w:rFonts w:hint="eastAsia" w:hAnsi="宋体" w:cs="宋体"/>
          <w:color w:val="auto"/>
          <w:highlight w:val="none"/>
        </w:rPr>
        <w:t>重新验收。</w:t>
      </w:r>
    </w:p>
    <w:p w14:paraId="6F2C8242">
      <w:pPr>
        <w:spacing w:line="360" w:lineRule="auto"/>
        <w:ind w:firstLine="420" w:firstLineChars="200"/>
        <w:jc w:val="left"/>
        <w:rPr>
          <w:color w:val="auto"/>
          <w:highlight w:val="none"/>
        </w:rPr>
      </w:pPr>
      <w:r>
        <w:rPr>
          <w:rFonts w:hint="eastAsia" w:hAnsi="宋体" w:cs="宋体"/>
          <w:color w:val="auto"/>
          <w:highlight w:val="none"/>
        </w:rPr>
        <w:t>监理人不能按时进行检查时，应提前</w:t>
      </w:r>
      <w:r>
        <w:rPr>
          <w:color w:val="auto"/>
          <w:highlight w:val="none"/>
          <w:u w:val="single"/>
        </w:rPr>
        <w:t xml:space="preserve">  </w:t>
      </w:r>
      <w:r>
        <w:rPr>
          <w:rFonts w:hint="eastAsia"/>
          <w:color w:val="auto"/>
          <w:highlight w:val="none"/>
          <w:u w:val="single"/>
          <w:lang w:val="en-US" w:eastAsia="zh-CN"/>
        </w:rPr>
        <w:t>24</w:t>
      </w:r>
      <w:r>
        <w:rPr>
          <w:color w:val="auto"/>
          <w:highlight w:val="none"/>
          <w:u w:val="single"/>
        </w:rPr>
        <w:t xml:space="preserve">  </w:t>
      </w:r>
      <w:r>
        <w:rPr>
          <w:rFonts w:hint="eastAsia" w:hAnsi="宋体" w:cs="宋体"/>
          <w:color w:val="auto"/>
          <w:highlight w:val="none"/>
        </w:rPr>
        <w:t>小时提交书面延期要求。</w:t>
      </w:r>
    </w:p>
    <w:p w14:paraId="777FB636">
      <w:pPr>
        <w:spacing w:line="360" w:lineRule="auto"/>
        <w:ind w:firstLine="420" w:firstLineChars="200"/>
        <w:jc w:val="left"/>
        <w:rPr>
          <w:color w:val="auto"/>
          <w:highlight w:val="none"/>
        </w:rPr>
      </w:pPr>
      <w:r>
        <w:rPr>
          <w:rFonts w:hint="eastAsia" w:hAnsi="宋体" w:cs="宋体"/>
          <w:color w:val="auto"/>
          <w:highlight w:val="none"/>
        </w:rPr>
        <w:t>关于延期最长不得超过：</w:t>
      </w:r>
      <w:r>
        <w:rPr>
          <w:color w:val="auto"/>
          <w:highlight w:val="none"/>
          <w:u w:val="single"/>
        </w:rPr>
        <w:t xml:space="preserve">   </w:t>
      </w:r>
      <w:r>
        <w:rPr>
          <w:rFonts w:hint="eastAsia"/>
          <w:color w:val="auto"/>
          <w:highlight w:val="none"/>
          <w:u w:val="single"/>
          <w:lang w:val="en-US" w:eastAsia="zh-CN"/>
        </w:rPr>
        <w:t>48</w:t>
      </w:r>
      <w:r>
        <w:rPr>
          <w:color w:val="auto"/>
          <w:highlight w:val="none"/>
          <w:u w:val="single"/>
        </w:rPr>
        <w:t xml:space="preserve">    </w:t>
      </w:r>
      <w:r>
        <w:rPr>
          <w:rFonts w:hint="eastAsia" w:hAnsi="宋体" w:cs="宋体"/>
          <w:color w:val="auto"/>
          <w:highlight w:val="none"/>
        </w:rPr>
        <w:t>小时。</w:t>
      </w:r>
    </w:p>
    <w:p w14:paraId="4D5D1DE6">
      <w:pPr>
        <w:pStyle w:val="4"/>
        <w:rPr>
          <w:color w:val="auto"/>
          <w:highlight w:val="none"/>
        </w:rPr>
      </w:pPr>
      <w:bookmarkStart w:id="1017" w:name="_Toc12794"/>
      <w:bookmarkStart w:id="1018" w:name="_Toc78449807"/>
      <w:bookmarkStart w:id="1019" w:name="_Toc373227719"/>
      <w:bookmarkStart w:id="1020" w:name="_Toc373478366"/>
      <w:bookmarkStart w:id="1021" w:name="_Toc703841976"/>
      <w:bookmarkStart w:id="1022" w:name="_Toc389065285"/>
      <w:bookmarkStart w:id="1023" w:name="_Toc351203638"/>
      <w:bookmarkStart w:id="1024" w:name="_Toc407135221"/>
      <w:r>
        <w:rPr>
          <w:color w:val="auto"/>
          <w:highlight w:val="none"/>
        </w:rPr>
        <w:t xml:space="preserve">6. </w:t>
      </w:r>
      <w:r>
        <w:rPr>
          <w:rFonts w:hint="eastAsia" w:cs="黑体"/>
          <w:color w:val="auto"/>
          <w:highlight w:val="none"/>
        </w:rPr>
        <w:t>安全文明施工与环境保护</w:t>
      </w:r>
      <w:bookmarkEnd w:id="1017"/>
      <w:bookmarkEnd w:id="1018"/>
      <w:bookmarkEnd w:id="1019"/>
      <w:bookmarkEnd w:id="1020"/>
      <w:bookmarkEnd w:id="1021"/>
      <w:bookmarkEnd w:id="1022"/>
      <w:bookmarkEnd w:id="1023"/>
      <w:bookmarkEnd w:id="1024"/>
    </w:p>
    <w:p w14:paraId="79F94B32">
      <w:pPr>
        <w:pStyle w:val="5"/>
        <w:rPr>
          <w:color w:val="auto"/>
          <w:highlight w:val="none"/>
        </w:rPr>
      </w:pPr>
      <w:bookmarkStart w:id="1025" w:name="_Toc9202"/>
      <w:bookmarkStart w:id="1026" w:name="_Toc389065286"/>
      <w:bookmarkStart w:id="1027" w:name="_Toc78449808"/>
      <w:bookmarkStart w:id="1028" w:name="_Toc373478367"/>
      <w:bookmarkStart w:id="1029" w:name="_Toc180514231"/>
      <w:bookmarkStart w:id="1030" w:name="_Toc373227720"/>
      <w:bookmarkStart w:id="1031" w:name="_Toc29946"/>
      <w:bookmarkStart w:id="1032" w:name="_Toc407135222"/>
      <w:r>
        <w:rPr>
          <w:color w:val="auto"/>
          <w:highlight w:val="none"/>
        </w:rPr>
        <w:t xml:space="preserve">6.1 </w:t>
      </w:r>
      <w:r>
        <w:rPr>
          <w:rFonts w:hint="eastAsia" w:cs="黑体"/>
          <w:color w:val="auto"/>
          <w:highlight w:val="none"/>
        </w:rPr>
        <w:t>安全文明施工</w:t>
      </w:r>
      <w:bookmarkEnd w:id="1025"/>
      <w:bookmarkEnd w:id="1026"/>
      <w:bookmarkEnd w:id="1027"/>
      <w:bookmarkEnd w:id="1028"/>
      <w:bookmarkEnd w:id="1029"/>
      <w:bookmarkEnd w:id="1030"/>
      <w:bookmarkEnd w:id="1031"/>
      <w:bookmarkEnd w:id="1032"/>
    </w:p>
    <w:p w14:paraId="370C8C70">
      <w:pPr>
        <w:spacing w:line="360" w:lineRule="auto"/>
        <w:ind w:firstLine="420" w:firstLineChars="200"/>
        <w:jc w:val="left"/>
        <w:rPr>
          <w:rFonts w:hint="eastAsia" w:ascii="宋体" w:hAnsi="宋体"/>
          <w:color w:val="auto"/>
          <w:kern w:val="0"/>
          <w:szCs w:val="21"/>
          <w:u w:val="single" w:color="000000"/>
        </w:rPr>
      </w:pPr>
      <w:r>
        <w:rPr>
          <w:color w:val="auto"/>
          <w:highlight w:val="none"/>
        </w:rPr>
        <w:t xml:space="preserve">6.1.1 </w:t>
      </w:r>
      <w:r>
        <w:rPr>
          <w:rFonts w:hint="eastAsia" w:hAnsi="宋体" w:cs="宋体"/>
          <w:color w:val="auto"/>
          <w:highlight w:val="none"/>
        </w:rPr>
        <w:t>项目安全生产的达标目标及相应事项的约定：</w:t>
      </w:r>
      <w:r>
        <w:rPr>
          <w:color w:val="auto"/>
          <w:highlight w:val="none"/>
          <w:u w:val="single"/>
        </w:rPr>
        <w:t xml:space="preserve">    </w:t>
      </w:r>
      <w:r>
        <w:rPr>
          <w:rFonts w:hint="eastAsia" w:ascii="宋体" w:hAnsi="宋体"/>
          <w:color w:val="auto"/>
          <w:kern w:val="0"/>
          <w:szCs w:val="21"/>
          <w:u w:val="single" w:color="000000"/>
        </w:rPr>
        <w:t>要求达到《建筑施工安全检查标准》标准</w:t>
      </w:r>
    </w:p>
    <w:p w14:paraId="246FB2F5">
      <w:pPr>
        <w:spacing w:line="360" w:lineRule="auto"/>
        <w:ind w:firstLine="420" w:firstLineChars="200"/>
        <w:jc w:val="left"/>
        <w:rPr>
          <w:color w:val="auto"/>
          <w:highlight w:val="none"/>
        </w:rPr>
      </w:pPr>
      <w:r>
        <w:rPr>
          <w:rFonts w:hint="eastAsia" w:hAnsi="宋体" w:cs="宋体"/>
          <w:color w:val="auto"/>
          <w:highlight w:val="none"/>
        </w:rPr>
        <w:t>关于安全文明施工奖项的约定：</w:t>
      </w:r>
      <w:r>
        <w:rPr>
          <w:color w:val="auto"/>
          <w:highlight w:val="none"/>
          <w:u w:val="single"/>
        </w:rPr>
        <w:t xml:space="preserve">    </w:t>
      </w:r>
      <w:r>
        <w:rPr>
          <w:rFonts w:hint="eastAsia"/>
          <w:color w:val="auto"/>
          <w:highlight w:val="none"/>
          <w:u w:val="single"/>
          <w:lang w:val="en-US" w:eastAsia="zh-CN"/>
        </w:rPr>
        <w:t>无</w:t>
      </w:r>
      <w:r>
        <w:rPr>
          <w:color w:val="auto"/>
          <w:highlight w:val="none"/>
          <w:u w:val="single"/>
        </w:rPr>
        <w:t xml:space="preserve">   </w:t>
      </w:r>
      <w:r>
        <w:rPr>
          <w:rFonts w:hint="eastAsia" w:hAnsi="宋体" w:cs="宋体"/>
          <w:color w:val="auto"/>
          <w:highlight w:val="none"/>
        </w:rPr>
        <w:t>。</w:t>
      </w:r>
    </w:p>
    <w:p w14:paraId="64B5A7E0">
      <w:pPr>
        <w:spacing w:line="360" w:lineRule="auto"/>
        <w:ind w:firstLine="420" w:firstLineChars="200"/>
        <w:jc w:val="left"/>
        <w:rPr>
          <w:color w:val="auto"/>
          <w:highlight w:val="none"/>
          <w:u w:val="single"/>
        </w:rPr>
      </w:pPr>
      <w:r>
        <w:rPr>
          <w:color w:val="auto"/>
          <w:highlight w:val="none"/>
        </w:rPr>
        <w:t xml:space="preserve">6.1.4 </w:t>
      </w:r>
      <w:r>
        <w:rPr>
          <w:rFonts w:hint="eastAsia" w:hAnsi="宋体" w:cs="宋体"/>
          <w:color w:val="auto"/>
          <w:highlight w:val="none"/>
        </w:rPr>
        <w:t>关于治安保卫的特别约定：</w:t>
      </w:r>
      <w:r>
        <w:rPr>
          <w:rFonts w:hint="eastAsia" w:hAnsi="宋体" w:cs="宋体"/>
          <w:color w:val="auto"/>
          <w:highlight w:val="none"/>
          <w:u w:val="single"/>
        </w:rPr>
        <w:t>承包人应承担施工安全保卫工作及非夜间施工照明的责任，承包人应采取一切合理的预防措施，防止人员伤亡、财产损失事故，费用由承包人承担。承包人生活设施及施</w:t>
      </w:r>
      <w:r>
        <w:rPr>
          <w:rFonts w:hint="eastAsia" w:hAnsi="宋体" w:cs="宋体"/>
          <w:color w:val="auto"/>
          <w:highlight w:val="none"/>
          <w:u w:val="single"/>
          <w:lang w:eastAsia="zh-CN"/>
        </w:rPr>
        <w:t>工现</w:t>
      </w:r>
      <w:r>
        <w:rPr>
          <w:rFonts w:hint="eastAsia" w:hAnsi="宋体" w:cs="宋体"/>
          <w:color w:val="auto"/>
          <w:highlight w:val="none"/>
          <w:u w:val="single"/>
        </w:rPr>
        <w:t>场应自费配备消防设备，防止火灾发生。</w:t>
      </w:r>
    </w:p>
    <w:p w14:paraId="0DE6BAC1">
      <w:pPr>
        <w:spacing w:line="360" w:lineRule="auto"/>
        <w:ind w:firstLine="420" w:firstLineChars="200"/>
        <w:jc w:val="left"/>
        <w:rPr>
          <w:color w:val="auto"/>
          <w:highlight w:val="none"/>
        </w:rPr>
      </w:pPr>
      <w:r>
        <w:rPr>
          <w:rFonts w:hint="eastAsia" w:hAnsi="宋体" w:cs="宋体"/>
          <w:color w:val="auto"/>
          <w:highlight w:val="none"/>
        </w:rPr>
        <w:t>关于编制施工场地治安管理计划的约定：</w:t>
      </w:r>
      <w:r>
        <w:rPr>
          <w:color w:val="auto"/>
          <w:highlight w:val="none"/>
          <w:u w:val="single"/>
        </w:rPr>
        <w:t xml:space="preserve">  </w:t>
      </w:r>
      <w:r>
        <w:rPr>
          <w:rFonts w:hint="eastAsia" w:ascii="宋体" w:hAnsi="宋体"/>
          <w:color w:val="auto"/>
          <w:spacing w:val="-3"/>
          <w:kern w:val="0"/>
          <w:szCs w:val="21"/>
          <w:u w:val="single" w:color="000000"/>
        </w:rPr>
        <w:t>开工后七日内由发包人、承包人共同编制，并制</w:t>
      </w:r>
      <w:r>
        <w:rPr>
          <w:rFonts w:hint="eastAsia" w:ascii="宋体" w:hAnsi="宋体"/>
          <w:color w:val="auto"/>
          <w:kern w:val="0"/>
          <w:szCs w:val="21"/>
          <w:u w:val="single" w:color="000000"/>
        </w:rPr>
        <w:t>定应对突发治安事件的紧急预案</w:t>
      </w:r>
      <w:r>
        <w:rPr>
          <w:color w:val="auto"/>
          <w:highlight w:val="none"/>
          <w:u w:val="single"/>
        </w:rPr>
        <w:t xml:space="preserve">    </w:t>
      </w:r>
      <w:r>
        <w:rPr>
          <w:rFonts w:hint="eastAsia" w:hAnsi="宋体" w:cs="宋体"/>
          <w:color w:val="auto"/>
          <w:highlight w:val="none"/>
        </w:rPr>
        <w:t>。</w:t>
      </w:r>
    </w:p>
    <w:p w14:paraId="2739563A">
      <w:pPr>
        <w:spacing w:line="360" w:lineRule="auto"/>
        <w:ind w:firstLine="420" w:firstLineChars="200"/>
        <w:jc w:val="left"/>
        <w:rPr>
          <w:color w:val="auto"/>
          <w:highlight w:val="none"/>
        </w:rPr>
      </w:pPr>
      <w:r>
        <w:rPr>
          <w:color w:val="auto"/>
          <w:highlight w:val="none"/>
        </w:rPr>
        <w:t xml:space="preserve">6.1.5 </w:t>
      </w:r>
      <w:r>
        <w:rPr>
          <w:rFonts w:hint="eastAsia" w:hAnsi="宋体" w:cs="宋体"/>
          <w:color w:val="auto"/>
          <w:highlight w:val="none"/>
        </w:rPr>
        <w:t>文明施工</w:t>
      </w:r>
    </w:p>
    <w:p w14:paraId="6275F561">
      <w:pPr>
        <w:spacing w:line="360" w:lineRule="auto"/>
        <w:jc w:val="left"/>
        <w:rPr>
          <w:color w:val="auto"/>
          <w:highlight w:val="none"/>
        </w:rPr>
      </w:pPr>
      <w:r>
        <w:rPr>
          <w:rFonts w:hint="eastAsia" w:hAnsi="宋体" w:cs="宋体"/>
          <w:color w:val="auto"/>
          <w:highlight w:val="none"/>
        </w:rPr>
        <w:t>合同当事人对文明施工的要求：</w:t>
      </w:r>
      <w:r>
        <w:rPr>
          <w:color w:val="auto"/>
          <w:highlight w:val="none"/>
          <w:u w:val="single"/>
        </w:rPr>
        <w:t xml:space="preserve"> </w:t>
      </w:r>
      <w:r>
        <w:rPr>
          <w:rFonts w:hint="eastAsia"/>
          <w:color w:val="auto"/>
          <w:highlight w:val="none"/>
          <w:u w:val="single"/>
        </w:rPr>
        <w:t>建筑垃圾排放量达到行政区域内要求</w:t>
      </w:r>
      <w:r>
        <w:rPr>
          <w:rFonts w:hint="eastAsia"/>
          <w:color w:val="auto"/>
          <w:highlight w:val="none"/>
          <w:u w:val="single"/>
          <w:lang w:eastAsia="zh-CN"/>
        </w:rPr>
        <w:t>，执行《大气污染防治法》（主席令第三十一号）、《南宁市建设工程质量和安全生产管理办法》（南宁市人民政府令第46号）、《南宁市建设工程质量安全标准化图集》、《南宁市建设工程施工现场管理若干规定》（南宁市人民政府令第8号）的有关规定，与辖区卫生防疫、环卫管理部门或有合法资质资格的企业签订病媒生物消杀协议、生活垃圾清运协议、渣土密闭运输协议、在线远程监控扬尘监测协议，遵守“一口两池三包四协议”的有关规定，施工前办理排水许可证，严格执行排水许可，做好工地泥浆水、临时生活污水的排放管理，现场设置三级沉淀池及化粪池，避免生活污水及施工废水直排市政排水管网及内河。采取道路硬化、裸土必盖（种草、绿网）、洗车出门、保洁路口、在线监测、抑尘喷淋等有效措施，确保建设工程各项安全防护、文明施工措施及其费用在工地一线按标准落实到位</w:t>
      </w:r>
      <w:r>
        <w:rPr>
          <w:color w:val="auto"/>
          <w:highlight w:val="none"/>
          <w:u w:val="single"/>
        </w:rPr>
        <w:t xml:space="preserve">   </w:t>
      </w:r>
      <w:r>
        <w:rPr>
          <w:rFonts w:hint="eastAsia" w:cs="宋体"/>
          <w:color w:val="auto"/>
          <w:highlight w:val="none"/>
        </w:rPr>
        <w:t>。</w:t>
      </w:r>
    </w:p>
    <w:p w14:paraId="5CD91CA8">
      <w:pPr>
        <w:spacing w:line="360" w:lineRule="auto"/>
        <w:ind w:firstLine="420" w:firstLineChars="200"/>
        <w:jc w:val="left"/>
        <w:rPr>
          <w:rFonts w:hAnsi="宋体"/>
          <w:color w:val="auto"/>
          <w:highlight w:val="none"/>
        </w:rPr>
      </w:pPr>
      <w:r>
        <w:rPr>
          <w:color w:val="auto"/>
          <w:highlight w:val="none"/>
        </w:rPr>
        <w:t>6.1.6</w:t>
      </w:r>
      <w:r>
        <w:rPr>
          <w:rFonts w:hAnsi="宋体" w:cs="宋体"/>
          <w:color w:val="auto"/>
          <w:kern w:val="0"/>
          <w:highlight w:val="none"/>
        </w:rPr>
        <w:t>关于安全</w:t>
      </w:r>
      <w:r>
        <w:rPr>
          <w:rFonts w:hint="eastAsia" w:hAnsi="宋体" w:cs="宋体"/>
          <w:color w:val="auto"/>
          <w:kern w:val="0"/>
          <w:highlight w:val="none"/>
        </w:rPr>
        <w:t>生产</w:t>
      </w:r>
      <w:r>
        <w:rPr>
          <w:rFonts w:hAnsi="宋体" w:cs="宋体"/>
          <w:color w:val="auto"/>
          <w:kern w:val="0"/>
          <w:highlight w:val="none"/>
        </w:rPr>
        <w:t>费</w:t>
      </w:r>
      <w:r>
        <w:rPr>
          <w:rFonts w:hint="eastAsia" w:hAnsi="宋体" w:cs="宋体"/>
          <w:color w:val="auto"/>
          <w:kern w:val="0"/>
          <w:highlight w:val="none"/>
        </w:rPr>
        <w:t>总额、</w:t>
      </w:r>
      <w:r>
        <w:rPr>
          <w:rFonts w:hAnsi="宋体" w:cs="宋体"/>
          <w:color w:val="auto"/>
          <w:kern w:val="0"/>
          <w:highlight w:val="none"/>
        </w:rPr>
        <w:t>支付比例</w:t>
      </w:r>
      <w:r>
        <w:rPr>
          <w:rFonts w:hint="eastAsia" w:hAnsi="宋体" w:cs="宋体"/>
          <w:color w:val="auto"/>
          <w:kern w:val="0"/>
          <w:highlight w:val="none"/>
        </w:rPr>
        <w:t>、</w:t>
      </w:r>
      <w:r>
        <w:rPr>
          <w:rFonts w:hAnsi="宋体" w:cs="宋体"/>
          <w:color w:val="auto"/>
          <w:kern w:val="0"/>
          <w:highlight w:val="none"/>
        </w:rPr>
        <w:t>支付期限</w:t>
      </w:r>
      <w:r>
        <w:rPr>
          <w:rFonts w:hint="eastAsia" w:hAnsi="宋体" w:cs="宋体"/>
          <w:color w:val="auto"/>
          <w:kern w:val="0"/>
          <w:highlight w:val="none"/>
        </w:rPr>
        <w:t>、转入和结余收回</w:t>
      </w:r>
      <w:r>
        <w:rPr>
          <w:rFonts w:hAnsi="宋体" w:cs="宋体"/>
          <w:color w:val="auto"/>
          <w:kern w:val="0"/>
          <w:highlight w:val="none"/>
        </w:rPr>
        <w:t>的约定：</w:t>
      </w:r>
    </w:p>
    <w:p w14:paraId="06048E4B">
      <w:pPr>
        <w:autoSpaceDE w:val="0"/>
        <w:autoSpaceDN w:val="0"/>
        <w:adjustRightInd w:val="0"/>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1</w:t>
      </w:r>
      <w:r>
        <w:rPr>
          <w:rFonts w:hint="eastAsia" w:hAnsi="宋体" w:cs="宋体"/>
          <w:color w:val="auto"/>
          <w:kern w:val="0"/>
          <w:highlight w:val="none"/>
        </w:rPr>
        <w:t>）本合同价款已包含</w:t>
      </w:r>
      <w:r>
        <w:rPr>
          <w:rFonts w:hint="eastAsia" w:hAnsi="宋体" w:cs="宋体"/>
          <w:color w:val="auto"/>
          <w:kern w:val="0"/>
          <w:highlight w:val="none"/>
          <w:lang w:eastAsia="zh-CN"/>
        </w:rPr>
        <w:t>安全生产费</w:t>
      </w:r>
      <w:r>
        <w:rPr>
          <w:rFonts w:hAnsi="宋体"/>
          <w:color w:val="auto"/>
          <w:kern w:val="0"/>
          <w:highlight w:val="none"/>
          <w:u w:val="single"/>
        </w:rPr>
        <w:t xml:space="preserve">           </w:t>
      </w:r>
      <w:r>
        <w:rPr>
          <w:rFonts w:hint="eastAsia" w:hAnsi="宋体" w:cs="宋体"/>
          <w:color w:val="auto"/>
          <w:kern w:val="0"/>
          <w:highlight w:val="none"/>
        </w:rPr>
        <w:t>元。</w:t>
      </w:r>
    </w:p>
    <w:p w14:paraId="698F7868">
      <w:pPr>
        <w:autoSpaceDE w:val="0"/>
        <w:autoSpaceDN w:val="0"/>
        <w:adjustRightInd w:val="0"/>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2</w:t>
      </w:r>
      <w:r>
        <w:rPr>
          <w:rFonts w:hint="eastAsia" w:hAnsi="宋体" w:cs="宋体"/>
          <w:color w:val="auto"/>
          <w:kern w:val="0"/>
          <w:highlight w:val="none"/>
        </w:rPr>
        <w:t>）使用要求：专款专用。具体按</w:t>
      </w:r>
      <w:r>
        <w:rPr>
          <w:rFonts w:hint="eastAsia" w:hAnsi="宋体" w:cs="宋体"/>
          <w:color w:val="auto"/>
          <w:kern w:val="0"/>
          <w:highlight w:val="none"/>
          <w:u w:val="single"/>
        </w:rPr>
        <w:t>《广西壮族自治区建设工程安全文明施工费使用管理细则》（桂建质〔</w:t>
      </w:r>
      <w:r>
        <w:rPr>
          <w:rFonts w:hAnsi="宋体"/>
          <w:color w:val="auto"/>
          <w:kern w:val="0"/>
          <w:highlight w:val="none"/>
          <w:u w:val="single"/>
        </w:rPr>
        <w:t>2015</w:t>
      </w:r>
      <w:r>
        <w:rPr>
          <w:rFonts w:hint="eastAsia" w:hAnsi="宋体" w:cs="宋体"/>
          <w:color w:val="auto"/>
          <w:kern w:val="0"/>
          <w:highlight w:val="none"/>
          <w:u w:val="single"/>
        </w:rPr>
        <w:t>〕</w:t>
      </w:r>
      <w:r>
        <w:rPr>
          <w:rFonts w:hAnsi="宋体"/>
          <w:color w:val="auto"/>
          <w:kern w:val="0"/>
          <w:highlight w:val="none"/>
          <w:u w:val="single"/>
        </w:rPr>
        <w:t>16</w:t>
      </w:r>
      <w:r>
        <w:rPr>
          <w:rFonts w:hint="eastAsia" w:hAnsi="宋体" w:cs="宋体"/>
          <w:color w:val="auto"/>
          <w:kern w:val="0"/>
          <w:highlight w:val="none"/>
          <w:u w:val="single"/>
        </w:rPr>
        <w:t>号）</w:t>
      </w:r>
      <w:r>
        <w:rPr>
          <w:rFonts w:hint="eastAsia" w:hAnsi="宋体" w:cs="宋体"/>
          <w:color w:val="auto"/>
          <w:kern w:val="0"/>
          <w:highlight w:val="none"/>
        </w:rPr>
        <w:t>和</w:t>
      </w:r>
      <w:r>
        <w:rPr>
          <w:rFonts w:hAnsi="宋体"/>
          <w:color w:val="auto"/>
          <w:kern w:val="0"/>
          <w:highlight w:val="none"/>
          <w:u w:val="single"/>
        </w:rPr>
        <w:t xml:space="preserve">       </w:t>
      </w:r>
      <w:r>
        <w:rPr>
          <w:rFonts w:hint="eastAsia" w:hAnsi="宋体"/>
          <w:color w:val="auto"/>
          <w:kern w:val="0"/>
          <w:highlight w:val="none"/>
          <w:u w:val="single"/>
          <w:lang w:val="en-US" w:eastAsia="zh-CN"/>
        </w:rPr>
        <w:t>南宁</w:t>
      </w:r>
      <w:r>
        <w:rPr>
          <w:rFonts w:hAnsi="宋体"/>
          <w:color w:val="auto"/>
          <w:kern w:val="0"/>
          <w:highlight w:val="none"/>
          <w:u w:val="single"/>
        </w:rPr>
        <w:t xml:space="preserve">     </w:t>
      </w:r>
      <w:r>
        <w:rPr>
          <w:rFonts w:hint="eastAsia" w:hAnsi="宋体" w:cs="宋体"/>
          <w:color w:val="auto"/>
          <w:kern w:val="0"/>
          <w:highlight w:val="none"/>
        </w:rPr>
        <w:t>市相关规定执行。</w:t>
      </w:r>
    </w:p>
    <w:p w14:paraId="521D3D23">
      <w:pPr>
        <w:autoSpaceDE/>
        <w:autoSpaceDN/>
        <w:adjustRightInd/>
        <w:spacing w:line="400" w:lineRule="exact"/>
        <w:ind w:firstLine="420" w:firstLineChars="200"/>
        <w:jc w:val="left"/>
        <w:outlineLvl w:val="9"/>
        <w:rPr>
          <w:rFonts w:hAnsi="宋体" w:cs="宋体"/>
          <w:color w:val="auto"/>
          <w:kern w:val="0"/>
          <w:highlight w:val="none"/>
        </w:rPr>
      </w:pPr>
      <w:r>
        <w:rPr>
          <w:rFonts w:hint="eastAsia" w:hAnsi="宋体" w:cs="宋体"/>
          <w:color w:val="auto"/>
          <w:kern w:val="0"/>
          <w:highlight w:val="none"/>
        </w:rPr>
        <w:t>（</w:t>
      </w:r>
      <w:r>
        <w:rPr>
          <w:rFonts w:hAnsi="宋体"/>
          <w:color w:val="auto"/>
          <w:kern w:val="0"/>
          <w:highlight w:val="none"/>
        </w:rPr>
        <w:t>3</w:t>
      </w:r>
      <w:r>
        <w:rPr>
          <w:rFonts w:hint="eastAsia" w:hAnsi="宋体" w:cs="宋体"/>
          <w:color w:val="auto"/>
          <w:kern w:val="0"/>
          <w:highlight w:val="none"/>
        </w:rPr>
        <w:t>）支付约定：</w:t>
      </w:r>
      <w:r>
        <w:rPr>
          <w:rFonts w:hint="eastAsia" w:cs="宋体"/>
          <w:color w:val="auto"/>
          <w:kern w:val="0"/>
          <w:highlight w:val="none"/>
        </w:rPr>
        <w:t>在本合同签订后</w:t>
      </w:r>
      <w:r>
        <w:rPr>
          <w:color w:val="auto"/>
          <w:kern w:val="0"/>
          <w:highlight w:val="none"/>
          <w:u w:val="single"/>
        </w:rPr>
        <w:t xml:space="preserve"> </w:t>
      </w:r>
      <w:r>
        <w:rPr>
          <w:rFonts w:hint="eastAsia"/>
          <w:color w:val="auto"/>
          <w:kern w:val="0"/>
          <w:highlight w:val="none"/>
          <w:u w:val="single"/>
          <w:lang w:val="en-US" w:eastAsia="zh-CN"/>
        </w:rPr>
        <w:t>20</w:t>
      </w:r>
      <w:r>
        <w:rPr>
          <w:color w:val="auto"/>
          <w:kern w:val="0"/>
          <w:highlight w:val="none"/>
          <w:u w:val="single"/>
        </w:rPr>
        <w:t xml:space="preserve"> </w:t>
      </w:r>
      <w:r>
        <w:rPr>
          <w:rFonts w:hint="eastAsia" w:cs="宋体"/>
          <w:color w:val="auto"/>
          <w:kern w:val="0"/>
          <w:highlight w:val="none"/>
        </w:rPr>
        <w:t>个工作日内，预付安全</w:t>
      </w:r>
      <w:r>
        <w:rPr>
          <w:rFonts w:hint="default" w:cs="宋体"/>
          <w:color w:val="auto"/>
          <w:kern w:val="0"/>
          <w:highlight w:val="none"/>
          <w:lang w:val="en"/>
        </w:rPr>
        <w:t>生产费</w:t>
      </w:r>
      <w:r>
        <w:rPr>
          <w:rFonts w:hint="eastAsia" w:cs="宋体"/>
          <w:color w:val="auto"/>
          <w:kern w:val="0"/>
          <w:highlight w:val="none"/>
        </w:rPr>
        <w:t>总额的</w:t>
      </w:r>
      <w:r>
        <w:rPr>
          <w:rFonts w:hint="eastAsia" w:cs="宋体"/>
          <w:color w:val="auto"/>
          <w:kern w:val="0"/>
          <w:highlight w:val="none"/>
          <w:u w:val="single"/>
        </w:rPr>
        <w:t xml:space="preserve"> </w:t>
      </w:r>
      <w:r>
        <w:rPr>
          <w:rFonts w:hint="eastAsia" w:cs="宋体"/>
          <w:color w:val="auto"/>
          <w:kern w:val="0"/>
          <w:highlight w:val="none"/>
          <w:u w:val="single"/>
          <w:lang w:val="en-US" w:eastAsia="zh-CN"/>
        </w:rPr>
        <w:t>30</w:t>
      </w:r>
      <w:r>
        <w:rPr>
          <w:rFonts w:hint="eastAsia" w:cs="宋体"/>
          <w:color w:val="auto"/>
          <w:kern w:val="0"/>
          <w:highlight w:val="none"/>
          <w:u w:val="single"/>
        </w:rPr>
        <w:t xml:space="preserve"> </w:t>
      </w:r>
      <w:r>
        <w:rPr>
          <w:rFonts w:hint="eastAsia" w:cs="宋体"/>
          <w:color w:val="auto"/>
          <w:kern w:val="0"/>
          <w:highlight w:val="none"/>
        </w:rPr>
        <w:t>%</w:t>
      </w:r>
      <w:r>
        <w:rPr>
          <w:rFonts w:hint="eastAsia" w:cs="宋体"/>
          <w:color w:val="auto"/>
          <w:kern w:val="0"/>
          <w:highlight w:val="none"/>
          <w:lang w:eastAsia="zh-CN"/>
        </w:rPr>
        <w:t>。实际投入安全生产费超过安全生产</w:t>
      </w:r>
      <w:r>
        <w:rPr>
          <w:rFonts w:hint="eastAsia" w:cs="宋体"/>
          <w:color w:val="auto"/>
          <w:kern w:val="0"/>
          <w:highlight w:val="none"/>
        </w:rPr>
        <w:t>费预付款</w:t>
      </w:r>
      <w:r>
        <w:rPr>
          <w:rFonts w:hint="eastAsia" w:cs="宋体"/>
          <w:color w:val="auto"/>
          <w:kern w:val="0"/>
          <w:highlight w:val="none"/>
          <w:lang w:eastAsia="zh-CN"/>
        </w:rPr>
        <w:t>后</w:t>
      </w:r>
      <w:r>
        <w:rPr>
          <w:rFonts w:hint="default" w:cs="宋体"/>
          <w:color w:val="auto"/>
          <w:kern w:val="0"/>
          <w:highlight w:val="none"/>
          <w:lang w:val="en" w:eastAsia="zh-CN"/>
        </w:rPr>
        <w:t>，</w:t>
      </w:r>
      <w:r>
        <w:rPr>
          <w:rFonts w:hint="eastAsia" w:cs="宋体"/>
          <w:color w:val="auto"/>
          <w:kern w:val="0"/>
          <w:highlight w:val="none"/>
          <w:lang w:eastAsia="zh-CN"/>
        </w:rPr>
        <w:t>承包人把实际发生的安全生产费（附相关凭证）报发包人和监理人审核，安全生产费与工程进度款同期支付。</w:t>
      </w:r>
      <w:r>
        <w:rPr>
          <w:rFonts w:hint="default" w:ascii="Times New Roman" w:hAnsi="Times New Roman" w:cs="Times New Roman"/>
          <w:color w:val="auto"/>
          <w:kern w:val="0"/>
          <w:szCs w:val="21"/>
          <w:highlight w:val="none"/>
          <w:shd w:val="clear" w:color="auto" w:fill="FFFFFF"/>
        </w:rPr>
        <w:t>工程施工完成后安全生产费尚有结余的，结余部分由建设单位收回。施工单位将安全生产费用使用情况定期报告建设单位和监理单位，并提供相应的材料接受建设行政主管部门对此事项监管。</w:t>
      </w:r>
      <w:r>
        <w:rPr>
          <w:rFonts w:hint="eastAsia" w:cs="宋体"/>
          <w:color w:val="auto"/>
          <w:kern w:val="0"/>
          <w:highlight w:val="none"/>
          <w:lang w:eastAsia="zh-CN"/>
        </w:rPr>
        <w:t>《安全生产费支付申请（核准）表》详见附件</w:t>
      </w:r>
      <w:r>
        <w:rPr>
          <w:rFonts w:hint="eastAsia" w:cs="宋体"/>
          <w:color w:val="auto"/>
          <w:kern w:val="0"/>
          <w:highlight w:val="none"/>
          <w:lang w:val="en-US" w:eastAsia="zh-CN"/>
        </w:rPr>
        <w:t>18</w:t>
      </w:r>
      <w:r>
        <w:rPr>
          <w:rFonts w:hint="eastAsia" w:hAnsi="宋体" w:cs="宋体"/>
          <w:color w:val="auto"/>
          <w:kern w:val="0"/>
          <w:highlight w:val="none"/>
        </w:rPr>
        <w:t>。</w:t>
      </w:r>
    </w:p>
    <w:p w14:paraId="31C3D1C2">
      <w:pPr>
        <w:autoSpaceDE w:val="0"/>
        <w:autoSpaceDN w:val="0"/>
        <w:adjustRightInd w:val="0"/>
        <w:spacing w:line="360" w:lineRule="auto"/>
        <w:ind w:firstLine="420" w:firstLineChars="200"/>
        <w:jc w:val="left"/>
        <w:rPr>
          <w:rFonts w:hAnsi="宋体" w:cs="宋体"/>
          <w:color w:val="auto"/>
          <w:kern w:val="0"/>
          <w:highlight w:val="none"/>
        </w:rPr>
      </w:pPr>
    </w:p>
    <w:p w14:paraId="5541FC51">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（4）建设单位按规定将安全生产费转入施工单位设立的安全生产费用专户。</w:t>
      </w:r>
    </w:p>
    <w:p w14:paraId="23339CE1">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（5）工程施工完成后安全生产费尚有结余的，结余部分由建设单位收回。</w:t>
      </w:r>
    </w:p>
    <w:p w14:paraId="7A02866D">
      <w:pPr>
        <w:autoSpaceDE w:val="0"/>
        <w:autoSpaceDN w:val="0"/>
        <w:adjustRightInd w:val="0"/>
        <w:spacing w:line="360" w:lineRule="auto"/>
        <w:ind w:firstLine="420" w:firstLineChars="200"/>
        <w:jc w:val="left"/>
        <w:rPr>
          <w:rFonts w:hint="eastAsia" w:hAnsi="宋体"/>
          <w:color w:val="auto"/>
          <w:kern w:val="0"/>
          <w:highlight w:val="none"/>
        </w:rPr>
      </w:pPr>
      <w:r>
        <w:rPr>
          <w:rFonts w:hint="eastAsia" w:hAnsi="宋体" w:cs="宋体"/>
          <w:color w:val="auto"/>
          <w:kern w:val="0"/>
          <w:highlight w:val="none"/>
        </w:rPr>
        <w:t>（6）安全生产费用专户：</w:t>
      </w:r>
      <w:r>
        <w:rPr>
          <w:rFonts w:hint="eastAsia" w:hAnsi="宋体" w:cs="宋体"/>
          <w:color w:val="auto"/>
          <w:kern w:val="0"/>
          <w:highlight w:val="none"/>
          <w:u w:val="single"/>
          <w:lang w:eastAsia="zh-CN"/>
        </w:rPr>
        <w:t xml:space="preserve"> </w:t>
      </w:r>
      <w:r>
        <w:rPr>
          <w:rFonts w:hint="eastAsia" w:hAnsi="宋体" w:cs="宋体"/>
          <w:color w:val="auto"/>
          <w:kern w:val="0"/>
          <w:highlight w:val="none"/>
          <w:u w:val="single"/>
          <w:lang w:val="en-US" w:eastAsia="zh-CN"/>
        </w:rPr>
        <w:t xml:space="preserve">             </w:t>
      </w:r>
      <w:r>
        <w:rPr>
          <w:rFonts w:hint="eastAsia" w:hAnsi="宋体" w:cs="宋体"/>
          <w:color w:val="auto"/>
          <w:kern w:val="0"/>
          <w:highlight w:val="none"/>
        </w:rPr>
        <w:t>公司安全生产费用专户。账号：</w:t>
      </w:r>
      <w:r>
        <w:rPr>
          <w:rFonts w:hint="eastAsia" w:hAnsi="宋体" w:cs="宋体"/>
          <w:color w:val="auto"/>
          <w:kern w:val="0"/>
          <w:highlight w:val="none"/>
          <w:u w:val="single"/>
          <w:lang w:eastAsia="zh-CN"/>
        </w:rPr>
        <w:t xml:space="preserve"> </w:t>
      </w:r>
      <w:r>
        <w:rPr>
          <w:rFonts w:hint="eastAsia" w:hAnsi="宋体" w:cs="宋体"/>
          <w:color w:val="auto"/>
          <w:kern w:val="0"/>
          <w:highlight w:val="none"/>
          <w:u w:val="single"/>
          <w:lang w:val="en-US" w:eastAsia="zh-CN"/>
        </w:rPr>
        <w:t xml:space="preserve">             </w:t>
      </w:r>
      <w:r>
        <w:rPr>
          <w:rFonts w:hint="eastAsia" w:hAnsi="宋体" w:cs="宋体"/>
          <w:color w:val="auto"/>
          <w:kern w:val="0"/>
          <w:highlight w:val="none"/>
        </w:rPr>
        <w:t>。</w:t>
      </w:r>
    </w:p>
    <w:p w14:paraId="1F068FAF">
      <w:pPr>
        <w:pStyle w:val="5"/>
        <w:rPr>
          <w:color w:val="auto"/>
          <w:highlight w:val="none"/>
        </w:rPr>
      </w:pPr>
      <w:bookmarkStart w:id="1033" w:name="_Toc78449809"/>
      <w:bookmarkStart w:id="1034" w:name="_Toc373478368"/>
      <w:bookmarkStart w:id="1035" w:name="_Toc1922268668"/>
      <w:bookmarkStart w:id="1036" w:name="_Toc389065287"/>
      <w:bookmarkStart w:id="1037" w:name="_Toc407135223"/>
      <w:bookmarkStart w:id="1038" w:name="_Toc11917"/>
      <w:bookmarkStart w:id="1039" w:name="_Toc373227721"/>
      <w:bookmarkStart w:id="1040" w:name="_Toc25382"/>
      <w:r>
        <w:rPr>
          <w:color w:val="auto"/>
          <w:highlight w:val="none"/>
        </w:rPr>
        <w:t xml:space="preserve">6.3 </w:t>
      </w:r>
      <w:r>
        <w:rPr>
          <w:rFonts w:hint="eastAsia" w:hAnsi="宋体" w:cs="黑体"/>
          <w:color w:val="auto"/>
          <w:highlight w:val="none"/>
        </w:rPr>
        <w:t>环境保护</w:t>
      </w:r>
      <w:bookmarkEnd w:id="1033"/>
      <w:bookmarkEnd w:id="1034"/>
      <w:bookmarkEnd w:id="1035"/>
      <w:bookmarkEnd w:id="1036"/>
      <w:bookmarkEnd w:id="1037"/>
      <w:bookmarkEnd w:id="1038"/>
      <w:bookmarkEnd w:id="1039"/>
      <w:bookmarkEnd w:id="1040"/>
    </w:p>
    <w:p w14:paraId="104BF04E">
      <w:pPr>
        <w:spacing w:line="360" w:lineRule="auto"/>
        <w:ind w:firstLine="420" w:firstLineChars="200"/>
        <w:jc w:val="left"/>
        <w:rPr>
          <w:color w:val="auto"/>
          <w:highlight w:val="none"/>
          <w:u w:val="single"/>
        </w:rPr>
      </w:pPr>
      <w:r>
        <w:rPr>
          <w:rFonts w:hint="eastAsia" w:hAnsi="宋体" w:cs="宋体"/>
          <w:color w:val="auto"/>
          <w:highlight w:val="none"/>
          <w:u w:val="single"/>
        </w:rPr>
        <w:t>因施工需要，经发包人批准，由承包人办理有关施工场地交通、环卫和施工噪音管理等手续，费用由承包人负责。</w:t>
      </w:r>
    </w:p>
    <w:p w14:paraId="659C9A01">
      <w:pPr>
        <w:spacing w:line="360" w:lineRule="auto"/>
        <w:ind w:firstLine="420" w:firstLineChars="200"/>
        <w:jc w:val="left"/>
        <w:rPr>
          <w:color w:val="auto"/>
          <w:highlight w:val="none"/>
          <w:u w:val="single"/>
        </w:rPr>
      </w:pPr>
      <w:r>
        <w:rPr>
          <w:rFonts w:hint="eastAsia" w:hAnsi="宋体" w:cs="宋体"/>
          <w:color w:val="auto"/>
          <w:highlight w:val="none"/>
          <w:u w:val="single"/>
        </w:rPr>
        <w:t>经过城市道路的施工车辆，必须按交警、城管、运输等部门相关规定执行。由于施工车辆造成的道路、环境等污染，其责任和费用均由承包人承担。</w:t>
      </w:r>
    </w:p>
    <w:bookmarkEnd w:id="1010"/>
    <w:bookmarkEnd w:id="1011"/>
    <w:bookmarkEnd w:id="1012"/>
    <w:bookmarkEnd w:id="1013"/>
    <w:bookmarkEnd w:id="1014"/>
    <w:bookmarkEnd w:id="1015"/>
    <w:bookmarkEnd w:id="1016"/>
    <w:p w14:paraId="1FBBBDFB">
      <w:pPr>
        <w:pStyle w:val="4"/>
        <w:rPr>
          <w:color w:val="auto"/>
          <w:highlight w:val="none"/>
        </w:rPr>
      </w:pPr>
      <w:bookmarkStart w:id="1041" w:name="_Toc407135224"/>
      <w:bookmarkStart w:id="1042" w:name="_Toc351203639"/>
      <w:bookmarkStart w:id="1043" w:name="_Toc1408286886"/>
      <w:bookmarkStart w:id="1044" w:name="_Toc389065288"/>
      <w:bookmarkStart w:id="1045" w:name="_Toc373478369"/>
      <w:bookmarkStart w:id="1046" w:name="_Toc78449810"/>
      <w:bookmarkStart w:id="1047" w:name="_Toc373227722"/>
      <w:bookmarkStart w:id="1048" w:name="_Toc6691"/>
      <w:r>
        <w:rPr>
          <w:color w:val="auto"/>
          <w:highlight w:val="none"/>
        </w:rPr>
        <w:t xml:space="preserve">7. </w:t>
      </w:r>
      <w:r>
        <w:rPr>
          <w:rFonts w:hint="eastAsia" w:cs="黑体"/>
          <w:color w:val="auto"/>
          <w:highlight w:val="none"/>
        </w:rPr>
        <w:t>工期和进度</w:t>
      </w:r>
      <w:bookmarkEnd w:id="1041"/>
      <w:bookmarkEnd w:id="1042"/>
      <w:bookmarkEnd w:id="1043"/>
      <w:bookmarkEnd w:id="1044"/>
      <w:bookmarkEnd w:id="1045"/>
      <w:bookmarkEnd w:id="1046"/>
      <w:bookmarkEnd w:id="1047"/>
      <w:bookmarkEnd w:id="1048"/>
    </w:p>
    <w:p w14:paraId="208E47FE">
      <w:pPr>
        <w:pStyle w:val="5"/>
        <w:rPr>
          <w:color w:val="auto"/>
          <w:highlight w:val="none"/>
        </w:rPr>
      </w:pPr>
      <w:bookmarkStart w:id="1049" w:name="_Toc373227723"/>
      <w:bookmarkStart w:id="1050" w:name="_Toc373478370"/>
      <w:bookmarkStart w:id="1051" w:name="_Toc15244"/>
      <w:bookmarkStart w:id="1052" w:name="_Toc78449811"/>
      <w:bookmarkStart w:id="1053" w:name="_Toc1194482517"/>
      <w:bookmarkStart w:id="1054" w:name="_Toc389065289"/>
      <w:bookmarkStart w:id="1055" w:name="_Toc28686"/>
      <w:bookmarkStart w:id="1056" w:name="_Toc407135225"/>
      <w:r>
        <w:rPr>
          <w:color w:val="auto"/>
          <w:highlight w:val="none"/>
        </w:rPr>
        <w:t xml:space="preserve">7.1 </w:t>
      </w:r>
      <w:r>
        <w:rPr>
          <w:rFonts w:hint="eastAsia" w:cs="黑体"/>
          <w:color w:val="auto"/>
          <w:highlight w:val="none"/>
        </w:rPr>
        <w:t>施工组织设计</w:t>
      </w:r>
      <w:bookmarkEnd w:id="1049"/>
      <w:bookmarkEnd w:id="1050"/>
      <w:bookmarkEnd w:id="1051"/>
      <w:bookmarkEnd w:id="1052"/>
      <w:bookmarkEnd w:id="1053"/>
      <w:bookmarkEnd w:id="1054"/>
      <w:bookmarkEnd w:id="1055"/>
      <w:bookmarkEnd w:id="1056"/>
    </w:p>
    <w:p w14:paraId="23077571">
      <w:pPr>
        <w:autoSpaceDE w:val="0"/>
        <w:autoSpaceDN w:val="0"/>
        <w:adjustRightInd w:val="0"/>
        <w:spacing w:line="360" w:lineRule="auto"/>
        <w:ind w:firstLine="420" w:firstLineChars="200"/>
        <w:jc w:val="left"/>
        <w:rPr>
          <w:color w:val="auto"/>
          <w:highlight w:val="none"/>
          <w:u w:val="single"/>
        </w:rPr>
      </w:pPr>
      <w:r>
        <w:rPr>
          <w:color w:val="auto"/>
          <w:highlight w:val="none"/>
        </w:rPr>
        <w:t xml:space="preserve">7.1.1 </w:t>
      </w:r>
      <w:r>
        <w:rPr>
          <w:rFonts w:hint="eastAsia" w:hAnsi="宋体" w:cs="宋体"/>
          <w:color w:val="auto"/>
          <w:highlight w:val="none"/>
        </w:rPr>
        <w:t>合</w:t>
      </w:r>
      <w:r>
        <w:rPr>
          <w:rFonts w:hint="eastAsia" w:hAnsi="宋体" w:cs="宋体"/>
          <w:color w:val="auto"/>
          <w:kern w:val="0"/>
          <w:highlight w:val="none"/>
        </w:rPr>
        <w:t>同当事人约定的施工组织设计应包括的其他内容：</w:t>
      </w:r>
      <w:r>
        <w:rPr>
          <w:color w:val="auto"/>
          <w:highlight w:val="none"/>
          <w:u w:val="single"/>
        </w:rPr>
        <w:t xml:space="preserve">  </w:t>
      </w:r>
      <w:r>
        <w:rPr>
          <w:rFonts w:hint="eastAsia" w:ascii="宋体" w:hAnsi="宋体"/>
          <w:color w:val="auto"/>
          <w:kern w:val="0"/>
          <w:szCs w:val="21"/>
          <w:u w:val="single" w:color="000000"/>
        </w:rPr>
        <w:t>签订合同后</w:t>
      </w:r>
      <w:r>
        <w:rPr>
          <w:rFonts w:ascii="Times New Roman" w:hAnsi="Times New Roman" w:eastAsia="Times New Roman"/>
          <w:color w:val="auto"/>
          <w:kern w:val="0"/>
          <w:szCs w:val="21"/>
          <w:u w:val="single" w:color="000000"/>
        </w:rPr>
        <w:t>14</w:t>
      </w:r>
      <w:r>
        <w:rPr>
          <w:rFonts w:hint="eastAsia" w:ascii="宋体" w:hAnsi="宋体"/>
          <w:color w:val="auto"/>
          <w:kern w:val="0"/>
          <w:szCs w:val="21"/>
          <w:u w:val="single" w:color="000000"/>
        </w:rPr>
        <w:t>天内</w:t>
      </w:r>
      <w:r>
        <w:rPr>
          <w:color w:val="auto"/>
          <w:highlight w:val="none"/>
          <w:u w:val="single"/>
        </w:rPr>
        <w:t xml:space="preserve">      </w:t>
      </w:r>
      <w:r>
        <w:rPr>
          <w:rFonts w:hint="eastAsia" w:hAnsi="宋体" w:cs="宋体"/>
          <w:color w:val="auto"/>
          <w:highlight w:val="none"/>
        </w:rPr>
        <w:t>。</w:t>
      </w:r>
    </w:p>
    <w:p w14:paraId="64084473">
      <w:pPr>
        <w:autoSpaceDE w:val="0"/>
        <w:autoSpaceDN w:val="0"/>
        <w:adjustRightInd w:val="0"/>
        <w:spacing w:line="360" w:lineRule="auto"/>
        <w:ind w:firstLine="420" w:firstLineChars="200"/>
        <w:jc w:val="left"/>
        <w:rPr>
          <w:color w:val="auto"/>
          <w:kern w:val="0"/>
          <w:highlight w:val="none"/>
        </w:rPr>
      </w:pPr>
      <w:r>
        <w:rPr>
          <w:color w:val="auto"/>
          <w:highlight w:val="none"/>
        </w:rPr>
        <w:t xml:space="preserve">7.1.2 </w:t>
      </w:r>
      <w:r>
        <w:rPr>
          <w:rFonts w:hint="eastAsia" w:hAnsi="宋体" w:cs="宋体"/>
          <w:color w:val="auto"/>
          <w:kern w:val="0"/>
          <w:highlight w:val="none"/>
        </w:rPr>
        <w:t>施工组织设计的提交和修改</w:t>
      </w:r>
    </w:p>
    <w:p w14:paraId="10F18DF6">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承包人提交详细施工组织设计的期限的约定：</w:t>
      </w:r>
      <w:r>
        <w:rPr>
          <w:color w:val="auto"/>
          <w:highlight w:val="none"/>
          <w:u w:val="single"/>
        </w:rPr>
        <w:t xml:space="preserve">      </w:t>
      </w:r>
      <w:r>
        <w:rPr>
          <w:rFonts w:hint="eastAsia" w:ascii="宋体" w:hAnsi="宋体"/>
          <w:color w:val="auto"/>
          <w:kern w:val="0"/>
          <w:szCs w:val="21"/>
          <w:u w:val="single" w:color="000000"/>
        </w:rPr>
        <w:t>签订合同后</w:t>
      </w:r>
      <w:r>
        <w:rPr>
          <w:rFonts w:ascii="Times New Roman" w:hAnsi="Times New Roman" w:eastAsia="Times New Roman"/>
          <w:color w:val="auto"/>
          <w:kern w:val="0"/>
          <w:szCs w:val="21"/>
          <w:u w:val="single" w:color="000000"/>
        </w:rPr>
        <w:t>14</w:t>
      </w:r>
      <w:r>
        <w:rPr>
          <w:rFonts w:hint="eastAsia" w:ascii="宋体" w:hAnsi="宋体"/>
          <w:color w:val="auto"/>
          <w:kern w:val="0"/>
          <w:szCs w:val="21"/>
          <w:u w:val="single" w:color="000000"/>
        </w:rPr>
        <w:t>天内</w:t>
      </w:r>
      <w:r>
        <w:rPr>
          <w:color w:val="auto"/>
          <w:highlight w:val="none"/>
          <w:u w:val="single"/>
        </w:rPr>
        <w:t xml:space="preserve">          </w:t>
      </w:r>
      <w:r>
        <w:rPr>
          <w:rFonts w:hint="eastAsia" w:hAnsi="宋体" w:cs="宋体"/>
          <w:color w:val="auto"/>
          <w:highlight w:val="none"/>
        </w:rPr>
        <w:t>。</w:t>
      </w:r>
    </w:p>
    <w:p w14:paraId="5F28632F">
      <w:pPr>
        <w:spacing w:line="360" w:lineRule="auto"/>
        <w:ind w:firstLine="420" w:firstLineChars="200"/>
        <w:jc w:val="left"/>
        <w:rPr>
          <w:color w:val="auto"/>
          <w:highlight w:val="none"/>
        </w:rPr>
      </w:pPr>
      <w:r>
        <w:rPr>
          <w:rFonts w:hint="eastAsia" w:hAnsi="宋体" w:cs="宋体"/>
          <w:color w:val="auto"/>
          <w:highlight w:val="none"/>
        </w:rPr>
        <w:t>发包人和监理人在收到详细的施工组织设计后确认或提出修改意见的期限：</w:t>
      </w:r>
      <w:r>
        <w:rPr>
          <w:color w:val="auto"/>
          <w:highlight w:val="none"/>
          <w:u w:val="single"/>
        </w:rPr>
        <w:t xml:space="preserve">         </w:t>
      </w:r>
      <w:r>
        <w:rPr>
          <w:rFonts w:hint="eastAsia" w:hAnsi="宋体" w:cs="宋体"/>
          <w:color w:val="auto"/>
          <w:highlight w:val="none"/>
        </w:rPr>
        <w:t>。</w:t>
      </w:r>
    </w:p>
    <w:p w14:paraId="0CF6474D">
      <w:pPr>
        <w:pStyle w:val="5"/>
        <w:rPr>
          <w:color w:val="auto"/>
          <w:highlight w:val="none"/>
        </w:rPr>
      </w:pPr>
      <w:bookmarkStart w:id="1057" w:name="_Toc22439"/>
      <w:bookmarkStart w:id="1058" w:name="_Toc1393005721"/>
      <w:bookmarkStart w:id="1059" w:name="_Toc10208"/>
      <w:bookmarkStart w:id="1060" w:name="_Toc407135226"/>
      <w:bookmarkStart w:id="1061" w:name="_Toc78449812"/>
      <w:bookmarkStart w:id="1062" w:name="_Toc373478371"/>
      <w:bookmarkStart w:id="1063" w:name="_Toc373227724"/>
      <w:bookmarkStart w:id="1064" w:name="_Toc389065290"/>
      <w:r>
        <w:rPr>
          <w:color w:val="auto"/>
          <w:highlight w:val="none"/>
        </w:rPr>
        <w:t>7</w:t>
      </w:r>
      <w:bookmarkStart w:id="1065" w:name="_Toc312678005"/>
      <w:bookmarkStart w:id="1066" w:name="_Toc312677479"/>
      <w:bookmarkStart w:id="1067" w:name="_Toc300934966"/>
      <w:bookmarkStart w:id="1068" w:name="_Toc297123514"/>
      <w:bookmarkStart w:id="1069" w:name="_Toc303539123"/>
      <w:bookmarkStart w:id="1070" w:name="_Toc304295541"/>
      <w:bookmarkStart w:id="1071" w:name="_Toc297216173"/>
      <w:r>
        <w:rPr>
          <w:color w:val="auto"/>
          <w:highlight w:val="none"/>
        </w:rPr>
        <w:t xml:space="preserve">.2 </w:t>
      </w:r>
      <w:r>
        <w:rPr>
          <w:rFonts w:hint="eastAsia" w:cs="黑体"/>
          <w:color w:val="auto"/>
          <w:highlight w:val="none"/>
        </w:rPr>
        <w:t>施工进度计划</w:t>
      </w:r>
      <w:bookmarkEnd w:id="1057"/>
      <w:bookmarkEnd w:id="1058"/>
      <w:bookmarkEnd w:id="1059"/>
      <w:bookmarkEnd w:id="1060"/>
      <w:bookmarkEnd w:id="1061"/>
      <w:bookmarkEnd w:id="1062"/>
      <w:bookmarkEnd w:id="1063"/>
      <w:bookmarkEnd w:id="1064"/>
    </w:p>
    <w:p w14:paraId="1C58A9D2">
      <w:pPr>
        <w:spacing w:line="360" w:lineRule="auto"/>
        <w:ind w:firstLine="420" w:firstLineChars="200"/>
        <w:jc w:val="left"/>
        <w:rPr>
          <w:color w:val="auto"/>
          <w:highlight w:val="none"/>
        </w:rPr>
      </w:pPr>
      <w:r>
        <w:rPr>
          <w:color w:val="auto"/>
          <w:highlight w:val="none"/>
        </w:rPr>
        <w:t xml:space="preserve">7.2.2 </w:t>
      </w:r>
      <w:r>
        <w:rPr>
          <w:rFonts w:hint="eastAsia" w:hAnsi="宋体" w:cs="宋体"/>
          <w:color w:val="auto"/>
          <w:highlight w:val="none"/>
        </w:rPr>
        <w:t>施工进度计划的修订</w:t>
      </w:r>
    </w:p>
    <w:p w14:paraId="290F7D46">
      <w:pPr>
        <w:spacing w:line="360" w:lineRule="auto"/>
        <w:ind w:firstLine="420" w:firstLineChars="200"/>
        <w:jc w:val="left"/>
        <w:rPr>
          <w:color w:val="auto"/>
          <w:highlight w:val="none"/>
        </w:rPr>
      </w:pPr>
      <w:r>
        <w:rPr>
          <w:rFonts w:hint="eastAsia" w:hAnsi="宋体" w:cs="宋体"/>
          <w:color w:val="auto"/>
          <w:highlight w:val="none"/>
        </w:rPr>
        <w:t>发包人和监理人在收到修订的施工进度计划后确认或提出修改意见的期限：</w:t>
      </w:r>
      <w:r>
        <w:rPr>
          <w:color w:val="auto"/>
          <w:highlight w:val="none"/>
          <w:u w:val="single"/>
        </w:rPr>
        <w:t xml:space="preserve">  </w:t>
      </w:r>
      <w:r>
        <w:rPr>
          <w:rFonts w:hint="eastAsia" w:ascii="宋体" w:hAnsi="宋体"/>
          <w:color w:val="auto"/>
          <w:kern w:val="0"/>
          <w:szCs w:val="21"/>
          <w:u w:val="single" w:color="000000"/>
        </w:rPr>
        <w:t>七日内</w:t>
      </w:r>
      <w:r>
        <w:rPr>
          <w:color w:val="auto"/>
          <w:highlight w:val="none"/>
          <w:u w:val="single"/>
        </w:rPr>
        <w:t xml:space="preserve">     </w:t>
      </w:r>
      <w:r>
        <w:rPr>
          <w:rFonts w:hint="eastAsia" w:hAnsi="宋体" w:cs="宋体"/>
          <w:color w:val="auto"/>
          <w:highlight w:val="none"/>
        </w:rPr>
        <w:t>。</w:t>
      </w:r>
    </w:p>
    <w:p w14:paraId="1C83655F">
      <w:pPr>
        <w:pStyle w:val="5"/>
        <w:rPr>
          <w:color w:val="auto"/>
          <w:highlight w:val="none"/>
        </w:rPr>
      </w:pPr>
      <w:bookmarkStart w:id="1072" w:name="_Toc78449813"/>
      <w:bookmarkStart w:id="1073" w:name="_Toc423062567"/>
      <w:bookmarkStart w:id="1074" w:name="_Toc373478372"/>
      <w:bookmarkStart w:id="1075" w:name="_Toc18437"/>
      <w:bookmarkStart w:id="1076" w:name="_Toc2280"/>
      <w:bookmarkStart w:id="1077" w:name="_Toc373227725"/>
      <w:bookmarkStart w:id="1078" w:name="_Toc407135227"/>
      <w:bookmarkStart w:id="1079" w:name="_Toc389065291"/>
      <w:r>
        <w:rPr>
          <w:color w:val="auto"/>
          <w:highlight w:val="none"/>
        </w:rPr>
        <w:t xml:space="preserve">7.3 </w:t>
      </w:r>
      <w:r>
        <w:rPr>
          <w:rFonts w:hint="eastAsia" w:cs="黑体"/>
          <w:color w:val="auto"/>
          <w:highlight w:val="none"/>
        </w:rPr>
        <w:t>开工</w:t>
      </w:r>
      <w:bookmarkEnd w:id="1072"/>
      <w:bookmarkEnd w:id="1073"/>
      <w:bookmarkEnd w:id="1074"/>
      <w:bookmarkEnd w:id="1075"/>
      <w:bookmarkEnd w:id="1076"/>
      <w:bookmarkEnd w:id="1077"/>
      <w:bookmarkEnd w:id="1078"/>
      <w:bookmarkEnd w:id="1079"/>
    </w:p>
    <w:p w14:paraId="507AF461">
      <w:pPr>
        <w:spacing w:line="360" w:lineRule="auto"/>
        <w:ind w:firstLine="420" w:firstLineChars="200"/>
        <w:jc w:val="left"/>
        <w:rPr>
          <w:color w:val="auto"/>
          <w:highlight w:val="none"/>
        </w:rPr>
      </w:pPr>
      <w:r>
        <w:rPr>
          <w:color w:val="auto"/>
          <w:highlight w:val="none"/>
        </w:rPr>
        <w:t xml:space="preserve">7.3.1 </w:t>
      </w:r>
      <w:r>
        <w:rPr>
          <w:rFonts w:hint="eastAsia" w:hAnsi="宋体" w:cs="宋体"/>
          <w:color w:val="auto"/>
          <w:highlight w:val="none"/>
        </w:rPr>
        <w:t>开工准备</w:t>
      </w:r>
    </w:p>
    <w:p w14:paraId="020A1569">
      <w:pPr>
        <w:spacing w:line="360" w:lineRule="auto"/>
        <w:ind w:firstLine="426"/>
        <w:jc w:val="left"/>
        <w:rPr>
          <w:color w:val="auto"/>
          <w:highlight w:val="none"/>
          <w:u w:val="single"/>
        </w:rPr>
      </w:pPr>
      <w:r>
        <w:rPr>
          <w:rFonts w:hint="eastAsia" w:hAnsi="宋体" w:cs="宋体"/>
          <w:color w:val="auto"/>
          <w:highlight w:val="none"/>
        </w:rPr>
        <w:t>关于承包人提交</w:t>
      </w:r>
      <w:r>
        <w:rPr>
          <w:rFonts w:hint="eastAsia" w:hAnsi="宋体" w:cs="宋体"/>
          <w:color w:val="auto"/>
          <w:kern w:val="0"/>
          <w:highlight w:val="none"/>
        </w:rPr>
        <w:t>工程开工报审表的期限：</w:t>
      </w:r>
      <w:r>
        <w:rPr>
          <w:color w:val="auto"/>
          <w:highlight w:val="none"/>
          <w:u w:val="single"/>
        </w:rPr>
        <w:t xml:space="preserve">    </w:t>
      </w:r>
      <w:r>
        <w:rPr>
          <w:rFonts w:hint="eastAsia" w:ascii="宋体" w:hAnsi="宋体"/>
          <w:color w:val="auto"/>
          <w:kern w:val="0"/>
          <w:szCs w:val="21"/>
          <w:u w:val="single" w:color="000000"/>
        </w:rPr>
        <w:t>签订合同后</w:t>
      </w:r>
      <w:r>
        <w:rPr>
          <w:rFonts w:ascii="Times New Roman" w:hAnsi="Times New Roman" w:eastAsia="Times New Roman"/>
          <w:color w:val="auto"/>
          <w:spacing w:val="-3"/>
          <w:kern w:val="0"/>
          <w:szCs w:val="21"/>
          <w:u w:val="single" w:color="000000"/>
        </w:rPr>
        <w:t>14</w:t>
      </w:r>
      <w:r>
        <w:rPr>
          <w:rFonts w:hint="eastAsia" w:ascii="宋体" w:hAnsi="宋体"/>
          <w:color w:val="auto"/>
          <w:spacing w:val="-3"/>
          <w:kern w:val="0"/>
          <w:szCs w:val="21"/>
          <w:u w:val="single" w:color="000000"/>
        </w:rPr>
        <w:t>天内</w:t>
      </w:r>
      <w:r>
        <w:rPr>
          <w:color w:val="auto"/>
          <w:highlight w:val="none"/>
          <w:u w:val="single"/>
        </w:rPr>
        <w:t xml:space="preserve">               </w:t>
      </w:r>
      <w:r>
        <w:rPr>
          <w:rFonts w:hint="eastAsia" w:hAnsi="宋体" w:cs="宋体"/>
          <w:color w:val="auto"/>
          <w:highlight w:val="none"/>
        </w:rPr>
        <w:t>。</w:t>
      </w:r>
    </w:p>
    <w:p w14:paraId="51BF5DE7">
      <w:pPr>
        <w:spacing w:line="360" w:lineRule="auto"/>
        <w:ind w:firstLine="426"/>
        <w:jc w:val="left"/>
        <w:rPr>
          <w:color w:val="auto"/>
          <w:highlight w:val="none"/>
          <w:u w:val="single"/>
        </w:rPr>
      </w:pPr>
      <w:r>
        <w:rPr>
          <w:rFonts w:hint="eastAsia" w:hAnsi="宋体" w:cs="宋体"/>
          <w:color w:val="auto"/>
          <w:highlight w:val="none"/>
        </w:rPr>
        <w:t>关于发包人应完成的其他开工准备工作及期限：</w:t>
      </w:r>
      <w:r>
        <w:rPr>
          <w:color w:val="auto"/>
          <w:highlight w:val="none"/>
          <w:u w:val="single"/>
        </w:rPr>
        <w:t xml:space="preserve">      </w:t>
      </w:r>
      <w:r>
        <w:rPr>
          <w:rFonts w:hint="eastAsia" w:ascii="宋体" w:hAnsi="宋体"/>
          <w:color w:val="auto"/>
          <w:kern w:val="0"/>
          <w:szCs w:val="21"/>
          <w:u w:val="single" w:color="000000"/>
        </w:rPr>
        <w:t>签订合同后</w:t>
      </w:r>
      <w:r>
        <w:rPr>
          <w:rFonts w:ascii="Times New Roman" w:hAnsi="Times New Roman" w:eastAsia="Times New Roman"/>
          <w:color w:val="auto"/>
          <w:spacing w:val="-3"/>
          <w:kern w:val="0"/>
          <w:szCs w:val="21"/>
          <w:u w:val="single" w:color="000000"/>
        </w:rPr>
        <w:t>14</w:t>
      </w:r>
      <w:r>
        <w:rPr>
          <w:rFonts w:hint="eastAsia" w:ascii="宋体" w:hAnsi="宋体"/>
          <w:color w:val="auto"/>
          <w:spacing w:val="-3"/>
          <w:kern w:val="0"/>
          <w:szCs w:val="21"/>
          <w:u w:val="single" w:color="000000"/>
        </w:rPr>
        <w:t>天内</w:t>
      </w:r>
      <w:r>
        <w:rPr>
          <w:color w:val="auto"/>
          <w:highlight w:val="none"/>
          <w:u w:val="single"/>
        </w:rPr>
        <w:t xml:space="preserve">       </w:t>
      </w:r>
      <w:r>
        <w:rPr>
          <w:rFonts w:hint="eastAsia" w:hAnsi="宋体" w:cs="宋体"/>
          <w:color w:val="auto"/>
          <w:highlight w:val="none"/>
        </w:rPr>
        <w:t>。</w:t>
      </w:r>
    </w:p>
    <w:p w14:paraId="1F1781A0">
      <w:pPr>
        <w:spacing w:line="360" w:lineRule="auto"/>
        <w:ind w:firstLine="420" w:firstLineChars="200"/>
        <w:jc w:val="left"/>
        <w:rPr>
          <w:color w:val="auto"/>
          <w:highlight w:val="none"/>
          <w:u w:val="single"/>
        </w:rPr>
      </w:pPr>
      <w:r>
        <w:rPr>
          <w:rFonts w:hint="eastAsia" w:hAnsi="宋体" w:cs="宋体"/>
          <w:color w:val="auto"/>
          <w:highlight w:val="none"/>
        </w:rPr>
        <w:t>关于承包人应完成的其他开工准备工作及期限：</w:t>
      </w:r>
      <w:r>
        <w:rPr>
          <w:color w:val="auto"/>
          <w:highlight w:val="none"/>
          <w:u w:val="single"/>
        </w:rPr>
        <w:t xml:space="preserve">    </w:t>
      </w:r>
      <w:r>
        <w:rPr>
          <w:rFonts w:hint="eastAsia" w:ascii="宋体" w:hAnsi="宋体"/>
          <w:color w:val="auto"/>
          <w:kern w:val="0"/>
          <w:szCs w:val="21"/>
          <w:u w:val="single" w:color="000000"/>
        </w:rPr>
        <w:t>签订合同后</w:t>
      </w:r>
      <w:r>
        <w:rPr>
          <w:rFonts w:ascii="Times New Roman" w:hAnsi="Times New Roman" w:eastAsia="Times New Roman"/>
          <w:color w:val="auto"/>
          <w:spacing w:val="-3"/>
          <w:kern w:val="0"/>
          <w:szCs w:val="21"/>
          <w:u w:val="single" w:color="000000"/>
        </w:rPr>
        <w:t>14</w:t>
      </w:r>
      <w:r>
        <w:rPr>
          <w:rFonts w:hint="eastAsia" w:ascii="宋体" w:hAnsi="宋体"/>
          <w:color w:val="auto"/>
          <w:spacing w:val="-3"/>
          <w:kern w:val="0"/>
          <w:szCs w:val="21"/>
          <w:u w:val="single" w:color="000000"/>
        </w:rPr>
        <w:t>天内</w:t>
      </w:r>
      <w:r>
        <w:rPr>
          <w:color w:val="auto"/>
          <w:highlight w:val="none"/>
          <w:u w:val="single"/>
        </w:rPr>
        <w:t xml:space="preserve">         </w:t>
      </w:r>
      <w:r>
        <w:rPr>
          <w:rFonts w:hint="eastAsia" w:hAnsi="宋体" w:cs="宋体"/>
          <w:color w:val="auto"/>
          <w:highlight w:val="none"/>
        </w:rPr>
        <w:t>。</w:t>
      </w:r>
    </w:p>
    <w:p w14:paraId="3C1662C1">
      <w:pPr>
        <w:spacing w:line="360" w:lineRule="auto"/>
        <w:ind w:firstLine="420" w:firstLineChars="200"/>
        <w:jc w:val="left"/>
        <w:rPr>
          <w:color w:val="auto"/>
          <w:highlight w:val="none"/>
        </w:rPr>
      </w:pPr>
      <w:r>
        <w:rPr>
          <w:color w:val="auto"/>
          <w:highlight w:val="none"/>
        </w:rPr>
        <w:t xml:space="preserve">7.3.2 </w:t>
      </w:r>
      <w:r>
        <w:rPr>
          <w:rFonts w:hint="eastAsia" w:hAnsi="宋体" w:cs="宋体"/>
          <w:color w:val="auto"/>
          <w:highlight w:val="none"/>
        </w:rPr>
        <w:t>开工通知</w:t>
      </w:r>
    </w:p>
    <w:p w14:paraId="16EB7C0E">
      <w:pPr>
        <w:spacing w:line="360" w:lineRule="auto"/>
        <w:ind w:firstLine="420" w:firstLineChars="200"/>
        <w:jc w:val="left"/>
        <w:rPr>
          <w:color w:val="auto"/>
          <w:highlight w:val="none"/>
        </w:rPr>
      </w:pPr>
      <w:r>
        <w:rPr>
          <w:rFonts w:hint="eastAsia" w:hAnsi="宋体" w:cs="宋体"/>
          <w:color w:val="auto"/>
          <w:highlight w:val="none"/>
        </w:rPr>
        <w:t>因发包人原因造成监理人未能在计划开工日期之日起</w:t>
      </w:r>
      <w:r>
        <w:rPr>
          <w:color w:val="auto"/>
          <w:highlight w:val="none"/>
          <w:u w:val="single"/>
        </w:rPr>
        <w:t xml:space="preserve">   </w:t>
      </w:r>
      <w:r>
        <w:rPr>
          <w:rFonts w:hint="eastAsia"/>
          <w:color w:val="auto"/>
          <w:highlight w:val="none"/>
          <w:u w:val="single"/>
          <w:lang w:val="en-US" w:eastAsia="zh-CN"/>
        </w:rPr>
        <w:t>20</w:t>
      </w:r>
      <w:r>
        <w:rPr>
          <w:color w:val="auto"/>
          <w:highlight w:val="none"/>
          <w:u w:val="single"/>
        </w:rPr>
        <w:t xml:space="preserve">  </w:t>
      </w:r>
      <w:r>
        <w:rPr>
          <w:rFonts w:hint="eastAsia" w:hAnsi="宋体" w:cs="宋体"/>
          <w:color w:val="auto"/>
          <w:highlight w:val="none"/>
        </w:rPr>
        <w:t>天内发出开工通知的，承包人有权提出价格调整要求，或者解除合同。</w:t>
      </w:r>
    </w:p>
    <w:bookmarkEnd w:id="1065"/>
    <w:bookmarkEnd w:id="1066"/>
    <w:bookmarkEnd w:id="1067"/>
    <w:bookmarkEnd w:id="1068"/>
    <w:bookmarkEnd w:id="1069"/>
    <w:bookmarkEnd w:id="1070"/>
    <w:bookmarkEnd w:id="1071"/>
    <w:p w14:paraId="22E6C7B8">
      <w:pPr>
        <w:pStyle w:val="5"/>
        <w:rPr>
          <w:color w:val="auto"/>
          <w:highlight w:val="none"/>
        </w:rPr>
      </w:pPr>
      <w:bookmarkStart w:id="1080" w:name="_Toc389065292"/>
      <w:bookmarkStart w:id="1081" w:name="_Toc407135228"/>
      <w:bookmarkStart w:id="1082" w:name="_Toc373227726"/>
      <w:bookmarkStart w:id="1083" w:name="_Toc373478373"/>
      <w:bookmarkStart w:id="1084" w:name="_Toc78449814"/>
      <w:bookmarkStart w:id="1085" w:name="_Toc741356765"/>
      <w:bookmarkStart w:id="1086" w:name="_Toc4105"/>
      <w:bookmarkStart w:id="1087" w:name="_Toc6094"/>
      <w:r>
        <w:rPr>
          <w:color w:val="auto"/>
          <w:highlight w:val="none"/>
        </w:rPr>
        <w:t xml:space="preserve">7.4 </w:t>
      </w:r>
      <w:r>
        <w:rPr>
          <w:rFonts w:hint="eastAsia" w:hAnsi="宋体" w:cs="黑体"/>
          <w:color w:val="auto"/>
          <w:highlight w:val="none"/>
        </w:rPr>
        <w:t>测量放线</w:t>
      </w:r>
      <w:bookmarkEnd w:id="1080"/>
      <w:bookmarkEnd w:id="1081"/>
      <w:bookmarkEnd w:id="1082"/>
      <w:bookmarkEnd w:id="1083"/>
      <w:bookmarkEnd w:id="1084"/>
      <w:bookmarkEnd w:id="1085"/>
      <w:bookmarkEnd w:id="1086"/>
      <w:bookmarkEnd w:id="1087"/>
    </w:p>
    <w:p w14:paraId="698FBD1A">
      <w:pPr>
        <w:spacing w:line="360" w:lineRule="auto"/>
        <w:ind w:firstLine="420" w:firstLineChars="200"/>
        <w:jc w:val="left"/>
        <w:rPr>
          <w:rFonts w:hAnsi="宋体"/>
          <w:color w:val="auto"/>
          <w:highlight w:val="none"/>
        </w:rPr>
      </w:pPr>
      <w:r>
        <w:rPr>
          <w:color w:val="auto"/>
          <w:highlight w:val="none"/>
        </w:rPr>
        <w:t>7.4.1</w:t>
      </w:r>
      <w:r>
        <w:rPr>
          <w:rFonts w:hint="eastAsia" w:hAnsi="宋体" w:cs="宋体"/>
          <w:color w:val="auto"/>
          <w:highlight w:val="none"/>
        </w:rPr>
        <w:t>发包人通过监理人向承包人提供测量基准点、基准线和水准点及其书面资料的期限：</w:t>
      </w:r>
    </w:p>
    <w:p w14:paraId="6DFF012E">
      <w:pPr>
        <w:spacing w:line="360" w:lineRule="auto"/>
        <w:jc w:val="left"/>
        <w:rPr>
          <w:rFonts w:hint="default" w:eastAsia="宋体"/>
          <w:color w:val="auto"/>
          <w:highlight w:val="none"/>
          <w:u w:val="single"/>
          <w:lang w:val="en-US" w:eastAsia="zh-CN"/>
        </w:rPr>
      </w:pPr>
      <w:r>
        <w:rPr>
          <w:color w:val="auto"/>
          <w:highlight w:val="none"/>
          <w:u w:val="single"/>
        </w:rPr>
        <w:t xml:space="preserve">     </w:t>
      </w:r>
      <w:r>
        <w:rPr>
          <w:rFonts w:hint="eastAsia" w:ascii="宋体" w:hAnsi="宋体"/>
          <w:color w:val="auto"/>
          <w:kern w:val="0"/>
          <w:szCs w:val="21"/>
          <w:u w:val="single" w:color="000000"/>
        </w:rPr>
        <w:t>不得晚于《开工通知》标明的开工日期前七天</w:t>
      </w:r>
      <w:r>
        <w:rPr>
          <w:rFonts w:hint="eastAsia" w:ascii="宋体" w:hAnsi="宋体"/>
          <w:color w:val="auto"/>
          <w:kern w:val="0"/>
          <w:szCs w:val="21"/>
          <w:u w:val="single" w:color="000000"/>
          <w:lang w:val="en-US" w:eastAsia="zh-CN"/>
        </w:rPr>
        <w:t xml:space="preserve">  。</w:t>
      </w:r>
    </w:p>
    <w:p w14:paraId="6E46A34A">
      <w:pPr>
        <w:pStyle w:val="5"/>
        <w:rPr>
          <w:color w:val="auto"/>
          <w:highlight w:val="none"/>
        </w:rPr>
      </w:pPr>
      <w:bookmarkStart w:id="1088" w:name="_Toc389065293"/>
      <w:bookmarkStart w:id="1089" w:name="_Toc1417437583"/>
      <w:bookmarkStart w:id="1090" w:name="_Toc14585"/>
      <w:bookmarkStart w:id="1091" w:name="_Toc78449815"/>
      <w:bookmarkStart w:id="1092" w:name="_Toc28909"/>
      <w:bookmarkStart w:id="1093" w:name="_Toc407135229"/>
      <w:bookmarkStart w:id="1094" w:name="_Toc373478374"/>
      <w:bookmarkStart w:id="1095" w:name="_Toc373227727"/>
      <w:r>
        <w:rPr>
          <w:color w:val="auto"/>
          <w:highlight w:val="none"/>
        </w:rPr>
        <w:t>7</w:t>
      </w:r>
      <w:bookmarkStart w:id="1096" w:name="_Toc300934968"/>
      <w:bookmarkStart w:id="1097" w:name="_Toc312677484"/>
      <w:bookmarkStart w:id="1098" w:name="_Toc303539125"/>
      <w:bookmarkStart w:id="1099" w:name="_Toc304295546"/>
      <w:bookmarkStart w:id="1100" w:name="_Toc312678010"/>
      <w:bookmarkStart w:id="1101" w:name="_Toc297216175"/>
      <w:bookmarkStart w:id="1102" w:name="_Toc297123516"/>
      <w:r>
        <w:rPr>
          <w:color w:val="auto"/>
          <w:highlight w:val="none"/>
        </w:rPr>
        <w:t xml:space="preserve">.5 </w:t>
      </w:r>
      <w:r>
        <w:rPr>
          <w:rFonts w:hint="eastAsia" w:hAnsi="宋体" w:cs="黑体"/>
          <w:color w:val="auto"/>
          <w:highlight w:val="none"/>
        </w:rPr>
        <w:t>工期延误</w:t>
      </w:r>
      <w:bookmarkEnd w:id="1088"/>
      <w:bookmarkEnd w:id="1089"/>
      <w:bookmarkEnd w:id="1090"/>
      <w:bookmarkEnd w:id="1091"/>
      <w:bookmarkEnd w:id="1092"/>
      <w:bookmarkEnd w:id="1093"/>
      <w:bookmarkEnd w:id="1094"/>
      <w:bookmarkEnd w:id="1095"/>
    </w:p>
    <w:bookmarkEnd w:id="1096"/>
    <w:bookmarkEnd w:id="1097"/>
    <w:bookmarkEnd w:id="1098"/>
    <w:bookmarkEnd w:id="1099"/>
    <w:bookmarkEnd w:id="1100"/>
    <w:bookmarkEnd w:id="1101"/>
    <w:bookmarkEnd w:id="1102"/>
    <w:p w14:paraId="5A491676">
      <w:pPr>
        <w:spacing w:line="360" w:lineRule="auto"/>
        <w:ind w:firstLine="420" w:firstLineChars="200"/>
        <w:jc w:val="left"/>
        <w:rPr>
          <w:color w:val="auto"/>
          <w:highlight w:val="none"/>
        </w:rPr>
      </w:pPr>
      <w:r>
        <w:rPr>
          <w:color w:val="auto"/>
          <w:highlight w:val="none"/>
        </w:rPr>
        <w:t xml:space="preserve">7.5.1 </w:t>
      </w:r>
      <w:r>
        <w:rPr>
          <w:rFonts w:hint="eastAsia" w:hAnsi="宋体" w:cs="宋体"/>
          <w:color w:val="auto"/>
          <w:highlight w:val="none"/>
        </w:rPr>
        <w:t>因发包人原因导致工期延误</w:t>
      </w:r>
    </w:p>
    <w:p w14:paraId="465E98E5">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7</w:t>
      </w:r>
      <w:r>
        <w:rPr>
          <w:rFonts w:hint="eastAsia" w:hAnsi="宋体" w:cs="宋体"/>
          <w:color w:val="auto"/>
          <w:highlight w:val="none"/>
        </w:rPr>
        <w:t>）因发包人原因导致工期延误的其他情形：</w:t>
      </w:r>
      <w:r>
        <w:rPr>
          <w:rFonts w:hint="eastAsia" w:ascii="宋体" w:hAnsi="宋体" w:cs="宋体"/>
          <w:color w:val="auto"/>
          <w:highlight w:val="none"/>
          <w:u w:val="single"/>
          <w:lang w:eastAsia="zh-CN"/>
        </w:rPr>
        <w:t>见专用条款</w:t>
      </w:r>
      <w:r>
        <w:rPr>
          <w:rFonts w:hint="eastAsia" w:ascii="宋体" w:hAnsi="宋体" w:cs="宋体"/>
          <w:color w:val="auto"/>
          <w:highlight w:val="none"/>
          <w:u w:val="single"/>
          <w:lang w:val="en-US" w:eastAsia="zh-CN"/>
        </w:rPr>
        <w:t>19.6条</w:t>
      </w:r>
      <w:r>
        <w:rPr>
          <w:rFonts w:hAnsi="宋体"/>
          <w:color w:val="auto"/>
          <w:highlight w:val="none"/>
        </w:rPr>
        <w:t xml:space="preserve"> </w:t>
      </w:r>
      <w:r>
        <w:rPr>
          <w:rFonts w:hint="eastAsia" w:hAnsi="宋体" w:cs="宋体"/>
          <w:color w:val="auto"/>
          <w:highlight w:val="none"/>
        </w:rPr>
        <w:t>。</w:t>
      </w:r>
    </w:p>
    <w:p w14:paraId="34BEA734">
      <w:pPr>
        <w:spacing w:line="360" w:lineRule="auto"/>
        <w:ind w:firstLine="420" w:firstLineChars="200"/>
        <w:jc w:val="left"/>
        <w:rPr>
          <w:color w:val="auto"/>
          <w:highlight w:val="none"/>
        </w:rPr>
      </w:pPr>
      <w:r>
        <w:rPr>
          <w:color w:val="auto"/>
          <w:highlight w:val="none"/>
        </w:rPr>
        <w:t>7</w:t>
      </w:r>
      <w:bookmarkStart w:id="1103" w:name="_Toc312677486"/>
      <w:bookmarkStart w:id="1104" w:name="_Toc312678012"/>
      <w:bookmarkStart w:id="1105" w:name="_Toc318581169"/>
      <w:bookmarkStart w:id="1106" w:name="_Toc297216177"/>
      <w:bookmarkStart w:id="1107" w:name="_Toc303539127"/>
      <w:bookmarkStart w:id="1108" w:name="_Toc297123518"/>
      <w:bookmarkStart w:id="1109" w:name="_Toc304295548"/>
      <w:bookmarkStart w:id="1110" w:name="_Toc300934970"/>
      <w:r>
        <w:rPr>
          <w:color w:val="auto"/>
          <w:highlight w:val="none"/>
        </w:rPr>
        <w:t xml:space="preserve">.5.2 </w:t>
      </w:r>
      <w:r>
        <w:rPr>
          <w:rFonts w:hint="eastAsia" w:hAnsi="宋体" w:cs="宋体"/>
          <w:color w:val="auto"/>
          <w:highlight w:val="none"/>
        </w:rPr>
        <w:t>因承包人原因导致工期延误</w:t>
      </w:r>
    </w:p>
    <w:bookmarkEnd w:id="1103"/>
    <w:bookmarkEnd w:id="1104"/>
    <w:bookmarkEnd w:id="1105"/>
    <w:p w14:paraId="05091C0D">
      <w:pPr>
        <w:spacing w:line="360" w:lineRule="auto"/>
        <w:ind w:firstLine="420" w:firstLineChars="200"/>
        <w:jc w:val="left"/>
        <w:rPr>
          <w:color w:val="auto"/>
          <w:highlight w:val="none"/>
        </w:rPr>
      </w:pPr>
      <w:r>
        <w:rPr>
          <w:rFonts w:hint="eastAsia" w:hAnsi="宋体" w:cs="宋体"/>
          <w:color w:val="auto"/>
          <w:highlight w:val="none"/>
        </w:rPr>
        <w:t>因</w:t>
      </w:r>
      <w:bookmarkStart w:id="1111" w:name="_Toc312678013"/>
      <w:bookmarkStart w:id="1112" w:name="_Toc312677487"/>
      <w:bookmarkStart w:id="1113" w:name="_Toc318581170"/>
      <w:r>
        <w:rPr>
          <w:rFonts w:hint="eastAsia" w:hAnsi="宋体" w:cs="宋体"/>
          <w:color w:val="auto"/>
          <w:highlight w:val="none"/>
        </w:rPr>
        <w:t>承包人原因造成工期延误，逾期竣工违约金的计算方法为：</w:t>
      </w:r>
      <w:r>
        <w:rPr>
          <w:rFonts w:hint="eastAsia" w:ascii="宋体" w:hAnsi="宋体" w:cs="宋体"/>
          <w:color w:val="auto"/>
          <w:highlight w:val="none"/>
          <w:u w:val="single"/>
        </w:rPr>
        <w:t>按逾期竣工的单项工程</w:t>
      </w:r>
      <w:r>
        <w:rPr>
          <w:rFonts w:hint="eastAsia" w:ascii="宋体" w:hAnsi="宋体" w:cs="宋体"/>
          <w:color w:val="auto"/>
          <w:highlight w:val="none"/>
          <w:u w:val="single"/>
          <w:lang w:val="en-US" w:eastAsia="zh-CN"/>
        </w:rPr>
        <w:t>处违约金</w:t>
      </w:r>
      <w:r>
        <w:rPr>
          <w:rFonts w:hint="eastAsia" w:ascii="宋体" w:hAnsi="宋体" w:cs="宋体"/>
          <w:color w:val="auto"/>
          <w:highlight w:val="none"/>
          <w:u w:val="single"/>
        </w:rPr>
        <w:t>，每延误一天</w:t>
      </w:r>
      <w:r>
        <w:rPr>
          <w:rFonts w:hint="eastAsia" w:ascii="宋体" w:hAnsi="宋体" w:cs="宋体"/>
          <w:color w:val="auto"/>
          <w:highlight w:val="none"/>
          <w:u w:val="single"/>
          <w:lang w:eastAsia="zh-CN"/>
        </w:rPr>
        <w:t>，</w:t>
      </w:r>
      <w:r>
        <w:rPr>
          <w:rFonts w:hint="eastAsia" w:ascii="宋体" w:hAnsi="宋体" w:cs="宋体"/>
          <w:color w:val="auto"/>
          <w:highlight w:val="none"/>
          <w:u w:val="single"/>
        </w:rPr>
        <w:t>按单项工程应支付给承包人的结算造价的万分之</w:t>
      </w:r>
      <w:r>
        <w:rPr>
          <w:rFonts w:ascii="宋体" w:hAnsi="宋体" w:cs="宋体"/>
          <w:color w:val="auto"/>
          <w:highlight w:val="none"/>
          <w:u w:val="single"/>
        </w:rPr>
        <w:t xml:space="preserve"> </w:t>
      </w:r>
      <w:r>
        <w:rPr>
          <w:rFonts w:hint="eastAsia" w:ascii="宋体" w:hAnsi="宋体" w:cs="宋体"/>
          <w:color w:val="auto"/>
          <w:highlight w:val="none"/>
          <w:u w:val="single"/>
          <w:lang w:val="en-US" w:eastAsia="zh-CN"/>
        </w:rPr>
        <w:t>四</w:t>
      </w:r>
      <w:r>
        <w:rPr>
          <w:rFonts w:ascii="宋体" w:hAnsi="宋体" w:cs="宋体"/>
          <w:color w:val="auto"/>
          <w:highlight w:val="none"/>
          <w:u w:val="single"/>
        </w:rPr>
        <w:t xml:space="preserve">  </w:t>
      </w:r>
      <w:r>
        <w:rPr>
          <w:rFonts w:hint="eastAsia" w:ascii="宋体" w:hAnsi="宋体" w:cs="宋体"/>
          <w:color w:val="auto"/>
          <w:highlight w:val="none"/>
          <w:u w:val="single"/>
        </w:rPr>
        <w:t>处</w:t>
      </w:r>
      <w:r>
        <w:rPr>
          <w:rFonts w:hint="eastAsia" w:ascii="宋体" w:hAnsi="宋体" w:cs="宋体"/>
          <w:color w:val="auto"/>
          <w:highlight w:val="none"/>
          <w:u w:val="single"/>
          <w:lang w:val="en-US" w:eastAsia="zh-CN"/>
        </w:rPr>
        <w:t>以违约金</w:t>
      </w:r>
      <w:r>
        <w:rPr>
          <w:rFonts w:hint="eastAsia" w:ascii="宋体" w:hAnsi="宋体" w:cs="宋体"/>
          <w:color w:val="auto"/>
          <w:highlight w:val="none"/>
          <w:u w:val="single"/>
          <w:lang w:eastAsia="zh-CN"/>
        </w:rPr>
        <w:t>，</w:t>
      </w:r>
      <w:r>
        <w:rPr>
          <w:rFonts w:hint="eastAsia" w:ascii="宋体" w:hAnsi="宋体" w:cs="宋体"/>
          <w:color w:val="auto"/>
          <w:highlight w:val="none"/>
          <w:u w:val="single"/>
          <w:lang w:val="en-US" w:eastAsia="zh-CN"/>
        </w:rPr>
        <w:t>违约金</w:t>
      </w:r>
      <w:r>
        <w:rPr>
          <w:rFonts w:hint="eastAsia" w:ascii="宋体" w:hAnsi="宋体" w:cs="宋体"/>
          <w:color w:val="auto"/>
          <w:highlight w:val="none"/>
          <w:u w:val="single"/>
        </w:rPr>
        <w:t>直接从结算款中扣除。</w:t>
      </w:r>
      <w:r>
        <w:rPr>
          <w:rFonts w:hint="eastAsia" w:hAnsi="宋体" w:cs="宋体"/>
          <w:color w:val="auto"/>
          <w:highlight w:val="none"/>
          <w:u w:val="single"/>
        </w:rPr>
        <w:t>误期时间</w:t>
      </w:r>
      <w:r>
        <w:rPr>
          <w:rFonts w:hint="eastAsia" w:hAnsi="宋体" w:cs="宋体"/>
          <w:color w:val="auto"/>
          <w:highlight w:val="none"/>
          <w:u w:val="single"/>
          <w:lang w:val="en-US" w:eastAsia="zh-CN"/>
        </w:rPr>
        <w:t>指</w:t>
      </w:r>
      <w:r>
        <w:rPr>
          <w:rFonts w:hint="eastAsia" w:hAnsi="宋体" w:cs="宋体"/>
          <w:color w:val="auto"/>
          <w:highlight w:val="none"/>
          <w:u w:val="single"/>
        </w:rPr>
        <w:t>从规定竣工日期起直到实际竣工日期</w:t>
      </w:r>
      <w:r>
        <w:rPr>
          <w:rFonts w:hint="eastAsia" w:hAnsi="宋体" w:cs="宋体"/>
          <w:color w:val="auto"/>
          <w:highlight w:val="none"/>
          <w:u w:val="single"/>
          <w:lang w:val="en-US" w:eastAsia="zh-CN"/>
        </w:rPr>
        <w:t>止</w:t>
      </w:r>
      <w:r>
        <w:rPr>
          <w:rFonts w:hint="eastAsia" w:hAnsi="宋体" w:cs="宋体"/>
          <w:color w:val="auto"/>
          <w:highlight w:val="none"/>
          <w:u w:val="single"/>
        </w:rPr>
        <w:t>的天数（扣除发包人批准顺延的工期）。</w:t>
      </w:r>
      <w:bookmarkEnd w:id="1106"/>
      <w:bookmarkEnd w:id="1107"/>
      <w:bookmarkEnd w:id="1108"/>
      <w:bookmarkEnd w:id="1109"/>
      <w:bookmarkEnd w:id="1110"/>
      <w:bookmarkEnd w:id="1111"/>
      <w:bookmarkEnd w:id="1112"/>
      <w:bookmarkEnd w:id="1113"/>
      <w:r>
        <w:rPr>
          <w:rFonts w:hint="eastAsia" w:hAnsi="宋体" w:cs="宋体"/>
          <w:color w:val="auto"/>
          <w:highlight w:val="none"/>
        </w:rPr>
        <w:t>因承包人原因造成工期延误，逾</w:t>
      </w:r>
      <w:bookmarkStart w:id="1114" w:name="_Toc318581171"/>
      <w:bookmarkStart w:id="1115" w:name="_Toc312678014"/>
      <w:r>
        <w:rPr>
          <w:rFonts w:hint="eastAsia" w:hAnsi="宋体" w:cs="宋体"/>
          <w:color w:val="auto"/>
          <w:highlight w:val="none"/>
        </w:rPr>
        <w:t>期竣工违约金的上限：</w:t>
      </w:r>
      <w:r>
        <w:rPr>
          <w:rFonts w:hint="eastAsia" w:ascii="宋体" w:hAnsi="宋体" w:cs="宋体"/>
          <w:color w:val="auto"/>
          <w:highlight w:val="none"/>
          <w:u w:val="single"/>
        </w:rPr>
        <w:t>逾期竣工的单项工程结算造价扣除发包人材料价款、暂估专业工程、暂列金额后</w:t>
      </w:r>
      <w:r>
        <w:rPr>
          <w:rFonts w:hint="eastAsia" w:hAnsi="宋体" w:cs="宋体"/>
          <w:color w:val="auto"/>
          <w:highlight w:val="none"/>
          <w:u w:val="single"/>
        </w:rPr>
        <w:t>的</w:t>
      </w:r>
      <w:r>
        <w:rPr>
          <w:color w:val="auto"/>
          <w:highlight w:val="none"/>
          <w:u w:val="single"/>
        </w:rPr>
        <w:t xml:space="preserve"> </w:t>
      </w:r>
      <w:r>
        <w:rPr>
          <w:rFonts w:hint="eastAsia"/>
          <w:color w:val="auto"/>
          <w:highlight w:val="none"/>
          <w:u w:val="single"/>
          <w:lang w:val="en-US" w:eastAsia="zh-CN"/>
        </w:rPr>
        <w:t>1</w:t>
      </w:r>
      <w:r>
        <w:rPr>
          <w:color w:val="auto"/>
          <w:highlight w:val="none"/>
          <w:u w:val="single"/>
        </w:rPr>
        <w:t xml:space="preserve"> %</w:t>
      </w:r>
      <w:r>
        <w:rPr>
          <w:rFonts w:hint="eastAsia" w:hAnsi="宋体" w:cs="宋体"/>
          <w:color w:val="auto"/>
          <w:highlight w:val="none"/>
        </w:rPr>
        <w:t>。</w:t>
      </w:r>
    </w:p>
    <w:bookmarkEnd w:id="1114"/>
    <w:bookmarkEnd w:id="1115"/>
    <w:p w14:paraId="717BD4A2">
      <w:pPr>
        <w:pStyle w:val="5"/>
        <w:rPr>
          <w:color w:val="auto"/>
          <w:highlight w:val="none"/>
        </w:rPr>
      </w:pPr>
      <w:bookmarkStart w:id="1116" w:name="_Toc373478375"/>
      <w:bookmarkStart w:id="1117" w:name="_Toc373227728"/>
      <w:bookmarkStart w:id="1118" w:name="_Toc78449816"/>
      <w:bookmarkStart w:id="1119" w:name="_Toc19613"/>
      <w:bookmarkStart w:id="1120" w:name="_Toc2644"/>
      <w:bookmarkStart w:id="1121" w:name="_Toc389065294"/>
      <w:bookmarkStart w:id="1122" w:name="_Toc407135230"/>
      <w:bookmarkStart w:id="1123" w:name="_Toc1954543271"/>
      <w:r>
        <w:rPr>
          <w:color w:val="auto"/>
          <w:highlight w:val="none"/>
        </w:rPr>
        <w:t>7</w:t>
      </w:r>
      <w:bookmarkStart w:id="1124" w:name="_Toc304295549"/>
      <w:bookmarkStart w:id="1125" w:name="_Toc297123519"/>
      <w:bookmarkStart w:id="1126" w:name="_Toc297216178"/>
      <w:bookmarkStart w:id="1127" w:name="_Toc300934971"/>
      <w:bookmarkStart w:id="1128" w:name="_Toc303539128"/>
      <w:bookmarkStart w:id="1129" w:name="_Toc312678015"/>
      <w:r>
        <w:rPr>
          <w:color w:val="auto"/>
          <w:highlight w:val="none"/>
        </w:rPr>
        <w:t xml:space="preserve">.6 </w:t>
      </w:r>
      <w:r>
        <w:rPr>
          <w:rFonts w:hint="eastAsia" w:cs="黑体"/>
          <w:color w:val="auto"/>
          <w:highlight w:val="none"/>
        </w:rPr>
        <w:t>不</w:t>
      </w:r>
      <w:bookmarkEnd w:id="1124"/>
      <w:bookmarkEnd w:id="1125"/>
      <w:bookmarkEnd w:id="1126"/>
      <w:bookmarkEnd w:id="1127"/>
      <w:bookmarkEnd w:id="1128"/>
      <w:bookmarkEnd w:id="1129"/>
      <w:r>
        <w:rPr>
          <w:rFonts w:hint="eastAsia" w:cs="黑体"/>
          <w:color w:val="auto"/>
          <w:highlight w:val="none"/>
        </w:rPr>
        <w:t>利物质条件</w:t>
      </w:r>
      <w:bookmarkEnd w:id="1116"/>
      <w:bookmarkEnd w:id="1117"/>
      <w:bookmarkEnd w:id="1118"/>
      <w:bookmarkEnd w:id="1119"/>
      <w:bookmarkEnd w:id="1120"/>
      <w:bookmarkEnd w:id="1121"/>
      <w:bookmarkEnd w:id="1122"/>
      <w:bookmarkEnd w:id="1123"/>
    </w:p>
    <w:p w14:paraId="634BD987">
      <w:pPr>
        <w:spacing w:line="360" w:lineRule="auto"/>
        <w:ind w:firstLine="420" w:firstLineChars="200"/>
        <w:jc w:val="left"/>
        <w:rPr>
          <w:color w:val="auto"/>
          <w:highlight w:val="none"/>
          <w:u w:val="single"/>
        </w:rPr>
      </w:pPr>
      <w:bookmarkStart w:id="1130" w:name="_Toc303539129"/>
      <w:bookmarkStart w:id="1131" w:name="_Toc297123520"/>
      <w:bookmarkStart w:id="1132" w:name="_Toc300934972"/>
      <w:bookmarkStart w:id="1133" w:name="_Toc304295550"/>
      <w:bookmarkStart w:id="1134" w:name="_Toc312678016"/>
      <w:bookmarkStart w:id="1135" w:name="_Toc297216179"/>
      <w:bookmarkStart w:id="1136" w:name="_Toc318581172"/>
      <w:r>
        <w:rPr>
          <w:rFonts w:hint="eastAsia" w:hAnsi="宋体" w:cs="宋体"/>
          <w:color w:val="auto"/>
          <w:highlight w:val="none"/>
        </w:rPr>
        <w:t>不利物质条件的其他情形和有关约定：</w:t>
      </w:r>
      <w:r>
        <w:rPr>
          <w:color w:val="auto"/>
          <w:highlight w:val="none"/>
          <w:u w:val="single"/>
        </w:rPr>
        <w:t xml:space="preserve">   </w:t>
      </w:r>
      <w:r>
        <w:rPr>
          <w:rFonts w:hint="eastAsia" w:ascii="宋体" w:hAnsi="宋体"/>
          <w:color w:val="auto"/>
          <w:kern w:val="0"/>
          <w:szCs w:val="21"/>
          <w:u w:val="single" w:color="000000"/>
        </w:rPr>
        <w:t>按本合同《通用条款》第</w:t>
      </w:r>
      <w:r>
        <w:rPr>
          <w:rFonts w:ascii="Times New Roman" w:hAnsi="Times New Roman" w:eastAsia="Times New Roman"/>
          <w:color w:val="auto"/>
          <w:kern w:val="0"/>
          <w:szCs w:val="21"/>
          <w:u w:val="single" w:color="000000"/>
        </w:rPr>
        <w:t>7.6</w:t>
      </w:r>
      <w:r>
        <w:rPr>
          <w:rFonts w:hint="eastAsia" w:ascii="宋体" w:hAnsi="宋体"/>
          <w:color w:val="auto"/>
          <w:kern w:val="0"/>
          <w:szCs w:val="21"/>
          <w:u w:val="single" w:color="000000"/>
        </w:rPr>
        <w:t>条规定</w:t>
      </w:r>
      <w:r>
        <w:rPr>
          <w:color w:val="auto"/>
          <w:highlight w:val="none"/>
          <w:u w:val="single"/>
        </w:rPr>
        <w:t xml:space="preserve"> </w:t>
      </w:r>
      <w:r>
        <w:rPr>
          <w:rFonts w:hint="eastAsia" w:hAnsi="宋体" w:cs="宋体"/>
          <w:color w:val="auto"/>
          <w:highlight w:val="none"/>
        </w:rPr>
        <w:t>。</w:t>
      </w:r>
    </w:p>
    <w:bookmarkEnd w:id="1130"/>
    <w:bookmarkEnd w:id="1131"/>
    <w:bookmarkEnd w:id="1132"/>
    <w:bookmarkEnd w:id="1133"/>
    <w:bookmarkEnd w:id="1134"/>
    <w:bookmarkEnd w:id="1135"/>
    <w:bookmarkEnd w:id="1136"/>
    <w:p w14:paraId="6CB92F35">
      <w:pPr>
        <w:pStyle w:val="5"/>
        <w:rPr>
          <w:color w:val="auto"/>
          <w:highlight w:val="none"/>
        </w:rPr>
      </w:pPr>
      <w:bookmarkStart w:id="1137" w:name="_Toc407135231"/>
      <w:bookmarkStart w:id="1138" w:name="_Toc1120"/>
      <w:bookmarkStart w:id="1139" w:name="_Toc23270"/>
      <w:bookmarkStart w:id="1140" w:name="_Toc373227729"/>
      <w:bookmarkStart w:id="1141" w:name="_Toc851880484"/>
      <w:bookmarkStart w:id="1142" w:name="_Toc373478376"/>
      <w:bookmarkStart w:id="1143" w:name="_Toc389065295"/>
      <w:bookmarkStart w:id="1144" w:name="_Toc78449817"/>
      <w:r>
        <w:rPr>
          <w:color w:val="auto"/>
          <w:highlight w:val="none"/>
        </w:rPr>
        <w:t>7</w:t>
      </w:r>
      <w:bookmarkStart w:id="1145" w:name="_Toc297216180"/>
      <w:bookmarkStart w:id="1146" w:name="_Toc303539130"/>
      <w:bookmarkStart w:id="1147" w:name="_Toc312678017"/>
      <w:bookmarkStart w:id="1148" w:name="_Toc297123521"/>
      <w:bookmarkStart w:id="1149" w:name="_Toc304295551"/>
      <w:bookmarkStart w:id="1150" w:name="_Toc300934973"/>
      <w:r>
        <w:rPr>
          <w:color w:val="auto"/>
          <w:highlight w:val="none"/>
        </w:rPr>
        <w:t xml:space="preserve">.7 </w:t>
      </w:r>
      <w:r>
        <w:rPr>
          <w:rFonts w:hint="eastAsia" w:cs="黑体"/>
          <w:color w:val="auto"/>
          <w:highlight w:val="none"/>
        </w:rPr>
        <w:t>异常恶劣的气候条件</w:t>
      </w:r>
      <w:bookmarkEnd w:id="1137"/>
      <w:bookmarkEnd w:id="1138"/>
      <w:bookmarkEnd w:id="1139"/>
      <w:bookmarkEnd w:id="1140"/>
      <w:bookmarkEnd w:id="1141"/>
      <w:bookmarkEnd w:id="1142"/>
      <w:bookmarkEnd w:id="1143"/>
      <w:bookmarkEnd w:id="1144"/>
    </w:p>
    <w:bookmarkEnd w:id="1145"/>
    <w:bookmarkEnd w:id="1146"/>
    <w:bookmarkEnd w:id="1147"/>
    <w:bookmarkEnd w:id="1148"/>
    <w:bookmarkEnd w:id="1149"/>
    <w:bookmarkEnd w:id="1150"/>
    <w:p w14:paraId="1791F9C1">
      <w:pPr>
        <w:spacing w:line="360" w:lineRule="auto"/>
        <w:ind w:firstLine="420" w:firstLineChars="200"/>
        <w:jc w:val="left"/>
        <w:rPr>
          <w:color w:val="auto"/>
          <w:highlight w:val="none"/>
        </w:rPr>
      </w:pPr>
      <w:r>
        <w:rPr>
          <w:rFonts w:hint="eastAsia" w:hAnsi="宋体" w:cs="宋体"/>
          <w:color w:val="auto"/>
          <w:highlight w:val="none"/>
        </w:rPr>
        <w:t>发包人和承包人同意以下情形视为异常恶劣的气候条件：</w:t>
      </w:r>
    </w:p>
    <w:p w14:paraId="3305666A">
      <w:pPr>
        <w:spacing w:before="133"/>
        <w:ind w:left="538" w:right="108"/>
        <w:jc w:val="left"/>
        <w:rPr>
          <w:rFonts w:hint="eastAsia" w:ascii="宋体" w:hAnsi="宋体"/>
          <w:color w:val="auto"/>
          <w:kern w:val="0"/>
          <w:szCs w:val="21"/>
        </w:rPr>
      </w:pPr>
      <w:bookmarkStart w:id="1151" w:name="_Toc389065296"/>
      <w:bookmarkStart w:id="1152" w:name="_Toc657185480"/>
      <w:bookmarkStart w:id="1153" w:name="_Toc373478377"/>
      <w:bookmarkStart w:id="1154" w:name="_Toc26066"/>
      <w:bookmarkStart w:id="1155" w:name="_Toc407135232"/>
      <w:bookmarkStart w:id="1156" w:name="_Toc373227730"/>
      <w:bookmarkStart w:id="1157" w:name="_Toc78449818"/>
      <w:bookmarkStart w:id="1158" w:name="_Toc13996"/>
      <w:r>
        <w:rPr>
          <w:rFonts w:hint="eastAsia" w:ascii="宋体" w:hAnsi="宋体"/>
          <w:color w:val="auto"/>
          <w:kern w:val="0"/>
          <w:szCs w:val="21"/>
        </w:rPr>
        <w:t>（</w:t>
      </w:r>
      <w:r>
        <w:rPr>
          <w:rFonts w:ascii="Times New Roman" w:hAnsi="Times New Roman" w:eastAsia="Times New Roman"/>
          <w:color w:val="auto"/>
          <w:kern w:val="0"/>
          <w:szCs w:val="21"/>
        </w:rPr>
        <w:t>1</w:t>
      </w:r>
      <w:r>
        <w:rPr>
          <w:rFonts w:hint="eastAsia" w:ascii="宋体" w:hAnsi="宋体"/>
          <w:color w:val="auto"/>
          <w:kern w:val="0"/>
          <w:szCs w:val="21"/>
        </w:rPr>
        <w:t>）</w:t>
      </w:r>
      <w:r>
        <w:rPr>
          <w:rFonts w:ascii="Times New Roman" w:hAnsi="Times New Roman" w:eastAsia="Times New Roman"/>
          <w:color w:val="auto"/>
          <w:kern w:val="0"/>
          <w:szCs w:val="21"/>
          <w:u w:val="single" w:color="000000"/>
        </w:rPr>
        <w:t>8</w:t>
      </w:r>
      <w:r>
        <w:rPr>
          <w:rFonts w:hint="eastAsia" w:ascii="宋体" w:hAnsi="宋体"/>
          <w:color w:val="auto"/>
          <w:kern w:val="0"/>
          <w:szCs w:val="21"/>
          <w:u w:val="single" w:color="000000"/>
        </w:rPr>
        <w:t>级以上的持续</w:t>
      </w:r>
      <w:r>
        <w:rPr>
          <w:rFonts w:ascii="Times New Roman" w:hAnsi="Times New Roman" w:eastAsia="Times New Roman"/>
          <w:color w:val="auto"/>
          <w:kern w:val="0"/>
          <w:szCs w:val="21"/>
          <w:u w:val="single" w:color="000000"/>
        </w:rPr>
        <w:t>3</w:t>
      </w:r>
      <w:r>
        <w:rPr>
          <w:rFonts w:hint="eastAsia" w:ascii="宋体" w:hAnsi="宋体"/>
          <w:color w:val="auto"/>
          <w:kern w:val="0"/>
          <w:szCs w:val="21"/>
          <w:u w:val="single" w:color="000000"/>
        </w:rPr>
        <w:t>天的大风；</w:t>
      </w:r>
      <w:r>
        <w:rPr>
          <w:rFonts w:hint="eastAsia" w:ascii="宋体" w:hAnsi="宋体"/>
          <w:color w:val="auto"/>
          <w:kern w:val="0"/>
          <w:szCs w:val="21"/>
        </w:rPr>
        <w:t>；</w:t>
      </w:r>
    </w:p>
    <w:p w14:paraId="35C07532">
      <w:pPr>
        <w:tabs>
          <w:tab w:val="left" w:pos="6997"/>
        </w:tabs>
        <w:spacing w:before="117"/>
        <w:ind w:left="538" w:right="108"/>
        <w:jc w:val="left"/>
        <w:rPr>
          <w:rFonts w:hint="eastAsia" w:ascii="宋体" w:hAnsi="宋体"/>
          <w:color w:val="auto"/>
          <w:kern w:val="0"/>
          <w:szCs w:val="21"/>
        </w:rPr>
      </w:pPr>
      <w:r>
        <w:rPr>
          <w:rFonts w:hint="eastAsia" w:ascii="宋体" w:hAnsi="宋体"/>
          <w:color w:val="auto"/>
          <w:kern w:val="0"/>
          <w:szCs w:val="21"/>
        </w:rPr>
        <w:t>（</w:t>
      </w:r>
      <w:r>
        <w:rPr>
          <w:rFonts w:ascii="Times New Roman" w:hAnsi="Times New Roman" w:eastAsia="Times New Roman"/>
          <w:color w:val="auto"/>
          <w:kern w:val="0"/>
          <w:szCs w:val="21"/>
        </w:rPr>
        <w:t>2</w:t>
      </w:r>
      <w:r>
        <w:rPr>
          <w:rFonts w:hint="eastAsia" w:ascii="宋体" w:hAnsi="宋体"/>
          <w:color w:val="auto"/>
          <w:kern w:val="0"/>
          <w:szCs w:val="21"/>
        </w:rPr>
        <w:t>）</w:t>
      </w:r>
      <w:r>
        <w:rPr>
          <w:rFonts w:hint="eastAsia" w:ascii="宋体" w:hAnsi="宋体"/>
          <w:color w:val="auto"/>
          <w:kern w:val="0"/>
          <w:szCs w:val="21"/>
          <w:u w:val="single" w:color="000000"/>
        </w:rPr>
        <w:t>暴雨级以上的持续</w:t>
      </w:r>
      <w:r>
        <w:rPr>
          <w:rFonts w:ascii="Times New Roman" w:hAnsi="Times New Roman" w:eastAsia="Times New Roman"/>
          <w:color w:val="auto"/>
          <w:kern w:val="0"/>
          <w:szCs w:val="21"/>
          <w:u w:val="single" w:color="000000"/>
        </w:rPr>
        <w:t>3</w:t>
      </w:r>
      <w:r>
        <w:rPr>
          <w:rFonts w:hint="eastAsia" w:ascii="宋体" w:hAnsi="宋体"/>
          <w:color w:val="auto"/>
          <w:kern w:val="0"/>
          <w:szCs w:val="21"/>
          <w:u w:val="single" w:color="000000"/>
        </w:rPr>
        <w:t>天的大雨；</w:t>
      </w:r>
      <w:r>
        <w:rPr>
          <w:rFonts w:ascii="Times New Roman" w:hAnsi="Times New Roman" w:eastAsia="Times New Roman"/>
          <w:color w:val="auto"/>
          <w:kern w:val="0"/>
          <w:szCs w:val="21"/>
          <w:u w:val="single" w:color="000000"/>
        </w:rPr>
        <w:t>20</w:t>
      </w:r>
      <w:r>
        <w:rPr>
          <w:rFonts w:hint="eastAsia" w:ascii="宋体" w:hAnsi="宋体"/>
          <w:color w:val="auto"/>
          <w:kern w:val="0"/>
          <w:szCs w:val="21"/>
          <w:u w:val="single" w:color="000000"/>
        </w:rPr>
        <w:t>年以上未发生过的洪水</w:t>
      </w:r>
      <w:r>
        <w:rPr>
          <w:rFonts w:hint="eastAsia" w:ascii="宋体" w:hAnsi="宋体"/>
          <w:color w:val="auto"/>
          <w:kern w:val="0"/>
          <w:szCs w:val="21"/>
        </w:rPr>
        <w:t>；</w:t>
      </w:r>
    </w:p>
    <w:p w14:paraId="1527CF81">
      <w:pPr>
        <w:spacing w:before="120" w:line="336" w:lineRule="auto"/>
        <w:ind w:left="118" w:right="108" w:firstLine="419"/>
        <w:jc w:val="left"/>
        <w:rPr>
          <w:rFonts w:hint="eastAsia" w:ascii="宋体" w:hAnsi="宋体"/>
          <w:color w:val="auto"/>
          <w:kern w:val="0"/>
          <w:szCs w:val="21"/>
        </w:rPr>
      </w:pPr>
      <w:r>
        <w:rPr>
          <w:rFonts w:hint="eastAsia" w:ascii="宋体" w:hAnsi="宋体"/>
          <w:color w:val="auto"/>
          <w:spacing w:val="-4"/>
          <w:kern w:val="0"/>
          <w:szCs w:val="21"/>
        </w:rPr>
        <w:t>（</w:t>
      </w:r>
      <w:r>
        <w:rPr>
          <w:rFonts w:ascii="Times New Roman" w:hAnsi="Times New Roman" w:eastAsia="Times New Roman"/>
          <w:color w:val="auto"/>
          <w:spacing w:val="-4"/>
          <w:kern w:val="0"/>
          <w:szCs w:val="21"/>
        </w:rPr>
        <w:t>3</w:t>
      </w:r>
      <w:r>
        <w:rPr>
          <w:rFonts w:hint="eastAsia" w:ascii="宋体" w:hAnsi="宋体"/>
          <w:color w:val="auto"/>
          <w:spacing w:val="-4"/>
          <w:kern w:val="0"/>
          <w:szCs w:val="21"/>
        </w:rPr>
        <w:t>）</w:t>
      </w:r>
      <w:r>
        <w:rPr>
          <w:rFonts w:ascii="Times New Roman" w:hAnsi="Times New Roman" w:eastAsia="Times New Roman"/>
          <w:color w:val="auto"/>
          <w:spacing w:val="-3"/>
          <w:kern w:val="0"/>
          <w:szCs w:val="21"/>
          <w:u w:val="single" w:color="000000"/>
        </w:rPr>
        <w:t>20</w:t>
      </w:r>
      <w:r>
        <w:rPr>
          <w:rFonts w:hint="eastAsia" w:ascii="宋体" w:hAnsi="宋体"/>
          <w:color w:val="auto"/>
          <w:spacing w:val="-3"/>
          <w:kern w:val="0"/>
          <w:szCs w:val="21"/>
          <w:u w:val="single" w:color="000000"/>
        </w:rPr>
        <w:t>年以上未发生过，持续</w:t>
      </w:r>
      <w:r>
        <w:rPr>
          <w:rFonts w:ascii="Times New Roman" w:hAnsi="Times New Roman" w:eastAsia="Times New Roman"/>
          <w:color w:val="auto"/>
          <w:kern w:val="0"/>
          <w:szCs w:val="21"/>
          <w:u w:val="single" w:color="000000"/>
        </w:rPr>
        <w:t>3</w:t>
      </w:r>
      <w:r>
        <w:rPr>
          <w:rFonts w:hint="eastAsia" w:ascii="宋体" w:hAnsi="宋体"/>
          <w:color w:val="auto"/>
          <w:spacing w:val="-3"/>
          <w:kern w:val="0"/>
          <w:szCs w:val="21"/>
          <w:u w:val="single" w:color="000000"/>
        </w:rPr>
        <w:t>天的高温天气；</w:t>
      </w:r>
      <w:r>
        <w:rPr>
          <w:rFonts w:ascii="Times New Roman" w:hAnsi="Times New Roman" w:eastAsia="Times New Roman"/>
          <w:color w:val="auto"/>
          <w:spacing w:val="-3"/>
          <w:kern w:val="0"/>
          <w:szCs w:val="21"/>
          <w:u w:val="single" w:color="000000"/>
        </w:rPr>
        <w:t>20</w:t>
      </w:r>
      <w:r>
        <w:rPr>
          <w:rFonts w:hint="eastAsia" w:ascii="宋体" w:hAnsi="宋体"/>
          <w:color w:val="auto"/>
          <w:spacing w:val="-3"/>
          <w:kern w:val="0"/>
          <w:szCs w:val="21"/>
          <w:u w:val="single" w:color="000000"/>
        </w:rPr>
        <w:t>年以上未发生过，持续</w:t>
      </w:r>
      <w:r>
        <w:rPr>
          <w:rFonts w:ascii="Times New Roman" w:hAnsi="Times New Roman" w:eastAsia="Times New Roman"/>
          <w:color w:val="auto"/>
          <w:kern w:val="0"/>
          <w:szCs w:val="21"/>
          <w:u w:val="single" w:color="000000"/>
        </w:rPr>
        <w:t>3</w:t>
      </w:r>
      <w:r>
        <w:rPr>
          <w:rFonts w:hint="eastAsia" w:ascii="宋体" w:hAnsi="宋体"/>
          <w:color w:val="auto"/>
          <w:kern w:val="0"/>
          <w:szCs w:val="21"/>
          <w:u w:val="single" w:color="000000"/>
        </w:rPr>
        <w:t>天的严寒天气。以上异常恶劣的气候的认定以当地气象部门出具的材料为准</w:t>
      </w:r>
      <w:r>
        <w:rPr>
          <w:rFonts w:hint="eastAsia" w:ascii="宋体" w:hAnsi="宋体"/>
          <w:color w:val="auto"/>
          <w:kern w:val="0"/>
          <w:szCs w:val="21"/>
        </w:rPr>
        <w:t>。</w:t>
      </w:r>
    </w:p>
    <w:p w14:paraId="44BFD7C9">
      <w:pPr>
        <w:pStyle w:val="5"/>
        <w:rPr>
          <w:color w:val="auto"/>
          <w:highlight w:val="none"/>
          <w:lang w:val="en-US"/>
        </w:rPr>
      </w:pPr>
      <w:r>
        <w:rPr>
          <w:color w:val="auto"/>
          <w:highlight w:val="none"/>
          <w:lang w:val="en-US"/>
        </w:rPr>
        <w:t xml:space="preserve">7.9 </w:t>
      </w:r>
      <w:r>
        <w:rPr>
          <w:rFonts w:hint="eastAsia" w:hAnsi="宋体" w:cs="黑体"/>
          <w:color w:val="auto"/>
          <w:highlight w:val="none"/>
        </w:rPr>
        <w:t>提前竣工</w:t>
      </w:r>
      <w:bookmarkEnd w:id="1151"/>
      <w:bookmarkEnd w:id="1152"/>
      <w:bookmarkEnd w:id="1153"/>
      <w:bookmarkEnd w:id="1154"/>
      <w:bookmarkEnd w:id="1155"/>
      <w:bookmarkEnd w:id="1156"/>
      <w:bookmarkEnd w:id="1157"/>
      <w:bookmarkEnd w:id="1158"/>
    </w:p>
    <w:p w14:paraId="76296EF1">
      <w:pPr>
        <w:spacing w:line="360" w:lineRule="auto"/>
        <w:ind w:firstLine="420" w:firstLineChars="200"/>
        <w:jc w:val="left"/>
        <w:rPr>
          <w:rFonts w:hAnsi="宋体"/>
          <w:color w:val="auto"/>
          <w:highlight w:val="none"/>
        </w:rPr>
      </w:pPr>
      <w:r>
        <w:rPr>
          <w:color w:val="auto"/>
          <w:highlight w:val="none"/>
        </w:rPr>
        <w:t>7.9.2</w:t>
      </w:r>
      <w:r>
        <w:rPr>
          <w:rFonts w:hint="eastAsia" w:hAnsi="宋体" w:cs="宋体"/>
          <w:color w:val="auto"/>
          <w:highlight w:val="none"/>
        </w:rPr>
        <w:t>提前竣工（赶工）增加费的计算方法：</w:t>
      </w:r>
      <w:r>
        <w:rPr>
          <w:color w:val="auto"/>
          <w:highlight w:val="none"/>
          <w:u w:val="single"/>
        </w:rPr>
        <w:t xml:space="preserve">  </w:t>
      </w:r>
      <w:r>
        <w:rPr>
          <w:rFonts w:hint="eastAsia"/>
          <w:color w:val="auto"/>
          <w:highlight w:val="none"/>
          <w:u w:val="single"/>
          <w:lang w:val="en-US" w:eastAsia="zh-CN"/>
        </w:rPr>
        <w:t xml:space="preserve">无 </w:t>
      </w:r>
      <w:r>
        <w:rPr>
          <w:rFonts w:hint="eastAsia" w:hAnsi="宋体" w:cs="宋体"/>
          <w:color w:val="auto"/>
          <w:highlight w:val="none"/>
        </w:rPr>
        <w:t>。</w:t>
      </w:r>
    </w:p>
    <w:p w14:paraId="5A0F90FC">
      <w:pPr>
        <w:pStyle w:val="4"/>
        <w:rPr>
          <w:color w:val="auto"/>
          <w:highlight w:val="none"/>
        </w:rPr>
      </w:pPr>
      <w:bookmarkStart w:id="1159" w:name="_Toc351203640"/>
      <w:bookmarkStart w:id="1160" w:name="_Toc78449819"/>
      <w:bookmarkStart w:id="1161" w:name="_Toc373227731"/>
      <w:bookmarkStart w:id="1162" w:name="_Toc389065297"/>
      <w:bookmarkStart w:id="1163" w:name="_Toc17641"/>
      <w:bookmarkStart w:id="1164" w:name="_Toc407135233"/>
      <w:bookmarkStart w:id="1165" w:name="_Toc1302158431"/>
      <w:bookmarkStart w:id="1166" w:name="_Toc373478378"/>
      <w:r>
        <w:rPr>
          <w:color w:val="auto"/>
          <w:highlight w:val="none"/>
        </w:rPr>
        <w:t xml:space="preserve">8. </w:t>
      </w:r>
      <w:r>
        <w:rPr>
          <w:rFonts w:hint="eastAsia" w:cs="黑体"/>
          <w:color w:val="auto"/>
          <w:highlight w:val="none"/>
        </w:rPr>
        <w:t>材料与设备</w:t>
      </w:r>
      <w:bookmarkEnd w:id="1159"/>
      <w:bookmarkEnd w:id="1160"/>
      <w:bookmarkEnd w:id="1161"/>
      <w:bookmarkEnd w:id="1162"/>
      <w:bookmarkEnd w:id="1163"/>
      <w:bookmarkEnd w:id="1164"/>
      <w:bookmarkEnd w:id="1165"/>
      <w:bookmarkEnd w:id="1166"/>
    </w:p>
    <w:bookmarkEnd w:id="992"/>
    <w:bookmarkEnd w:id="993"/>
    <w:bookmarkEnd w:id="994"/>
    <w:bookmarkEnd w:id="995"/>
    <w:bookmarkEnd w:id="996"/>
    <w:bookmarkEnd w:id="997"/>
    <w:bookmarkEnd w:id="998"/>
    <w:bookmarkEnd w:id="999"/>
    <w:bookmarkEnd w:id="1000"/>
    <w:bookmarkEnd w:id="1001"/>
    <w:p w14:paraId="4EFC9475">
      <w:pPr>
        <w:pStyle w:val="5"/>
        <w:rPr>
          <w:color w:val="auto"/>
          <w:highlight w:val="none"/>
        </w:rPr>
      </w:pPr>
      <w:bookmarkStart w:id="1167" w:name="_Toc78449820"/>
      <w:bookmarkStart w:id="1168" w:name="_Toc389065298"/>
      <w:bookmarkStart w:id="1169" w:name="_Toc295"/>
      <w:bookmarkStart w:id="1170" w:name="_Toc373227732"/>
      <w:bookmarkStart w:id="1171" w:name="_Toc373478379"/>
      <w:bookmarkStart w:id="1172" w:name="_Toc1743"/>
      <w:bookmarkStart w:id="1173" w:name="_Toc1119561048"/>
      <w:bookmarkStart w:id="1174" w:name="_Toc407135234"/>
      <w:r>
        <w:rPr>
          <w:color w:val="auto"/>
          <w:highlight w:val="none"/>
        </w:rPr>
        <w:t xml:space="preserve">8.2 </w:t>
      </w:r>
      <w:r>
        <w:rPr>
          <w:rFonts w:hint="eastAsia" w:cs="黑体"/>
          <w:color w:val="auto"/>
          <w:highlight w:val="none"/>
        </w:rPr>
        <w:t>承包人采购材料与工程设备</w:t>
      </w:r>
      <w:bookmarkEnd w:id="1167"/>
      <w:bookmarkEnd w:id="1168"/>
      <w:bookmarkEnd w:id="1169"/>
      <w:bookmarkEnd w:id="1170"/>
      <w:bookmarkEnd w:id="1171"/>
      <w:bookmarkEnd w:id="1172"/>
      <w:bookmarkEnd w:id="1173"/>
      <w:bookmarkEnd w:id="1174"/>
    </w:p>
    <w:p w14:paraId="63194A5F">
      <w:pPr>
        <w:autoSpaceDE w:val="0"/>
        <w:autoSpaceDN w:val="0"/>
        <w:adjustRightInd w:val="0"/>
        <w:spacing w:line="360" w:lineRule="auto"/>
        <w:ind w:firstLine="420" w:firstLineChars="200"/>
        <w:jc w:val="left"/>
        <w:rPr>
          <w:rFonts w:hint="eastAsia" w:cs="宋体"/>
          <w:color w:val="auto"/>
          <w:highlight w:val="none"/>
        </w:rPr>
      </w:pPr>
      <w:r>
        <w:rPr>
          <w:rFonts w:hint="eastAsia" w:cs="宋体"/>
          <w:color w:val="auto"/>
          <w:kern w:val="0"/>
          <w:highlight w:val="none"/>
        </w:rPr>
        <w:t>除已标价工程量清单《发包人提供主要材料和工程设备一览表》（表</w:t>
      </w:r>
      <w:r>
        <w:rPr>
          <w:color w:val="auto"/>
          <w:kern w:val="0"/>
          <w:highlight w:val="none"/>
        </w:rPr>
        <w:t>-</w:t>
      </w:r>
      <w:r>
        <w:rPr>
          <w:rFonts w:hint="eastAsia"/>
          <w:color w:val="auto"/>
          <w:kern w:val="0"/>
          <w:highlight w:val="none"/>
          <w:lang w:val="en-US" w:eastAsia="zh-CN"/>
        </w:rPr>
        <w:t>15</w:t>
      </w:r>
      <w:r>
        <w:rPr>
          <w:rFonts w:hint="eastAsia" w:cs="宋体"/>
          <w:color w:val="auto"/>
          <w:kern w:val="0"/>
          <w:highlight w:val="none"/>
        </w:rPr>
        <w:t>）中明确的材料、工程设备外，由承包人负责材料和工程设备的采购、运输和保管。</w:t>
      </w:r>
      <w:bookmarkStart w:id="1175" w:name="_Toc389065299"/>
      <w:bookmarkStart w:id="1176" w:name="_Toc373227733"/>
      <w:bookmarkStart w:id="1177" w:name="_Toc373478380"/>
    </w:p>
    <w:p w14:paraId="088CECEE">
      <w:pPr>
        <w:autoSpaceDE w:val="0"/>
        <w:autoSpaceDN w:val="0"/>
        <w:adjustRightInd w:val="0"/>
        <w:spacing w:line="360" w:lineRule="auto"/>
        <w:ind w:firstLine="420" w:firstLineChars="200"/>
        <w:jc w:val="left"/>
        <w:rPr>
          <w:rFonts w:cs="宋体"/>
          <w:color w:val="auto"/>
          <w:highlight w:val="none"/>
        </w:rPr>
      </w:pPr>
      <w:r>
        <w:rPr>
          <w:rFonts w:hint="eastAsia" w:cs="宋体"/>
          <w:color w:val="auto"/>
          <w:highlight w:val="none"/>
        </w:rPr>
        <w:t>对发包人在招标时有</w:t>
      </w:r>
      <w:r>
        <w:rPr>
          <w:rFonts w:hint="eastAsia" w:cs="宋体"/>
          <w:color w:val="auto"/>
          <w:highlight w:val="none"/>
          <w:lang w:eastAsia="zh-CN"/>
        </w:rPr>
        <w:t>“</w:t>
      </w:r>
      <w:r>
        <w:rPr>
          <w:rFonts w:hint="eastAsia" w:cs="宋体"/>
          <w:color w:val="auto"/>
          <w:highlight w:val="none"/>
        </w:rPr>
        <w:t>参照或相当于</w:t>
      </w:r>
      <w:r>
        <w:rPr>
          <w:color w:val="auto"/>
          <w:highlight w:val="none"/>
        </w:rPr>
        <w:t>**</w:t>
      </w:r>
      <w:r>
        <w:rPr>
          <w:rFonts w:hint="eastAsia" w:cs="宋体"/>
          <w:color w:val="auto"/>
          <w:highlight w:val="none"/>
        </w:rPr>
        <w:t>品牌、级别</w:t>
      </w:r>
      <w:r>
        <w:rPr>
          <w:rFonts w:hint="eastAsia" w:cs="宋体"/>
          <w:color w:val="auto"/>
          <w:highlight w:val="none"/>
          <w:lang w:eastAsia="zh-CN"/>
        </w:rPr>
        <w:t>”</w:t>
      </w:r>
      <w:r>
        <w:rPr>
          <w:rFonts w:hint="eastAsia" w:cs="宋体"/>
          <w:color w:val="auto"/>
          <w:highlight w:val="none"/>
        </w:rPr>
        <w:t>约定的材料或设备，承包人采购时必须按类似于或优于所约定品牌、等级进行采购，施工期间该部分材料或设备如未超过招标约定的风险幅度的，结算时按投标单价支付，不得调整。</w:t>
      </w:r>
    </w:p>
    <w:p w14:paraId="0CA3A4B0">
      <w:pPr>
        <w:autoSpaceDE w:val="0"/>
        <w:autoSpaceDN w:val="0"/>
        <w:adjustRightInd w:val="0"/>
        <w:spacing w:line="360" w:lineRule="auto"/>
        <w:ind w:firstLine="420" w:firstLineChars="200"/>
        <w:jc w:val="left"/>
        <w:rPr>
          <w:rFonts w:hint="eastAsia"/>
          <w:color w:val="auto"/>
          <w:highlight w:val="none"/>
        </w:rPr>
      </w:pPr>
      <w:r>
        <w:rPr>
          <w:rFonts w:hint="eastAsia"/>
          <w:color w:val="auto"/>
          <w:highlight w:val="none"/>
        </w:rPr>
        <w:t>禁止使用松木、松木包装材料设备、种子、苗木、花卉及繁殖材料。</w:t>
      </w:r>
    </w:p>
    <w:p w14:paraId="0B0F2103">
      <w:pPr>
        <w:pStyle w:val="5"/>
        <w:rPr>
          <w:color w:val="auto"/>
          <w:highlight w:val="none"/>
        </w:rPr>
      </w:pPr>
      <w:bookmarkStart w:id="1178" w:name="_Toc407135235"/>
      <w:bookmarkStart w:id="1179" w:name="_Toc78449821"/>
      <w:bookmarkStart w:id="1180" w:name="_Toc14200"/>
      <w:bookmarkStart w:id="1181" w:name="_Toc800965933"/>
      <w:bookmarkStart w:id="1182" w:name="_Toc10054"/>
      <w:r>
        <w:rPr>
          <w:color w:val="auto"/>
          <w:highlight w:val="none"/>
        </w:rPr>
        <w:t>8</w:t>
      </w:r>
      <w:bookmarkStart w:id="1183" w:name="_Toc312677493"/>
      <w:bookmarkStart w:id="1184" w:name="_Toc292559877"/>
      <w:bookmarkStart w:id="1185" w:name="_Toc297123527"/>
      <w:bookmarkStart w:id="1186" w:name="_Toc297120467"/>
      <w:bookmarkStart w:id="1187" w:name="_Toc296944506"/>
      <w:bookmarkStart w:id="1188" w:name="_Toc296503167"/>
      <w:bookmarkStart w:id="1189" w:name="_Toc296890995"/>
      <w:bookmarkStart w:id="1190" w:name="_Toc300934979"/>
      <w:bookmarkStart w:id="1191" w:name="_Toc292559372"/>
      <w:bookmarkStart w:id="1192" w:name="_Toc296347166"/>
      <w:bookmarkStart w:id="1193" w:name="_Toc296346668"/>
      <w:bookmarkStart w:id="1194" w:name="_Toc312678019"/>
      <w:bookmarkStart w:id="1195" w:name="_Toc297216186"/>
      <w:bookmarkStart w:id="1196" w:name="_Toc280868654"/>
      <w:bookmarkStart w:id="1197" w:name="_Toc303539136"/>
      <w:bookmarkStart w:id="1198" w:name="_Toc304295556"/>
      <w:bookmarkStart w:id="1199" w:name="_Toc296891207"/>
      <w:bookmarkStart w:id="1200" w:name="_Toc297048353"/>
      <w:bookmarkStart w:id="1201" w:name="_Toc267251424"/>
      <w:bookmarkStart w:id="1202" w:name="_Toc280868655"/>
      <w:bookmarkStart w:id="1203" w:name="_Toc280868656"/>
      <w:r>
        <w:rPr>
          <w:color w:val="auto"/>
          <w:highlight w:val="none"/>
        </w:rPr>
        <w:t xml:space="preserve">.4 </w:t>
      </w:r>
      <w:r>
        <w:rPr>
          <w:rFonts w:hint="eastAsia" w:cs="黑体"/>
          <w:color w:val="auto"/>
          <w:highlight w:val="none"/>
        </w:rPr>
        <w:t>材料与工程设备的保管与使用</w:t>
      </w:r>
      <w:bookmarkEnd w:id="1175"/>
      <w:bookmarkEnd w:id="1176"/>
      <w:bookmarkEnd w:id="1177"/>
      <w:bookmarkEnd w:id="1178"/>
      <w:bookmarkEnd w:id="1179"/>
      <w:bookmarkEnd w:id="1180"/>
      <w:bookmarkEnd w:id="1181"/>
      <w:bookmarkEnd w:id="1182"/>
    </w:p>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14:paraId="356F1A31">
      <w:pPr>
        <w:spacing w:line="360" w:lineRule="auto"/>
        <w:ind w:firstLine="420" w:firstLineChars="200"/>
        <w:jc w:val="left"/>
        <w:rPr>
          <w:color w:val="auto"/>
          <w:highlight w:val="none"/>
          <w:u w:val="single"/>
        </w:rPr>
      </w:pPr>
      <w:r>
        <w:rPr>
          <w:color w:val="auto"/>
          <w:highlight w:val="none"/>
        </w:rPr>
        <w:t>8</w:t>
      </w:r>
      <w:bookmarkStart w:id="1204" w:name="_Toc292559373"/>
      <w:bookmarkStart w:id="1205" w:name="_Toc292559878"/>
      <w:bookmarkStart w:id="1206" w:name="_Toc297216187"/>
      <w:bookmarkStart w:id="1207" w:name="_Toc312677494"/>
      <w:bookmarkStart w:id="1208" w:name="_Toc297120468"/>
      <w:bookmarkStart w:id="1209" w:name="_Toc296503168"/>
      <w:bookmarkStart w:id="1210" w:name="_Toc296346669"/>
      <w:bookmarkStart w:id="1211" w:name="_Toc297048354"/>
      <w:bookmarkStart w:id="1212" w:name="_Toc303539137"/>
      <w:bookmarkStart w:id="1213" w:name="_Toc296944507"/>
      <w:bookmarkStart w:id="1214" w:name="_Toc300934980"/>
      <w:bookmarkStart w:id="1215" w:name="_Toc296891208"/>
      <w:bookmarkStart w:id="1216" w:name="_Toc312678020"/>
      <w:bookmarkStart w:id="1217" w:name="_Toc296890996"/>
      <w:bookmarkStart w:id="1218" w:name="_Toc296347167"/>
      <w:bookmarkStart w:id="1219" w:name="_Toc304295557"/>
      <w:bookmarkStart w:id="1220" w:name="_Toc297123528"/>
      <w:bookmarkStart w:id="1221" w:name="_Toc318581173"/>
      <w:r>
        <w:rPr>
          <w:color w:val="auto"/>
          <w:highlight w:val="none"/>
        </w:rPr>
        <w:t>.4.1</w:t>
      </w:r>
      <w:r>
        <w:rPr>
          <w:rFonts w:hint="eastAsia" w:hAnsi="宋体" w:cs="宋体"/>
          <w:color w:val="auto"/>
          <w:highlight w:val="none"/>
        </w:rPr>
        <w:t>发包人供应的材料设备的保管费用的承担：</w:t>
      </w:r>
      <w:r>
        <w:rPr>
          <w:color w:val="auto"/>
          <w:highlight w:val="none"/>
          <w:u w:val="single"/>
        </w:rPr>
        <w:t xml:space="preserve">  </w:t>
      </w:r>
      <w:r>
        <w:rPr>
          <w:rFonts w:hint="eastAsia" w:ascii="宋体" w:hAnsi="宋体"/>
          <w:color w:val="auto"/>
          <w:spacing w:val="-8"/>
          <w:kern w:val="0"/>
          <w:szCs w:val="21"/>
          <w:u w:val="single" w:color="000000"/>
        </w:rPr>
        <w:t>按本合同《通用条款》第</w:t>
      </w:r>
      <w:r>
        <w:rPr>
          <w:rFonts w:ascii="Times New Roman" w:hAnsi="Times New Roman" w:eastAsia="Times New Roman"/>
          <w:color w:val="auto"/>
          <w:kern w:val="0"/>
          <w:szCs w:val="21"/>
          <w:u w:val="single" w:color="000000"/>
        </w:rPr>
        <w:t>8.4.1</w:t>
      </w:r>
      <w:r>
        <w:rPr>
          <w:rFonts w:hint="eastAsia" w:ascii="宋体" w:hAnsi="宋体"/>
          <w:color w:val="auto"/>
          <w:kern w:val="0"/>
          <w:szCs w:val="21"/>
          <w:u w:val="single" w:color="000000"/>
        </w:rPr>
        <w:t>条规定</w:t>
      </w:r>
      <w:r>
        <w:rPr>
          <w:color w:val="auto"/>
          <w:highlight w:val="none"/>
          <w:u w:val="single"/>
        </w:rPr>
        <w:t xml:space="preserve">      </w:t>
      </w:r>
      <w:r>
        <w:rPr>
          <w:rFonts w:hint="eastAsia" w:hAnsi="宋体" w:cs="宋体"/>
          <w:color w:val="auto"/>
          <w:highlight w:val="none"/>
        </w:rPr>
        <w:t>。</w:t>
      </w:r>
    </w:p>
    <w:bookmarkEnd w:id="1204"/>
    <w:bookmarkEnd w:id="1205"/>
    <w:p w14:paraId="2B650C63">
      <w:pPr>
        <w:pStyle w:val="5"/>
        <w:rPr>
          <w:color w:val="auto"/>
          <w:highlight w:val="none"/>
        </w:rPr>
      </w:pPr>
      <w:bookmarkStart w:id="1222" w:name="_Toc78449822"/>
      <w:bookmarkStart w:id="1223" w:name="_Toc13223"/>
      <w:bookmarkStart w:id="1224" w:name="_Toc125914831"/>
      <w:bookmarkStart w:id="1225" w:name="_Toc389065300"/>
      <w:bookmarkStart w:id="1226" w:name="_Toc18522"/>
      <w:bookmarkStart w:id="1227" w:name="_Toc373227734"/>
      <w:bookmarkStart w:id="1228" w:name="_Toc373478381"/>
      <w:bookmarkStart w:id="1229" w:name="_Toc407135236"/>
      <w:r>
        <w:rPr>
          <w:color w:val="auto"/>
          <w:highlight w:val="none"/>
        </w:rPr>
        <w:t xml:space="preserve">8.6 </w:t>
      </w:r>
      <w:r>
        <w:rPr>
          <w:rFonts w:hint="eastAsia" w:hAnsi="宋体" w:cs="黑体"/>
          <w:color w:val="auto"/>
          <w:highlight w:val="none"/>
        </w:rPr>
        <w:t>样品</w:t>
      </w:r>
      <w:bookmarkEnd w:id="1222"/>
      <w:bookmarkEnd w:id="1223"/>
      <w:bookmarkEnd w:id="1224"/>
      <w:bookmarkEnd w:id="1225"/>
      <w:bookmarkEnd w:id="1226"/>
      <w:bookmarkEnd w:id="1227"/>
      <w:bookmarkEnd w:id="1228"/>
      <w:bookmarkEnd w:id="1229"/>
    </w:p>
    <w:p w14:paraId="75C6CAB2">
      <w:pPr>
        <w:autoSpaceDE w:val="0"/>
        <w:autoSpaceDN w:val="0"/>
        <w:adjustRightInd w:val="0"/>
        <w:spacing w:line="360" w:lineRule="auto"/>
        <w:ind w:firstLine="420" w:firstLineChars="200"/>
        <w:jc w:val="left"/>
        <w:rPr>
          <w:color w:val="auto"/>
          <w:kern w:val="0"/>
          <w:highlight w:val="none"/>
        </w:rPr>
      </w:pPr>
      <w:r>
        <w:rPr>
          <w:color w:val="auto"/>
          <w:kern w:val="0"/>
          <w:highlight w:val="none"/>
        </w:rPr>
        <w:t xml:space="preserve">8.6.1 </w:t>
      </w:r>
      <w:r>
        <w:rPr>
          <w:rFonts w:hint="eastAsia" w:hAnsi="宋体" w:cs="宋体"/>
          <w:color w:val="auto"/>
          <w:kern w:val="0"/>
          <w:highlight w:val="none"/>
        </w:rPr>
        <w:t>样品的报送与封存</w:t>
      </w:r>
    </w:p>
    <w:p w14:paraId="479106F3">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需要承包人报送样品的材料或工程设备，样品的种类、名称、规格、数量要求：</w:t>
      </w:r>
      <w:r>
        <w:rPr>
          <w:rFonts w:hint="eastAsia" w:hAnsi="宋体" w:cs="宋体"/>
          <w:color w:val="auto"/>
          <w:highlight w:val="none"/>
          <w:u w:val="single"/>
        </w:rPr>
        <w:t>主要材料涉及品种、款式、颜色等方面内容的，承包人应提交准备合格的材料样品送发包人选定。</w:t>
      </w:r>
    </w:p>
    <w:p w14:paraId="7E02096D">
      <w:pPr>
        <w:pStyle w:val="5"/>
        <w:rPr>
          <w:color w:val="auto"/>
          <w:highlight w:val="none"/>
        </w:rPr>
      </w:pPr>
      <w:bookmarkStart w:id="1230" w:name="_Toc1049576644"/>
      <w:bookmarkStart w:id="1231" w:name="_Toc78449823"/>
      <w:bookmarkStart w:id="1232" w:name="_Toc389065301"/>
      <w:bookmarkStart w:id="1233" w:name="_Toc373227735"/>
      <w:bookmarkStart w:id="1234" w:name="_Toc373478382"/>
      <w:bookmarkStart w:id="1235" w:name="_Toc407135237"/>
      <w:bookmarkStart w:id="1236" w:name="_Toc23716"/>
      <w:bookmarkStart w:id="1237" w:name="_Toc32490"/>
      <w:r>
        <w:rPr>
          <w:color w:val="auto"/>
          <w:highlight w:val="none"/>
        </w:rPr>
        <w:t xml:space="preserve">8.8 </w:t>
      </w:r>
      <w:r>
        <w:rPr>
          <w:rFonts w:hint="eastAsia" w:cs="黑体"/>
          <w:color w:val="auto"/>
          <w:highlight w:val="none"/>
        </w:rPr>
        <w:t>施工设备和临时设施</w:t>
      </w:r>
      <w:bookmarkEnd w:id="1230"/>
      <w:bookmarkEnd w:id="1231"/>
      <w:bookmarkEnd w:id="1232"/>
      <w:bookmarkEnd w:id="1233"/>
      <w:bookmarkEnd w:id="1234"/>
      <w:bookmarkEnd w:id="1235"/>
      <w:bookmarkEnd w:id="1236"/>
      <w:bookmarkEnd w:id="1237"/>
    </w:p>
    <w:p w14:paraId="2C6C6F19">
      <w:pPr>
        <w:autoSpaceDE w:val="0"/>
        <w:autoSpaceDN w:val="0"/>
        <w:adjustRightInd w:val="0"/>
        <w:spacing w:line="360" w:lineRule="auto"/>
        <w:ind w:firstLine="420" w:firstLineChars="200"/>
        <w:jc w:val="left"/>
        <w:rPr>
          <w:color w:val="auto"/>
          <w:highlight w:val="none"/>
        </w:rPr>
      </w:pPr>
      <w:r>
        <w:rPr>
          <w:color w:val="auto"/>
          <w:highlight w:val="none"/>
        </w:rPr>
        <w:t xml:space="preserve">8.8.1 </w:t>
      </w:r>
      <w:r>
        <w:rPr>
          <w:rFonts w:hint="eastAsia" w:hAnsi="宋体" w:cs="宋体"/>
          <w:color w:val="auto"/>
          <w:highlight w:val="none"/>
        </w:rPr>
        <w:t>承包人提供的施工设备和临时设施</w:t>
      </w:r>
    </w:p>
    <w:p w14:paraId="11D71DE7">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cs="宋体"/>
          <w:color w:val="auto"/>
          <w:highlight w:val="none"/>
        </w:rPr>
        <w:t>承包人用于本工程的主要机械设备清单见合同附件4。</w:t>
      </w:r>
    </w:p>
    <w:p w14:paraId="396FD817">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关于修建临时设施费用承担的约定：</w:t>
      </w:r>
    </w:p>
    <w:p w14:paraId="35324C3A">
      <w:pPr>
        <w:spacing w:before="133" w:line="355" w:lineRule="auto"/>
        <w:ind w:left="118" w:right="108" w:firstLine="419"/>
        <w:jc w:val="left"/>
        <w:rPr>
          <w:rFonts w:hint="eastAsia" w:ascii="宋体" w:hAnsi="宋体"/>
          <w:color w:val="auto"/>
          <w:kern w:val="0"/>
          <w:szCs w:val="21"/>
        </w:rPr>
      </w:pPr>
      <w:r>
        <w:rPr>
          <w:rFonts w:hint="eastAsia" w:ascii="宋体" w:hAnsi="宋体"/>
          <w:color w:val="auto"/>
          <w:spacing w:val="-8"/>
          <w:kern w:val="0"/>
          <w:szCs w:val="21"/>
          <w:u w:val="single" w:color="000000"/>
        </w:rPr>
        <w:t>①承包人的临时用地（含项目部驻地等）租用费（含拆迁补偿）、临时用地的环保、恢复、</w:t>
      </w:r>
      <w:r>
        <w:rPr>
          <w:rFonts w:hint="eastAsia" w:ascii="宋体" w:hAnsi="宋体"/>
          <w:color w:val="auto"/>
          <w:kern w:val="0"/>
          <w:szCs w:val="21"/>
          <w:u w:val="single" w:color="000000"/>
        </w:rPr>
        <w:t>临时用地的青苗补偿及地面附着物拆除等费用均由承包人负责，以上费用在投标报价中综合考虑。②承包人负责合同实施期间其合同段内临时交通道路（含场内外连接公共交通道路）和交通设施的修建、维修、养护和交通管理工作，并承担一切费用。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4F91DB4C">
      <w:pPr>
        <w:autoSpaceDE w:val="0"/>
        <w:autoSpaceDN w:val="0"/>
        <w:adjustRightInd w:val="0"/>
        <w:spacing w:line="360" w:lineRule="auto"/>
        <w:ind w:firstLine="420" w:firstLineChars="200"/>
        <w:jc w:val="left"/>
        <w:rPr>
          <w:color w:val="auto"/>
          <w:highlight w:val="none"/>
        </w:rPr>
      </w:pPr>
      <w:r>
        <w:rPr>
          <w:color w:val="auto"/>
          <w:highlight w:val="none"/>
        </w:rPr>
        <w:t xml:space="preserve">8.8.2 </w:t>
      </w:r>
      <w:r>
        <w:rPr>
          <w:rFonts w:hint="eastAsia" w:hAnsi="宋体" w:cs="宋体"/>
          <w:color w:val="auto"/>
          <w:highlight w:val="none"/>
        </w:rPr>
        <w:t>发包人提供的施工设备和临时设施</w:t>
      </w:r>
    </w:p>
    <w:p w14:paraId="6DF839B8">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发包人提供的施工设备和临时设施：</w:t>
      </w:r>
      <w:r>
        <w:rPr>
          <w:color w:val="auto"/>
          <w:highlight w:val="none"/>
          <w:u w:val="single"/>
        </w:rPr>
        <w:t xml:space="preserve">              </w:t>
      </w:r>
      <w:r>
        <w:rPr>
          <w:rFonts w:hint="eastAsia"/>
          <w:color w:val="auto"/>
          <w:highlight w:val="none"/>
          <w:u w:val="single"/>
          <w:lang w:val="en-US" w:eastAsia="zh-CN"/>
        </w:rPr>
        <w:t>无</w:t>
      </w:r>
      <w:r>
        <w:rPr>
          <w:color w:val="auto"/>
          <w:highlight w:val="none"/>
          <w:u w:val="single"/>
        </w:rPr>
        <w:t xml:space="preserve">                           </w:t>
      </w:r>
      <w:r>
        <w:rPr>
          <w:rFonts w:hint="eastAsia" w:hAnsi="宋体" w:cs="宋体"/>
          <w:color w:val="auto"/>
          <w:highlight w:val="none"/>
        </w:rPr>
        <w:t>。</w:t>
      </w:r>
    </w:p>
    <w:p w14:paraId="756B92EA">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发包人提供的施工设备和临时设施的运行、维护、拆除、清运费用的承担人：</w:t>
      </w:r>
      <w:r>
        <w:rPr>
          <w:color w:val="auto"/>
          <w:highlight w:val="none"/>
          <w:u w:val="single"/>
        </w:rPr>
        <w:t xml:space="preserve">          </w:t>
      </w:r>
      <w:r>
        <w:rPr>
          <w:rFonts w:hint="eastAsia" w:hAnsi="宋体" w:cs="宋体"/>
          <w:color w:val="auto"/>
          <w:highlight w:val="none"/>
        </w:rPr>
        <w:t>。</w:t>
      </w:r>
    </w:p>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14:paraId="1D435CBE">
      <w:pPr>
        <w:pStyle w:val="4"/>
        <w:rPr>
          <w:color w:val="auto"/>
          <w:highlight w:val="none"/>
        </w:rPr>
      </w:pPr>
      <w:bookmarkStart w:id="1238" w:name="_Toc389065302"/>
      <w:bookmarkStart w:id="1239" w:name="_Toc2039161841"/>
      <w:bookmarkStart w:id="1240" w:name="_Toc27203"/>
      <w:bookmarkStart w:id="1241" w:name="_Toc407135238"/>
      <w:bookmarkStart w:id="1242" w:name="_Toc373227736"/>
      <w:bookmarkStart w:id="1243" w:name="_Toc78449824"/>
      <w:bookmarkStart w:id="1244" w:name="_Toc373478383"/>
      <w:bookmarkStart w:id="1245" w:name="_Toc351203641"/>
      <w:r>
        <w:rPr>
          <w:color w:val="auto"/>
          <w:highlight w:val="none"/>
        </w:rPr>
        <w:t>9</w:t>
      </w:r>
      <w:bookmarkEnd w:id="1201"/>
      <w:bookmarkEnd w:id="1202"/>
      <w:bookmarkEnd w:id="1203"/>
      <w:bookmarkStart w:id="1246" w:name="_Toc297123533"/>
      <w:bookmarkStart w:id="1247" w:name="_Toc297216192"/>
      <w:bookmarkStart w:id="1248" w:name="_Toc312678021"/>
      <w:bookmarkStart w:id="1249" w:name="_Toc300934982"/>
      <w:bookmarkStart w:id="1250" w:name="_Toc303539139"/>
      <w:bookmarkStart w:id="1251" w:name="_Toc312677495"/>
      <w:bookmarkStart w:id="1252" w:name="_Toc304295559"/>
      <w:bookmarkStart w:id="1253" w:name="_Toc297048359"/>
      <w:bookmarkStart w:id="1254" w:name="_Toc296891213"/>
      <w:bookmarkStart w:id="1255" w:name="_Toc296346674"/>
      <w:bookmarkStart w:id="1256" w:name="_Toc292559883"/>
      <w:bookmarkStart w:id="1257" w:name="_Toc296347172"/>
      <w:bookmarkStart w:id="1258" w:name="_Toc267251427"/>
      <w:bookmarkStart w:id="1259" w:name="_Toc296944512"/>
      <w:bookmarkStart w:id="1260" w:name="_Toc267251428"/>
      <w:bookmarkStart w:id="1261" w:name="_Toc296891001"/>
      <w:bookmarkStart w:id="1262" w:name="_Toc292559378"/>
      <w:bookmarkStart w:id="1263" w:name="_Toc297120473"/>
      <w:bookmarkStart w:id="1264" w:name="_Toc296503173"/>
      <w:r>
        <w:rPr>
          <w:color w:val="auto"/>
          <w:highlight w:val="none"/>
        </w:rPr>
        <w:t xml:space="preserve">. </w:t>
      </w:r>
      <w:r>
        <w:rPr>
          <w:rFonts w:hint="eastAsia" w:cs="黑体"/>
          <w:color w:val="auto"/>
          <w:highlight w:val="none"/>
        </w:rPr>
        <w:t>试验与检验</w:t>
      </w:r>
      <w:bookmarkEnd w:id="1238"/>
      <w:bookmarkEnd w:id="1239"/>
      <w:bookmarkEnd w:id="1240"/>
      <w:bookmarkEnd w:id="1241"/>
      <w:bookmarkEnd w:id="1242"/>
      <w:bookmarkEnd w:id="1243"/>
      <w:bookmarkEnd w:id="1244"/>
      <w:bookmarkEnd w:id="1245"/>
    </w:p>
    <w:bookmarkEnd w:id="1246"/>
    <w:bookmarkEnd w:id="1247"/>
    <w:bookmarkEnd w:id="1248"/>
    <w:bookmarkEnd w:id="1249"/>
    <w:bookmarkEnd w:id="1250"/>
    <w:bookmarkEnd w:id="1251"/>
    <w:bookmarkEnd w:id="1252"/>
    <w:p w14:paraId="2F4DA9AE">
      <w:pPr>
        <w:pStyle w:val="5"/>
        <w:rPr>
          <w:color w:val="auto"/>
          <w:highlight w:val="none"/>
        </w:rPr>
      </w:pPr>
      <w:bookmarkStart w:id="1265" w:name="_Toc1307315193"/>
      <w:bookmarkStart w:id="1266" w:name="_Toc21547"/>
      <w:bookmarkStart w:id="1267" w:name="_Toc9671"/>
      <w:bookmarkStart w:id="1268" w:name="_Toc373227737"/>
      <w:bookmarkStart w:id="1269" w:name="_Toc78449825"/>
      <w:bookmarkStart w:id="1270" w:name="_Toc407135239"/>
      <w:bookmarkStart w:id="1271" w:name="_Toc373478384"/>
      <w:bookmarkStart w:id="1272" w:name="_Toc389065303"/>
      <w:r>
        <w:rPr>
          <w:color w:val="auto"/>
          <w:highlight w:val="none"/>
        </w:rPr>
        <w:t>9</w:t>
      </w:r>
      <w:bookmarkStart w:id="1273" w:name="_Toc304295560"/>
      <w:bookmarkStart w:id="1274" w:name="_Toc312677496"/>
      <w:bookmarkStart w:id="1275" w:name="_Toc300934983"/>
      <w:bookmarkStart w:id="1276" w:name="_Toc312678022"/>
      <w:bookmarkStart w:id="1277" w:name="_Toc297123534"/>
      <w:bookmarkStart w:id="1278" w:name="_Toc297216193"/>
      <w:bookmarkStart w:id="1279" w:name="_Toc303539140"/>
      <w:r>
        <w:rPr>
          <w:color w:val="auto"/>
          <w:highlight w:val="none"/>
        </w:rPr>
        <w:t xml:space="preserve">.1 </w:t>
      </w:r>
      <w:r>
        <w:rPr>
          <w:rFonts w:hint="eastAsia" w:cs="黑体"/>
          <w:color w:val="auto"/>
          <w:highlight w:val="none"/>
        </w:rPr>
        <w:t>试验设备与试验人员</w:t>
      </w:r>
      <w:bookmarkEnd w:id="1265"/>
      <w:bookmarkEnd w:id="1266"/>
      <w:bookmarkEnd w:id="1267"/>
      <w:bookmarkEnd w:id="1268"/>
      <w:bookmarkEnd w:id="1269"/>
      <w:bookmarkEnd w:id="1270"/>
      <w:bookmarkEnd w:id="1271"/>
      <w:bookmarkEnd w:id="1272"/>
    </w:p>
    <w:bookmarkEnd w:id="1273"/>
    <w:bookmarkEnd w:id="1274"/>
    <w:bookmarkEnd w:id="1275"/>
    <w:bookmarkEnd w:id="1276"/>
    <w:bookmarkEnd w:id="1277"/>
    <w:bookmarkEnd w:id="1278"/>
    <w:bookmarkEnd w:id="1279"/>
    <w:p w14:paraId="4817ED79">
      <w:pPr>
        <w:spacing w:line="360" w:lineRule="auto"/>
        <w:ind w:firstLine="420" w:firstLineChars="200"/>
        <w:jc w:val="left"/>
        <w:rPr>
          <w:color w:val="auto"/>
          <w:highlight w:val="none"/>
        </w:rPr>
      </w:pPr>
      <w:r>
        <w:rPr>
          <w:color w:val="auto"/>
          <w:highlight w:val="none"/>
        </w:rPr>
        <w:t>9</w:t>
      </w:r>
      <w:bookmarkStart w:id="1280" w:name="_Toc312677497"/>
      <w:bookmarkStart w:id="1281" w:name="_Toc297123535"/>
      <w:bookmarkStart w:id="1282" w:name="_Toc303539141"/>
      <w:bookmarkStart w:id="1283" w:name="_Toc300934984"/>
      <w:bookmarkStart w:id="1284" w:name="_Toc312678023"/>
      <w:bookmarkStart w:id="1285" w:name="_Toc304295561"/>
      <w:bookmarkStart w:id="1286" w:name="_Toc297216194"/>
      <w:bookmarkStart w:id="1287" w:name="_Toc318581174"/>
      <w:r>
        <w:rPr>
          <w:color w:val="auto"/>
          <w:highlight w:val="none"/>
        </w:rPr>
        <w:t xml:space="preserve">.1.2 </w:t>
      </w:r>
      <w:r>
        <w:rPr>
          <w:rFonts w:hint="eastAsia" w:hAnsi="宋体" w:cs="宋体"/>
          <w:color w:val="auto"/>
          <w:highlight w:val="none"/>
        </w:rPr>
        <w:t>试验设备</w:t>
      </w:r>
    </w:p>
    <w:p w14:paraId="5E2997B8">
      <w:pPr>
        <w:spacing w:line="360" w:lineRule="auto"/>
        <w:ind w:firstLine="420" w:firstLineChars="200"/>
        <w:jc w:val="left"/>
        <w:rPr>
          <w:color w:val="auto"/>
          <w:highlight w:val="none"/>
          <w:u w:val="single"/>
        </w:rPr>
      </w:pPr>
      <w:r>
        <w:rPr>
          <w:rFonts w:hint="eastAsia" w:hAnsi="宋体" w:cs="宋体"/>
          <w:color w:val="auto"/>
          <w:highlight w:val="none"/>
        </w:rPr>
        <w:t>施工现场需要配置的试验场所：</w:t>
      </w:r>
      <w:bookmarkEnd w:id="1280"/>
      <w:bookmarkEnd w:id="1281"/>
      <w:bookmarkEnd w:id="1282"/>
      <w:bookmarkEnd w:id="1283"/>
      <w:bookmarkEnd w:id="1284"/>
      <w:bookmarkEnd w:id="1285"/>
      <w:bookmarkEnd w:id="1286"/>
      <w:bookmarkStart w:id="1288" w:name="_Toc297216195"/>
      <w:bookmarkStart w:id="1289" w:name="_Toc300934985"/>
      <w:bookmarkStart w:id="1290" w:name="_Toc303539142"/>
      <w:bookmarkStart w:id="1291" w:name="_Toc304295562"/>
      <w:bookmarkStart w:id="1292" w:name="_Toc312677498"/>
      <w:bookmarkStart w:id="1293" w:name="_Toc297123536"/>
      <w:bookmarkStart w:id="1294" w:name="_Toc312678024"/>
      <w:r>
        <w:rPr>
          <w:color w:val="auto"/>
          <w:highlight w:val="none"/>
          <w:u w:val="single"/>
        </w:rPr>
        <w:t xml:space="preserve">     </w:t>
      </w:r>
      <w:r>
        <w:rPr>
          <w:rFonts w:hint="eastAsia" w:ascii="宋体" w:hAnsi="宋体"/>
          <w:color w:val="auto"/>
          <w:kern w:val="0"/>
          <w:szCs w:val="21"/>
          <w:u w:val="single" w:color="000000"/>
        </w:rPr>
        <w:t>承包人根据现场实际需要另行配置</w:t>
      </w:r>
      <w:r>
        <w:rPr>
          <w:color w:val="auto"/>
          <w:highlight w:val="none"/>
          <w:u w:val="single"/>
        </w:rPr>
        <w:t xml:space="preserve">     </w:t>
      </w:r>
      <w:r>
        <w:rPr>
          <w:rFonts w:hint="eastAsia" w:hAnsi="宋体" w:cs="宋体"/>
          <w:color w:val="auto"/>
          <w:highlight w:val="none"/>
        </w:rPr>
        <w:t>。</w:t>
      </w:r>
    </w:p>
    <w:p w14:paraId="2AC4764C">
      <w:pPr>
        <w:spacing w:line="360" w:lineRule="auto"/>
        <w:ind w:firstLine="420" w:firstLineChars="200"/>
        <w:jc w:val="left"/>
        <w:rPr>
          <w:color w:val="auto"/>
          <w:highlight w:val="none"/>
          <w:u w:val="single"/>
        </w:rPr>
      </w:pPr>
      <w:r>
        <w:rPr>
          <w:rFonts w:hint="eastAsia" w:hAnsi="宋体" w:cs="宋体"/>
          <w:color w:val="auto"/>
          <w:highlight w:val="none"/>
        </w:rPr>
        <w:t>施工现场需要配备的试验设备：</w:t>
      </w:r>
      <w:r>
        <w:rPr>
          <w:color w:val="auto"/>
          <w:highlight w:val="none"/>
          <w:u w:val="single"/>
        </w:rPr>
        <w:t xml:space="preserve">     </w:t>
      </w:r>
      <w:r>
        <w:rPr>
          <w:rFonts w:hint="eastAsia" w:ascii="宋体" w:hAnsi="宋体"/>
          <w:color w:val="auto"/>
          <w:kern w:val="0"/>
          <w:szCs w:val="21"/>
          <w:u w:val="single" w:color="000000"/>
        </w:rPr>
        <w:t>承包人根据现场实际需要另行配置</w:t>
      </w:r>
      <w:r>
        <w:rPr>
          <w:color w:val="auto"/>
          <w:highlight w:val="none"/>
          <w:u w:val="single"/>
        </w:rPr>
        <w:t xml:space="preserve">    </w:t>
      </w:r>
      <w:r>
        <w:rPr>
          <w:rFonts w:hint="eastAsia" w:hAnsi="宋体" w:cs="宋体"/>
          <w:color w:val="auto"/>
          <w:highlight w:val="none"/>
        </w:rPr>
        <w:t>。</w:t>
      </w:r>
    </w:p>
    <w:p w14:paraId="6B6166F2">
      <w:pPr>
        <w:spacing w:line="360" w:lineRule="auto"/>
        <w:ind w:firstLine="420" w:firstLineChars="200"/>
        <w:jc w:val="left"/>
        <w:rPr>
          <w:color w:val="auto"/>
          <w:highlight w:val="none"/>
          <w:u w:val="single"/>
        </w:rPr>
      </w:pPr>
      <w:r>
        <w:rPr>
          <w:rFonts w:hint="eastAsia" w:hAnsi="宋体" w:cs="宋体"/>
          <w:color w:val="auto"/>
          <w:highlight w:val="none"/>
        </w:rPr>
        <w:t>施工现场需要具备的其他试验条件：</w:t>
      </w:r>
      <w:r>
        <w:rPr>
          <w:color w:val="auto"/>
          <w:highlight w:val="none"/>
          <w:u w:val="single"/>
        </w:rPr>
        <w:t xml:space="preserve">        </w:t>
      </w:r>
      <w:r>
        <w:rPr>
          <w:rFonts w:hint="eastAsia"/>
          <w:color w:val="auto"/>
          <w:highlight w:val="none"/>
          <w:u w:val="single"/>
          <w:lang w:val="en-US" w:eastAsia="zh-CN"/>
        </w:rPr>
        <w:t>无</w:t>
      </w:r>
      <w:r>
        <w:rPr>
          <w:color w:val="auto"/>
          <w:highlight w:val="none"/>
          <w:u w:val="single"/>
        </w:rPr>
        <w:t xml:space="preserve">               </w:t>
      </w:r>
      <w:r>
        <w:rPr>
          <w:rFonts w:hint="eastAsia" w:hAnsi="宋体" w:cs="宋体"/>
          <w:color w:val="auto"/>
          <w:highlight w:val="none"/>
        </w:rPr>
        <w:t>。</w:t>
      </w:r>
    </w:p>
    <w:p w14:paraId="224619E0">
      <w:pPr>
        <w:pStyle w:val="5"/>
        <w:rPr>
          <w:color w:val="auto"/>
          <w:highlight w:val="none"/>
        </w:rPr>
      </w:pPr>
      <w:bookmarkStart w:id="1295" w:name="_Toc2012255079"/>
      <w:bookmarkStart w:id="1296" w:name="_Toc373478385"/>
      <w:bookmarkStart w:id="1297" w:name="_Toc389065304"/>
      <w:bookmarkStart w:id="1298" w:name="_Toc23780"/>
      <w:bookmarkStart w:id="1299" w:name="_Toc78449826"/>
      <w:bookmarkStart w:id="1300" w:name="_Toc407135240"/>
      <w:bookmarkStart w:id="1301" w:name="_Toc14975"/>
      <w:bookmarkStart w:id="1302" w:name="_Toc373227738"/>
      <w:r>
        <w:rPr>
          <w:color w:val="auto"/>
          <w:highlight w:val="none"/>
        </w:rPr>
        <w:t xml:space="preserve">9.4 </w:t>
      </w:r>
      <w:r>
        <w:rPr>
          <w:rFonts w:hint="eastAsia" w:hAnsi="宋体" w:cs="黑体"/>
          <w:color w:val="auto"/>
          <w:highlight w:val="none"/>
        </w:rPr>
        <w:t>现场工艺试验</w:t>
      </w:r>
      <w:bookmarkEnd w:id="1295"/>
      <w:bookmarkEnd w:id="1296"/>
      <w:bookmarkEnd w:id="1297"/>
      <w:bookmarkEnd w:id="1298"/>
      <w:bookmarkEnd w:id="1299"/>
      <w:bookmarkEnd w:id="1300"/>
      <w:bookmarkEnd w:id="1301"/>
      <w:bookmarkEnd w:id="1302"/>
      <w:r>
        <w:rPr>
          <w:color w:val="auto"/>
          <w:highlight w:val="none"/>
        </w:rPr>
        <w:t xml:space="preserve"> </w:t>
      </w:r>
    </w:p>
    <w:p w14:paraId="57B653DE">
      <w:pPr>
        <w:spacing w:line="360" w:lineRule="auto"/>
        <w:ind w:firstLine="420" w:firstLineChars="200"/>
        <w:jc w:val="left"/>
        <w:rPr>
          <w:color w:val="auto"/>
          <w:highlight w:val="none"/>
        </w:rPr>
      </w:pPr>
      <w:r>
        <w:rPr>
          <w:rFonts w:hint="eastAsia" w:hAnsi="宋体" w:cs="宋体"/>
          <w:color w:val="auto"/>
          <w:highlight w:val="none"/>
        </w:rPr>
        <w:t>现场工艺试验的有关约定：</w:t>
      </w:r>
      <w:r>
        <w:rPr>
          <w:color w:val="auto"/>
          <w:highlight w:val="none"/>
          <w:u w:val="single"/>
        </w:rPr>
        <w:t xml:space="preserve">        </w:t>
      </w:r>
      <w:r>
        <w:rPr>
          <w:rFonts w:hint="eastAsia" w:ascii="宋体" w:hAnsi="宋体"/>
          <w:color w:val="auto"/>
          <w:kern w:val="0"/>
          <w:szCs w:val="21"/>
          <w:u w:val="single" w:color="000000"/>
        </w:rPr>
        <w:t>承包人根据现场实际需要另行配置</w:t>
      </w:r>
      <w:r>
        <w:rPr>
          <w:color w:val="auto"/>
          <w:highlight w:val="none"/>
          <w:u w:val="single"/>
        </w:rPr>
        <w:t xml:space="preserve">          </w:t>
      </w:r>
      <w:r>
        <w:rPr>
          <w:rFonts w:hint="eastAsia" w:hAnsi="宋体" w:cs="宋体"/>
          <w:color w:val="auto"/>
          <w:highlight w:val="none"/>
        </w:rPr>
        <w:t>。</w:t>
      </w:r>
    </w:p>
    <w:p w14:paraId="717490C5">
      <w:pPr>
        <w:pStyle w:val="5"/>
        <w:rPr>
          <w:color w:val="auto"/>
          <w:highlight w:val="none"/>
        </w:rPr>
      </w:pPr>
      <w:bookmarkStart w:id="1303" w:name="_Toc78449827"/>
      <w:bookmarkStart w:id="1304" w:name="_Toc393419678"/>
      <w:bookmarkStart w:id="1305" w:name="_Toc9920"/>
      <w:bookmarkStart w:id="1306" w:name="_Toc13096"/>
      <w:bookmarkStart w:id="1307" w:name="_Toc407135241"/>
      <w:bookmarkStart w:id="1308" w:name="OLE_LINK1"/>
      <w:r>
        <w:rPr>
          <w:color w:val="auto"/>
          <w:highlight w:val="none"/>
        </w:rPr>
        <w:t xml:space="preserve">9.5 </w:t>
      </w:r>
      <w:r>
        <w:rPr>
          <w:rFonts w:hint="eastAsia" w:hAnsi="宋体" w:cs="黑体"/>
          <w:color w:val="auto"/>
          <w:highlight w:val="none"/>
        </w:rPr>
        <w:t>检验费用</w:t>
      </w:r>
      <w:bookmarkEnd w:id="1303"/>
      <w:bookmarkEnd w:id="1304"/>
      <w:bookmarkEnd w:id="1305"/>
      <w:bookmarkEnd w:id="1306"/>
      <w:bookmarkEnd w:id="1307"/>
    </w:p>
    <w:p w14:paraId="20BB587C">
      <w:pPr>
        <w:spacing w:line="360" w:lineRule="auto"/>
        <w:ind w:firstLine="411" w:firstLineChars="196"/>
        <w:rPr>
          <w:color w:val="auto"/>
          <w:highlight w:val="none"/>
        </w:rPr>
      </w:pPr>
      <w:r>
        <w:rPr>
          <w:rFonts w:hint="eastAsia" w:hAnsi="宋体" w:cs="宋体"/>
          <w:color w:val="auto"/>
          <w:highlight w:val="none"/>
        </w:rPr>
        <w:t>根据《建设工程质量检测管理办法》（住房和城乡建设部令第57号）以及《广西壮族自治区建设工程质量检测管理实施细则》</w:t>
      </w:r>
      <w:r>
        <w:rPr>
          <w:rFonts w:hint="eastAsia" w:hAnsi="宋体" w:cs="宋体"/>
          <w:color w:val="auto"/>
          <w:highlight w:val="none"/>
          <w:lang w:eastAsia="zh-CN"/>
        </w:rPr>
        <w:t>（</w:t>
      </w:r>
      <w:r>
        <w:rPr>
          <w:rFonts w:hint="eastAsia" w:hAnsi="宋体" w:cs="宋体"/>
          <w:color w:val="auto"/>
          <w:highlight w:val="none"/>
        </w:rPr>
        <w:t>桂建发〔2025〕5号</w:t>
      </w:r>
      <w:r>
        <w:rPr>
          <w:rFonts w:hint="eastAsia" w:hAnsi="宋体" w:cs="宋体"/>
          <w:color w:val="auto"/>
          <w:highlight w:val="none"/>
          <w:lang w:eastAsia="zh-CN"/>
        </w:rPr>
        <w:t>）</w:t>
      </w:r>
      <w:r>
        <w:rPr>
          <w:rFonts w:hint="eastAsia" w:hAnsi="宋体" w:cs="宋体"/>
          <w:color w:val="auto"/>
          <w:highlight w:val="none"/>
        </w:rPr>
        <w:t>规定，工程质量检测业务由发包人委托有相应资质的检测机构检测。费用从发包人的项目建设经费中支出并直接支付给检测机构，不计入合同价款内。</w:t>
      </w:r>
    </w:p>
    <w:bookmarkEnd w:id="1287"/>
    <w:bookmarkEnd w:id="1288"/>
    <w:bookmarkEnd w:id="1289"/>
    <w:bookmarkEnd w:id="1290"/>
    <w:bookmarkEnd w:id="1291"/>
    <w:bookmarkEnd w:id="1292"/>
    <w:bookmarkEnd w:id="1293"/>
    <w:bookmarkEnd w:id="1294"/>
    <w:bookmarkEnd w:id="1308"/>
    <w:p w14:paraId="28B14299">
      <w:pPr>
        <w:pStyle w:val="4"/>
        <w:rPr>
          <w:color w:val="auto"/>
          <w:highlight w:val="none"/>
        </w:rPr>
      </w:pPr>
      <w:bookmarkStart w:id="1309" w:name="_Toc373227739"/>
      <w:bookmarkStart w:id="1310" w:name="_Toc8753"/>
      <w:bookmarkStart w:id="1311" w:name="_Toc78449828"/>
      <w:bookmarkStart w:id="1312" w:name="_Toc603662032"/>
      <w:bookmarkStart w:id="1313" w:name="_Toc373478386"/>
      <w:bookmarkStart w:id="1314" w:name="_Toc351203642"/>
      <w:bookmarkStart w:id="1315" w:name="_Toc389065305"/>
      <w:bookmarkStart w:id="1316" w:name="_Toc407135242"/>
      <w:r>
        <w:rPr>
          <w:color w:val="auto"/>
          <w:highlight w:val="none"/>
        </w:rPr>
        <w:t>1</w:t>
      </w:r>
      <w:bookmarkEnd w:id="1253"/>
      <w:bookmarkEnd w:id="1254"/>
      <w:bookmarkEnd w:id="1255"/>
      <w:bookmarkEnd w:id="1256"/>
      <w:bookmarkEnd w:id="1257"/>
      <w:bookmarkEnd w:id="1258"/>
      <w:bookmarkEnd w:id="1259"/>
      <w:bookmarkEnd w:id="1260"/>
      <w:bookmarkEnd w:id="1261"/>
      <w:bookmarkEnd w:id="1262"/>
      <w:bookmarkEnd w:id="1263"/>
      <w:bookmarkEnd w:id="1264"/>
      <w:bookmarkStart w:id="1317" w:name="_Toc296347192"/>
      <w:bookmarkStart w:id="1318" w:name="_Toc297123540"/>
      <w:bookmarkStart w:id="1319" w:name="_Toc300934989"/>
      <w:bookmarkStart w:id="1320" w:name="_Toc292559903"/>
      <w:bookmarkStart w:id="1321" w:name="_Toc297120493"/>
      <w:bookmarkStart w:id="1322" w:name="_Toc297048379"/>
      <w:bookmarkStart w:id="1323" w:name="_Toc296891233"/>
      <w:bookmarkStart w:id="1324" w:name="_Toc292559398"/>
      <w:bookmarkStart w:id="1325" w:name="_Toc296346694"/>
      <w:bookmarkStart w:id="1326" w:name="_Toc297216199"/>
      <w:bookmarkStart w:id="1327" w:name="_Toc296503193"/>
      <w:bookmarkStart w:id="1328" w:name="_Toc303539146"/>
      <w:bookmarkStart w:id="1329" w:name="_Toc296891021"/>
      <w:bookmarkStart w:id="1330" w:name="_Toc304295566"/>
      <w:bookmarkStart w:id="1331" w:name="_Toc296944532"/>
      <w:bookmarkStart w:id="1332" w:name="_Toc312677499"/>
      <w:bookmarkStart w:id="1333" w:name="_Toc312678025"/>
      <w:bookmarkStart w:id="1334" w:name="_Toc267251440"/>
      <w:bookmarkStart w:id="1335" w:name="_Toc267251433"/>
      <w:bookmarkStart w:id="1336" w:name="_Toc267251437"/>
      <w:bookmarkStart w:id="1337" w:name="_Toc267251435"/>
      <w:bookmarkStart w:id="1338" w:name="_Toc267251441"/>
      <w:bookmarkStart w:id="1339" w:name="_Toc267251439"/>
      <w:bookmarkStart w:id="1340" w:name="_Toc267251442"/>
      <w:r>
        <w:rPr>
          <w:color w:val="auto"/>
          <w:highlight w:val="none"/>
        </w:rPr>
        <w:t xml:space="preserve">0. </w:t>
      </w:r>
      <w:r>
        <w:rPr>
          <w:rFonts w:hint="eastAsia" w:hAnsi="宋体" w:cs="黑体"/>
          <w:color w:val="auto"/>
          <w:highlight w:val="none"/>
        </w:rPr>
        <w:t>变更</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bookmarkEnd w:id="1332"/>
    <w:bookmarkEnd w:id="1333"/>
    <w:p w14:paraId="5EF8AA70">
      <w:pPr>
        <w:pStyle w:val="5"/>
        <w:rPr>
          <w:color w:val="auto"/>
          <w:highlight w:val="none"/>
        </w:rPr>
      </w:pPr>
      <w:bookmarkStart w:id="1341" w:name="_Toc28913"/>
      <w:bookmarkStart w:id="1342" w:name="_Toc373478387"/>
      <w:bookmarkStart w:id="1343" w:name="_Toc389065306"/>
      <w:bookmarkStart w:id="1344" w:name="_Toc1890371558"/>
      <w:bookmarkStart w:id="1345" w:name="_Toc373227740"/>
      <w:bookmarkStart w:id="1346" w:name="_Toc407135243"/>
      <w:bookmarkStart w:id="1347" w:name="_Toc7595"/>
      <w:bookmarkStart w:id="1348" w:name="_Toc78449829"/>
      <w:r>
        <w:rPr>
          <w:color w:val="auto"/>
          <w:highlight w:val="none"/>
        </w:rPr>
        <w:t>1</w:t>
      </w:r>
      <w:bookmarkStart w:id="1349" w:name="_Toc312677500"/>
      <w:bookmarkStart w:id="1350" w:name="_Toc304295567"/>
      <w:bookmarkStart w:id="1351" w:name="_Toc296347193"/>
      <w:bookmarkStart w:id="1352" w:name="_Toc292559399"/>
      <w:bookmarkStart w:id="1353" w:name="_Toc312678026"/>
      <w:bookmarkStart w:id="1354" w:name="_Toc296944533"/>
      <w:bookmarkStart w:id="1355" w:name="_Toc296346695"/>
      <w:bookmarkStart w:id="1356" w:name="_Toc303539147"/>
      <w:bookmarkStart w:id="1357" w:name="_Toc297048380"/>
      <w:bookmarkStart w:id="1358" w:name="_Toc297120494"/>
      <w:bookmarkStart w:id="1359" w:name="_Toc300934990"/>
      <w:bookmarkStart w:id="1360" w:name="_Toc297216200"/>
      <w:bookmarkStart w:id="1361" w:name="_Toc296891234"/>
      <w:bookmarkStart w:id="1362" w:name="_Toc292559904"/>
      <w:bookmarkStart w:id="1363" w:name="_Toc296891022"/>
      <w:bookmarkStart w:id="1364" w:name="_Toc296503194"/>
      <w:bookmarkStart w:id="1365" w:name="_Toc297123541"/>
      <w:r>
        <w:rPr>
          <w:color w:val="auto"/>
          <w:highlight w:val="none"/>
        </w:rPr>
        <w:t xml:space="preserve">0.1 </w:t>
      </w:r>
      <w:r>
        <w:rPr>
          <w:rFonts w:hint="eastAsia" w:hAnsi="宋体" w:cs="黑体"/>
          <w:color w:val="auto"/>
          <w:highlight w:val="none"/>
        </w:rPr>
        <w:t>变更的范围</w:t>
      </w:r>
      <w:bookmarkEnd w:id="1341"/>
      <w:bookmarkEnd w:id="1342"/>
      <w:bookmarkEnd w:id="1343"/>
      <w:bookmarkEnd w:id="1344"/>
      <w:bookmarkEnd w:id="1345"/>
      <w:bookmarkEnd w:id="1346"/>
      <w:bookmarkEnd w:id="1347"/>
      <w:bookmarkEnd w:id="1348"/>
    </w:p>
    <w:p w14:paraId="5BC5FD5D">
      <w:pPr>
        <w:spacing w:line="360" w:lineRule="auto"/>
        <w:ind w:firstLine="426"/>
        <w:jc w:val="left"/>
        <w:rPr>
          <w:color w:val="auto"/>
          <w:highlight w:val="none"/>
        </w:rPr>
      </w:pPr>
      <w:r>
        <w:rPr>
          <w:rFonts w:hint="eastAsia" w:hAnsi="宋体" w:cs="宋体"/>
          <w:color w:val="auto"/>
          <w:highlight w:val="none"/>
        </w:rPr>
        <w:t>关于变更的范围的约定：</w:t>
      </w:r>
      <w:r>
        <w:rPr>
          <w:rFonts w:hint="eastAsia" w:ascii="宋体" w:hAnsi="宋体" w:eastAsia="宋体" w:cs="宋体"/>
          <w:color w:val="auto"/>
          <w:highlight w:val="none"/>
          <w:lang w:val="zh-TW" w:eastAsia="zh-TW"/>
        </w:rPr>
        <w:t>经发包人批准的对合同工程工作内容、合同图纸、合同规范、位置与尺寸、施工顺序与时间、施工条件、合同条款或其他特征等的改变。包括对合同工程的增加、减少、取消、替代和使用材料等的改变。</w:t>
      </w:r>
    </w:p>
    <w:p w14:paraId="23A14BC0">
      <w:pPr>
        <w:pStyle w:val="5"/>
        <w:rPr>
          <w:color w:val="auto"/>
          <w:highlight w:val="none"/>
        </w:rPr>
      </w:pPr>
      <w:bookmarkStart w:id="1366" w:name="_Toc373478388"/>
      <w:bookmarkStart w:id="1367" w:name="_Toc389065307"/>
      <w:bookmarkStart w:id="1368" w:name="_Toc31852"/>
      <w:bookmarkStart w:id="1369" w:name="_Toc373227741"/>
      <w:bookmarkStart w:id="1370" w:name="_Toc407135244"/>
      <w:bookmarkStart w:id="1371" w:name="_Toc78449830"/>
      <w:bookmarkStart w:id="1372" w:name="_Toc28657"/>
      <w:bookmarkStart w:id="1373" w:name="_Toc450749207"/>
      <w:r>
        <w:rPr>
          <w:color w:val="auto"/>
          <w:highlight w:val="none"/>
        </w:rPr>
        <w:t xml:space="preserve">10.3 </w:t>
      </w:r>
      <w:r>
        <w:rPr>
          <w:rFonts w:hint="eastAsia" w:hAnsi="宋体" w:cs="黑体"/>
          <w:color w:val="auto"/>
          <w:highlight w:val="none"/>
        </w:rPr>
        <w:t>变更程序</w:t>
      </w:r>
      <w:bookmarkEnd w:id="1366"/>
      <w:bookmarkEnd w:id="1367"/>
      <w:bookmarkEnd w:id="1368"/>
      <w:bookmarkEnd w:id="1369"/>
      <w:bookmarkEnd w:id="1370"/>
      <w:bookmarkEnd w:id="1371"/>
      <w:bookmarkEnd w:id="1372"/>
      <w:bookmarkEnd w:id="1373"/>
    </w:p>
    <w:p w14:paraId="16B9D5FE">
      <w:pPr>
        <w:pStyle w:val="22"/>
        <w:spacing w:line="360" w:lineRule="auto"/>
        <w:ind w:firstLine="441" w:firstLineChars="210"/>
        <w:rPr>
          <w:rFonts w:ascii="Times New Roman" w:hAnsi="Times New Roman"/>
          <w:color w:val="auto"/>
          <w:sz w:val="21"/>
          <w:szCs w:val="21"/>
          <w:highlight w:val="none"/>
        </w:rPr>
      </w:pPr>
      <w:r>
        <w:rPr>
          <w:rFonts w:ascii="Times New Roman" w:hAnsi="Times New Roman"/>
          <w:color w:val="auto"/>
          <w:sz w:val="21"/>
          <w:szCs w:val="21"/>
          <w:highlight w:val="none"/>
        </w:rPr>
        <w:t>10.3.1</w:t>
      </w:r>
      <w:r>
        <w:rPr>
          <w:rFonts w:hint="eastAsia" w:ascii="Times New Roman" w:hAnsi="Times New Roman"/>
          <w:color w:val="auto"/>
          <w:sz w:val="21"/>
          <w:szCs w:val="21"/>
          <w:highlight w:val="none"/>
        </w:rPr>
        <w:t>国有</w:t>
      </w:r>
      <w:r>
        <w:rPr>
          <w:rFonts w:hint="eastAsia" w:ascii="Times New Roman" w:hAnsi="Times New Roman"/>
          <w:color w:val="auto"/>
          <w:sz w:val="21"/>
          <w:szCs w:val="21"/>
          <w:highlight w:val="none"/>
          <w:lang w:val="en-US" w:eastAsia="zh-CN"/>
        </w:rPr>
        <w:t>资金</w:t>
      </w:r>
      <w:r>
        <w:rPr>
          <w:rFonts w:hint="eastAsia" w:ascii="Times New Roman" w:hAnsi="Times New Roman"/>
          <w:color w:val="auto"/>
          <w:sz w:val="21"/>
          <w:szCs w:val="21"/>
          <w:highlight w:val="none"/>
        </w:rPr>
        <w:t>投资项目：</w:t>
      </w:r>
    </w:p>
    <w:p w14:paraId="583C9288">
      <w:pPr>
        <w:pStyle w:val="22"/>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⑴</w:t>
      </w:r>
      <w:r>
        <w:rPr>
          <w:rFonts w:hint="eastAsia" w:ascii="Times New Roman" w:hAnsi="宋体"/>
          <w:bCs/>
          <w:color w:val="auto"/>
          <w:sz w:val="21"/>
          <w:szCs w:val="21"/>
          <w:highlight w:val="none"/>
          <w:lang w:eastAsia="zh-CN"/>
        </w:rPr>
        <w:t>工程变更</w:t>
      </w:r>
      <w:r>
        <w:rPr>
          <w:rFonts w:hint="eastAsia" w:ascii="Times New Roman" w:hAnsi="宋体"/>
          <w:bCs/>
          <w:color w:val="auto"/>
          <w:sz w:val="21"/>
          <w:szCs w:val="21"/>
          <w:highlight w:val="none"/>
        </w:rPr>
        <w:t>按各市政府或相关部门的规定办理。属不可抗力（自然灾害、突发事件等）造成变更的，按特事特办原则予以办理。</w:t>
      </w:r>
    </w:p>
    <w:p w14:paraId="046C53FF">
      <w:pPr>
        <w:pStyle w:val="22"/>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⑵建设单位在实施项目过程中，若发生单价变动，由发包人、承包人、监理或（和）造价咨询等单位共同商定并签字确认。</w:t>
      </w:r>
    </w:p>
    <w:p w14:paraId="43E26114">
      <w:pPr>
        <w:pStyle w:val="22"/>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⑶</w:t>
      </w:r>
      <w:r>
        <w:rPr>
          <w:rFonts w:ascii="Times New Roman" w:hAnsi="宋体"/>
          <w:bCs/>
          <w:color w:val="auto"/>
          <w:sz w:val="21"/>
          <w:szCs w:val="21"/>
          <w:highlight w:val="none"/>
        </w:rPr>
        <w:t xml:space="preserve"> </w:t>
      </w:r>
      <w:r>
        <w:rPr>
          <w:rFonts w:hint="eastAsia" w:ascii="Times New Roman" w:hAnsi="宋体"/>
          <w:bCs/>
          <w:color w:val="auto"/>
          <w:sz w:val="21"/>
          <w:szCs w:val="21"/>
          <w:highlight w:val="none"/>
        </w:rPr>
        <w:t>当合同规定的合同价款调整情况发生后，承包人未在规定时间内通知发包人，或者未在规定时间内提出调整报告，发包人可以根据有关资料，决定是否调整和调整的金额，并书面通知承包人。</w:t>
      </w:r>
    </w:p>
    <w:p w14:paraId="43C09727">
      <w:pPr>
        <w:spacing w:line="360" w:lineRule="auto"/>
        <w:ind w:firstLine="420" w:firstLineChars="200"/>
        <w:jc w:val="left"/>
        <w:rPr>
          <w:color w:val="auto"/>
          <w:highlight w:val="none"/>
        </w:rPr>
      </w:pPr>
      <w:r>
        <w:rPr>
          <w:color w:val="auto"/>
          <w:highlight w:val="none"/>
        </w:rPr>
        <w:t xml:space="preserve">10.3.2 </w:t>
      </w:r>
      <w:r>
        <w:rPr>
          <w:rFonts w:hint="eastAsia" w:cs="宋体"/>
          <w:color w:val="auto"/>
          <w:highlight w:val="none"/>
        </w:rPr>
        <w:t>非国有</w:t>
      </w:r>
      <w:r>
        <w:rPr>
          <w:rFonts w:hint="eastAsia" w:cs="宋体"/>
          <w:color w:val="auto"/>
          <w:highlight w:val="none"/>
          <w:lang w:val="en-US" w:eastAsia="zh-CN"/>
        </w:rPr>
        <w:t>资金</w:t>
      </w:r>
      <w:r>
        <w:rPr>
          <w:rFonts w:hint="eastAsia" w:cs="宋体"/>
          <w:color w:val="auto"/>
          <w:highlight w:val="none"/>
        </w:rPr>
        <w:t>投资项目：</w:t>
      </w:r>
      <w:r>
        <w:rPr>
          <w:color w:val="auto"/>
          <w:highlight w:val="none"/>
        </w:rPr>
        <w:t xml:space="preserve"> </w:t>
      </w:r>
    </w:p>
    <w:p w14:paraId="18F54CB6">
      <w:pPr>
        <w:spacing w:line="360" w:lineRule="auto"/>
        <w:ind w:firstLine="840" w:firstLineChars="400"/>
        <w:jc w:val="left"/>
        <w:rPr>
          <w:color w:val="auto"/>
          <w:highlight w:val="none"/>
        </w:rPr>
      </w:pPr>
      <w:r>
        <w:rPr>
          <w:rFonts w:hint="eastAsia" w:ascii="宋体" w:hAnsi="宋体"/>
          <w:color w:val="auto"/>
          <w:kern w:val="0"/>
          <w:szCs w:val="21"/>
          <w:u w:val="single" w:color="000000"/>
        </w:rPr>
        <w:t>无</w:t>
      </w:r>
      <w:r>
        <w:rPr>
          <w:color w:val="auto"/>
          <w:highlight w:val="none"/>
          <w:u w:val="single"/>
        </w:rPr>
        <w:t xml:space="preserve">   </w:t>
      </w:r>
      <w:r>
        <w:rPr>
          <w:rFonts w:hint="eastAsia" w:hAnsi="宋体" w:cs="宋体"/>
          <w:color w:val="auto"/>
          <w:highlight w:val="none"/>
        </w:rPr>
        <w:t>。</w:t>
      </w:r>
    </w:p>
    <w:p w14:paraId="1B4CEDDA">
      <w:pPr>
        <w:pStyle w:val="5"/>
        <w:rPr>
          <w:color w:val="auto"/>
          <w:highlight w:val="none"/>
        </w:rPr>
      </w:pPr>
      <w:bookmarkStart w:id="1374" w:name="_Toc3998"/>
      <w:bookmarkStart w:id="1375" w:name="_Toc389065308"/>
      <w:bookmarkStart w:id="1376" w:name="_Toc373478389"/>
      <w:bookmarkStart w:id="1377" w:name="_Toc1645711468"/>
      <w:bookmarkStart w:id="1378" w:name="_Toc508"/>
      <w:bookmarkStart w:id="1379" w:name="_Toc78449831"/>
      <w:bookmarkStart w:id="1380" w:name="_Toc373227742"/>
      <w:bookmarkStart w:id="1381" w:name="_Toc407135245"/>
      <w:r>
        <w:rPr>
          <w:color w:val="auto"/>
          <w:highlight w:val="none"/>
        </w:rPr>
        <w:t xml:space="preserve">10.4 </w:t>
      </w:r>
      <w:r>
        <w:rPr>
          <w:rFonts w:hint="eastAsia" w:hAnsi="宋体" w:cs="黑体"/>
          <w:color w:val="auto"/>
          <w:highlight w:val="none"/>
        </w:rPr>
        <w:t>变更估价</w:t>
      </w:r>
      <w:bookmarkEnd w:id="1374"/>
      <w:bookmarkEnd w:id="1375"/>
      <w:bookmarkEnd w:id="1376"/>
      <w:bookmarkEnd w:id="1377"/>
      <w:bookmarkEnd w:id="1378"/>
      <w:bookmarkEnd w:id="1379"/>
      <w:bookmarkEnd w:id="1380"/>
      <w:bookmarkEnd w:id="1381"/>
    </w:p>
    <w:p w14:paraId="27799944">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 xml:space="preserve"> 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4</w:t>
      </w:r>
      <w:r>
        <w:rPr>
          <w:rFonts w:hint="eastAsia" w:hAnsi="宋体" w:cs="宋体"/>
          <w:color w:val="auto"/>
          <w:kern w:val="0"/>
          <w:highlight w:val="none"/>
        </w:rPr>
        <w:t>.1 因工程变更引起分部分项工程项目清单的清单项目增加或减少的，</w:t>
      </w:r>
      <w:r>
        <w:rPr>
          <w:rFonts w:hint="eastAsia" w:hAnsi="宋体" w:cs="宋体"/>
          <w:color w:val="auto"/>
          <w:kern w:val="0"/>
          <w:highlight w:val="none"/>
          <w:lang w:val="en-US" w:eastAsia="zh-CN"/>
        </w:rPr>
        <w:t>应</w:t>
      </w:r>
      <w:r>
        <w:rPr>
          <w:rFonts w:hint="eastAsia" w:hAnsi="宋体" w:cs="宋体"/>
          <w:color w:val="auto"/>
          <w:kern w:val="0"/>
          <w:highlight w:val="none"/>
        </w:rPr>
        <w:t>按以下确定综合单价，调整合同价格：</w:t>
      </w:r>
    </w:p>
    <w:p w14:paraId="236F2803">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（1）相同施工条件下实施相同项目特征的清单项目</w:t>
      </w:r>
      <w:r>
        <w:rPr>
          <w:rFonts w:hint="eastAsia" w:hAnsi="宋体" w:cs="宋体"/>
          <w:color w:val="auto"/>
          <w:kern w:val="0"/>
          <w:highlight w:val="none"/>
          <w:lang w:eastAsia="zh-CN"/>
        </w:rPr>
        <w:t>，应采用相应的合同单价</w:t>
      </w:r>
      <w:r>
        <w:rPr>
          <w:rFonts w:hint="eastAsia" w:hAnsi="宋体" w:cs="宋体"/>
          <w:color w:val="auto"/>
          <w:kern w:val="0"/>
          <w:highlight w:val="none"/>
          <w:lang w:val="en-US" w:eastAsia="zh-CN"/>
        </w:rPr>
        <w:t>。</w:t>
      </w:r>
    </w:p>
    <w:p w14:paraId="2B643182">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（2）相同施工条件下实施类似项目特征的清单项目或类似施工条件下实施相同项目特征的清单项目，采用类似清单项目的合同单价换算调整后的综合单价；</w:t>
      </w:r>
    </w:p>
    <w:p w14:paraId="724D7800">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（3）相同施工条件下实施不同项目特征的清单项目或不同施工条件下实施相同项目特征的清单项目，依据工程实施情况，结合</w:t>
      </w:r>
      <w:r>
        <w:rPr>
          <w:rFonts w:hint="eastAsia" w:hAnsi="宋体" w:cs="宋体"/>
          <w:color w:val="auto"/>
          <w:kern w:val="0"/>
          <w:highlight w:val="none"/>
          <w:lang w:eastAsia="zh-CN"/>
        </w:rPr>
        <w:t>自治区建设行政主管部门颁布的综合单价组价表、</w:t>
      </w:r>
      <w:r>
        <w:rPr>
          <w:rFonts w:hint="eastAsia" w:hAnsi="宋体" w:cs="宋体"/>
          <w:color w:val="auto"/>
          <w:kern w:val="0"/>
          <w:highlight w:val="none"/>
        </w:rPr>
        <w:t>类似</w:t>
      </w:r>
      <w:r>
        <w:rPr>
          <w:rFonts w:hint="eastAsia" w:hAnsi="宋体" w:cs="宋体"/>
          <w:color w:val="auto"/>
          <w:kern w:val="0"/>
          <w:highlight w:val="none"/>
          <w:lang w:val="en-US" w:eastAsia="zh-CN"/>
        </w:rPr>
        <w:t>清单</w:t>
      </w:r>
      <w:r>
        <w:rPr>
          <w:rFonts w:hint="eastAsia" w:hAnsi="宋体" w:cs="宋体"/>
          <w:color w:val="auto"/>
          <w:kern w:val="0"/>
          <w:highlight w:val="none"/>
        </w:rPr>
        <w:t>项目的合同单价计价规则及报价水平，由发承包双方协商确定合理的综合单价；</w:t>
      </w:r>
    </w:p>
    <w:p w14:paraId="7BAFD377">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（4）不同施工条件下实施不同项目特征的清单项目，依据工程实施情况，结合</w:t>
      </w:r>
      <w:r>
        <w:rPr>
          <w:rFonts w:hint="eastAsia" w:hAnsi="宋体" w:cs="宋体"/>
          <w:color w:val="auto"/>
          <w:kern w:val="0"/>
          <w:highlight w:val="none"/>
          <w:lang w:eastAsia="zh-CN"/>
        </w:rPr>
        <w:t>自治区建设行政主管部门颁布的综合单价组价表、</w:t>
      </w:r>
      <w:r>
        <w:rPr>
          <w:rFonts w:hint="eastAsia" w:hAnsi="宋体" w:cs="宋体"/>
          <w:color w:val="auto"/>
          <w:kern w:val="0"/>
          <w:highlight w:val="none"/>
        </w:rPr>
        <w:t>同类工程类似清单项目的综合单价，由发承包双方协商确定合理的综合单价；</w:t>
      </w:r>
    </w:p>
    <w:p w14:paraId="5B60AD5D">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（5）因减少或取消清单项目的工程变更显著改变了实施中的工程施工条件，发承包双方根据实施工程的具体情况、市场价格、合同单价计价规则及报价水平协商确定工程变更的综合单价。</w:t>
      </w:r>
    </w:p>
    <w:p w14:paraId="1095F87C">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（6）发包人提供的材料变更为承包人负责采购的，相应分部分项工程项目清单变更后的综合单价按下式计算：综合单价=合同单价+已确认材料价格×</w:t>
      </w:r>
      <w:r>
        <w:rPr>
          <w:rFonts w:hint="eastAsia" w:hAnsi="宋体" w:cs="宋体"/>
          <w:color w:val="auto"/>
          <w:kern w:val="0"/>
          <w:highlight w:val="none"/>
          <w:lang w:eastAsia="zh-CN"/>
        </w:rPr>
        <w:t>（</w:t>
      </w:r>
      <w:r>
        <w:rPr>
          <w:rFonts w:hint="eastAsia" w:hAnsi="宋体" w:cs="宋体"/>
          <w:color w:val="auto"/>
          <w:kern w:val="0"/>
          <w:highlight w:val="none"/>
        </w:rPr>
        <w:t>1+损耗率</w:t>
      </w:r>
      <w:r>
        <w:rPr>
          <w:rFonts w:hint="eastAsia" w:hAnsi="宋体" w:cs="宋体"/>
          <w:color w:val="auto"/>
          <w:kern w:val="0"/>
          <w:highlight w:val="none"/>
          <w:lang w:eastAsia="zh-CN"/>
        </w:rPr>
        <w:t>）</w:t>
      </w:r>
      <w:r>
        <w:rPr>
          <w:rFonts w:hint="eastAsia" w:hAnsi="宋体" w:cs="宋体"/>
          <w:color w:val="auto"/>
          <w:kern w:val="0"/>
          <w:highlight w:val="none"/>
        </w:rPr>
        <w:t>×（1+增值税税率）</w:t>
      </w:r>
    </w:p>
    <w:p w14:paraId="20728C1F">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（7）承包人提供的材料变更为发包人提供的，相关合同清单项目综合单价中包含的材料费、增值税等应予扣除，综合单价中所含的其他费用不作调整，扣除后的清单项目单价为该清单项目的安装综合单价。</w:t>
      </w:r>
    </w:p>
    <w:p w14:paraId="492AE995">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cs="宋体"/>
          <w:b w:val="0"/>
          <w:bCs w:val="0"/>
          <w:color w:val="auto"/>
          <w:sz w:val="21"/>
          <w:szCs w:val="21"/>
          <w:highlight w:val="none"/>
          <w:lang w:val="en-US" w:eastAsia="zh-CN"/>
        </w:rPr>
      </w:pPr>
      <w:r>
        <w:rPr>
          <w:rFonts w:hint="eastAsia" w:hAnsi="宋体" w:cs="宋体"/>
          <w:color w:val="auto"/>
          <w:kern w:val="0"/>
          <w:highlight w:val="none"/>
          <w:lang w:eastAsia="zh-CN"/>
        </w:rPr>
        <w:t>（</w:t>
      </w:r>
      <w:r>
        <w:rPr>
          <w:rFonts w:hint="eastAsia" w:hAnsi="宋体" w:cs="宋体"/>
          <w:color w:val="auto"/>
          <w:kern w:val="0"/>
          <w:highlight w:val="none"/>
          <w:lang w:val="en-US" w:eastAsia="zh-CN"/>
        </w:rPr>
        <w:t>8</w:t>
      </w:r>
      <w:r>
        <w:rPr>
          <w:rFonts w:hint="eastAsia" w:hAnsi="宋体" w:cs="宋体"/>
          <w:color w:val="auto"/>
          <w:kern w:val="0"/>
          <w:highlight w:val="none"/>
          <w:lang w:eastAsia="zh-CN"/>
        </w:rPr>
        <w:t>）</w:t>
      </w:r>
      <w:r>
        <w:rPr>
          <w:rFonts w:hint="eastAsia"/>
          <w:color w:val="auto"/>
          <w:highlight w:val="none"/>
          <w:lang w:eastAsia="zh-CN"/>
        </w:rPr>
        <w:t>如在招标过程中出现投标人的投标文件存在算术误差及细微偏差，以招标文件“澄清、说明或补正”规定</w:t>
      </w:r>
      <w:r>
        <w:rPr>
          <w:rFonts w:hint="eastAsia" w:ascii="宋体" w:hAnsi="宋体" w:cs="宋体"/>
          <w:b w:val="0"/>
          <w:bCs w:val="0"/>
          <w:color w:val="auto"/>
          <w:sz w:val="21"/>
          <w:szCs w:val="21"/>
          <w:highlight w:val="none"/>
          <w:lang w:val="en-US" w:eastAsia="zh-CN"/>
        </w:rPr>
        <w:t>修正后的综合单价作为工程进度款（总价合同除外）、工程变更以及单价合同竣工结算的计价依据。</w:t>
      </w:r>
    </w:p>
    <w:p w14:paraId="6E4A0A3D">
      <w:pPr>
        <w:spacing w:line="360" w:lineRule="auto"/>
        <w:ind w:firstLine="420" w:firstLineChars="200"/>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（9）如在招标过程中出现综合单价</w:t>
      </w:r>
      <w:r>
        <w:rPr>
          <w:rFonts w:hint="eastAsia" w:ascii="宋体" w:hAnsi="宋体" w:eastAsia="宋体" w:cs="宋体"/>
          <w:color w:val="auto"/>
          <w:spacing w:val="0"/>
          <w:sz w:val="21"/>
          <w:szCs w:val="21"/>
          <w:highlight w:val="none"/>
        </w:rPr>
        <w:t>非合理性偏低或偏高</w:t>
      </w:r>
      <w:r>
        <w:rPr>
          <w:rFonts w:hint="eastAsia" w:ascii="宋体" w:hAnsi="宋体" w:cs="宋体"/>
          <w:color w:val="auto"/>
          <w:spacing w:val="0"/>
          <w:sz w:val="21"/>
          <w:szCs w:val="21"/>
          <w:highlight w:val="none"/>
          <w:lang w:eastAsia="zh-CN"/>
        </w:rPr>
        <w:t>，</w:t>
      </w:r>
      <w:r>
        <w:rPr>
          <w:rFonts w:hint="eastAsia"/>
          <w:color w:val="auto"/>
          <w:highlight w:val="none"/>
          <w:lang w:eastAsia="zh-CN"/>
        </w:rPr>
        <w:t>以招标文件“澄清、说明或补正”规定投标人</w:t>
      </w:r>
      <w:r>
        <w:rPr>
          <w:rFonts w:hint="eastAsia" w:ascii="宋体" w:hAnsi="宋体" w:eastAsia="宋体" w:cs="宋体"/>
          <w:color w:val="auto"/>
          <w:spacing w:val="0"/>
          <w:sz w:val="21"/>
          <w:szCs w:val="21"/>
          <w:highlight w:val="none"/>
        </w:rPr>
        <w:t>提供的合理修正综合单价</w:t>
      </w:r>
      <w:r>
        <w:rPr>
          <w:rFonts w:hint="eastAsia" w:ascii="宋体" w:hAnsi="宋体" w:eastAsia="宋体" w:cs="宋体"/>
          <w:color w:val="auto"/>
          <w:spacing w:val="0"/>
          <w:sz w:val="21"/>
          <w:szCs w:val="21"/>
          <w:highlight w:val="none"/>
          <w:lang w:eastAsia="zh-CN"/>
        </w:rPr>
        <w:t>作为</w:t>
      </w:r>
      <w:r>
        <w:rPr>
          <w:rFonts w:hint="eastAsia" w:ascii="宋体" w:hAnsi="宋体" w:eastAsia="宋体" w:cs="宋体"/>
          <w:color w:val="auto"/>
          <w:spacing w:val="0"/>
          <w:sz w:val="21"/>
          <w:szCs w:val="21"/>
          <w:highlight w:val="none"/>
        </w:rPr>
        <w:t>已标价工程量清单所列清单项目数量</w:t>
      </w:r>
      <w:r>
        <w:rPr>
          <w:rFonts w:hint="eastAsia" w:ascii="宋体" w:hAnsi="宋体" w:eastAsia="宋体" w:cs="宋体"/>
          <w:color w:val="auto"/>
          <w:spacing w:val="0"/>
          <w:sz w:val="21"/>
          <w:szCs w:val="21"/>
          <w:highlight w:val="none"/>
          <w:lang w:eastAsia="zh-CN"/>
        </w:rPr>
        <w:t>增加（总价合同除外）</w:t>
      </w:r>
      <w:r>
        <w:rPr>
          <w:rFonts w:hint="eastAsia" w:ascii="宋体" w:hAnsi="宋体" w:eastAsia="宋体" w:cs="宋体"/>
          <w:color w:val="auto"/>
          <w:spacing w:val="0"/>
          <w:sz w:val="21"/>
          <w:szCs w:val="21"/>
          <w:highlight w:val="none"/>
        </w:rPr>
        <w:t>和工程变更计价</w:t>
      </w:r>
      <w:r>
        <w:rPr>
          <w:rFonts w:hint="eastAsia" w:ascii="宋体" w:hAnsi="宋体" w:eastAsia="宋体" w:cs="宋体"/>
          <w:color w:val="auto"/>
          <w:spacing w:val="0"/>
          <w:sz w:val="21"/>
          <w:szCs w:val="21"/>
          <w:highlight w:val="none"/>
          <w:lang w:eastAsia="zh-CN"/>
        </w:rPr>
        <w:t>依据</w:t>
      </w:r>
      <w:r>
        <w:rPr>
          <w:rFonts w:hint="eastAsia" w:ascii="宋体" w:hAnsi="宋体" w:eastAsia="宋体" w:cs="宋体"/>
          <w:color w:val="auto"/>
          <w:spacing w:val="0"/>
          <w:sz w:val="21"/>
          <w:szCs w:val="21"/>
          <w:highlight w:val="none"/>
        </w:rPr>
        <w:t>。</w:t>
      </w:r>
    </w:p>
    <w:p w14:paraId="1F8B50EA">
      <w:pPr>
        <w:spacing w:line="360" w:lineRule="auto"/>
        <w:ind w:firstLine="420" w:firstLineChars="200"/>
        <w:rPr>
          <w:color w:val="auto"/>
          <w:highlight w:val="none"/>
        </w:rPr>
      </w:pPr>
      <w:r>
        <w:rPr>
          <w:rFonts w:hint="eastAsia" w:ascii="宋体" w:hAnsi="宋体" w:cs="宋体"/>
          <w:b w:val="0"/>
          <w:bCs w:val="0"/>
          <w:color w:val="auto"/>
          <w:sz w:val="21"/>
          <w:szCs w:val="21"/>
          <w:highlight w:val="none"/>
          <w:lang w:val="en-US" w:eastAsia="zh-CN"/>
        </w:rPr>
        <w:t>（10）采用单价合同时，工程变更和工程量清单缺陷导致</w:t>
      </w:r>
      <w:r>
        <w:rPr>
          <w:rFonts w:hint="eastAsia" w:hAnsi="宋体" w:cs="宋体"/>
          <w:color w:val="auto"/>
          <w:highlight w:val="none"/>
        </w:rPr>
        <w:t>工程量清单工程量偏差时，是否调整合同</w:t>
      </w:r>
      <w:r>
        <w:rPr>
          <w:rFonts w:hint="eastAsia" w:hAnsi="宋体" w:cs="宋体"/>
          <w:color w:val="auto"/>
          <w:highlight w:val="none"/>
          <w:lang w:eastAsia="zh-CN"/>
        </w:rPr>
        <w:t>单价</w:t>
      </w:r>
      <w:r>
        <w:rPr>
          <w:rFonts w:hint="eastAsia" w:hAnsi="宋体" w:cs="宋体"/>
          <w:color w:val="auto"/>
          <w:highlight w:val="none"/>
        </w:rPr>
        <w:t>：</w:t>
      </w:r>
      <w:r>
        <w:rPr>
          <w:rFonts w:hint="eastAsia" w:ascii="宋体" w:hAnsi="宋体" w:cs="宋体"/>
          <w:color w:val="auto"/>
          <w:highlight w:val="none"/>
          <w:u w:val="single"/>
        </w:rPr>
        <w:t>□</w:t>
      </w:r>
      <w:r>
        <w:rPr>
          <w:rFonts w:hint="eastAsia" w:hAnsi="宋体" w:cs="宋体"/>
          <w:color w:val="auto"/>
          <w:highlight w:val="none"/>
          <w:u w:val="single"/>
        </w:rPr>
        <w:t xml:space="preserve">是  </w:t>
      </w:r>
      <w:r>
        <w:rPr>
          <w:rFonts w:hint="eastAsia" w:ascii="宋体" w:hAnsi="宋体" w:cs="宋体"/>
          <w:color w:val="auto"/>
          <w:highlight w:val="none"/>
          <w:u w:val="single"/>
        </w:rPr>
        <w:t>□</w:t>
      </w:r>
      <w:r>
        <w:rPr>
          <w:rFonts w:hint="eastAsia" w:hAnsi="宋体" w:cs="宋体"/>
          <w:color w:val="auto"/>
          <w:highlight w:val="none"/>
          <w:u w:val="single"/>
        </w:rPr>
        <w:t>否</w:t>
      </w:r>
      <w:r>
        <w:rPr>
          <w:rFonts w:hint="eastAsia" w:hAnsi="宋体" w:cs="宋体"/>
          <w:color w:val="auto"/>
          <w:kern w:val="0"/>
          <w:highlight w:val="none"/>
        </w:rPr>
        <w:t>。</w:t>
      </w:r>
    </w:p>
    <w:p w14:paraId="240135BB">
      <w:pPr>
        <w:spacing w:line="360" w:lineRule="auto"/>
        <w:ind w:firstLine="420" w:firstLineChars="200"/>
        <w:rPr>
          <w:rFonts w:hint="eastAsia" w:hAnsi="宋体" w:cs="宋体"/>
          <w:color w:val="auto"/>
          <w:highlight w:val="none"/>
        </w:rPr>
      </w:pPr>
      <w:r>
        <w:rPr>
          <w:rFonts w:hint="eastAsia" w:ascii="宋体" w:hAnsi="宋体" w:cs="宋体"/>
          <w:b w:val="0"/>
          <w:bCs w:val="0"/>
          <w:color w:val="auto"/>
          <w:sz w:val="21"/>
          <w:szCs w:val="21"/>
          <w:highlight w:val="none"/>
          <w:lang w:val="en-US" w:eastAsia="zh-CN"/>
        </w:rPr>
        <w:t>除综合单价存在</w:t>
      </w:r>
      <w:r>
        <w:rPr>
          <w:rFonts w:hint="eastAsia" w:ascii="宋体" w:hAnsi="宋体" w:eastAsia="宋体" w:cs="宋体"/>
          <w:color w:val="auto"/>
          <w:spacing w:val="0"/>
          <w:sz w:val="21"/>
          <w:szCs w:val="21"/>
          <w:highlight w:val="none"/>
        </w:rPr>
        <w:t>非合理性偏低或偏高</w:t>
      </w:r>
      <w:r>
        <w:rPr>
          <w:rFonts w:hint="eastAsia" w:ascii="宋体" w:hAnsi="宋体" w:cs="宋体"/>
          <w:color w:val="auto"/>
          <w:spacing w:val="0"/>
          <w:sz w:val="21"/>
          <w:szCs w:val="21"/>
          <w:highlight w:val="none"/>
          <w:lang w:eastAsia="zh-CN"/>
        </w:rPr>
        <w:t>按合理修正综合单价计价外，</w:t>
      </w:r>
      <w:r>
        <w:rPr>
          <w:rFonts w:hint="eastAsia" w:hAnsi="宋体" w:cs="宋体"/>
          <w:color w:val="auto"/>
          <w:highlight w:val="none"/>
        </w:rPr>
        <w:t>允许调整合同价格的工程量偏差范围及其调整办法：</w:t>
      </w:r>
    </w:p>
    <w:p w14:paraId="0156A856">
      <w:pPr>
        <w:spacing w:line="360" w:lineRule="auto"/>
        <w:ind w:firstLine="420" w:firstLineChars="200"/>
        <w:rPr>
          <w:color w:val="auto"/>
          <w:kern w:val="0"/>
          <w:highlight w:val="none"/>
        </w:rPr>
      </w:pPr>
      <w:r>
        <w:rPr>
          <w:rFonts w:hint="eastAsia" w:ascii="宋体" w:hAnsi="宋体" w:cs="宋体"/>
          <w:color w:val="auto"/>
          <w:highlight w:val="none"/>
        </w:rPr>
        <w:t>□</w:t>
      </w:r>
      <w:r>
        <w:rPr>
          <w:color w:val="auto"/>
          <w:highlight w:val="none"/>
          <w:u w:val="single"/>
        </w:rPr>
        <w:t xml:space="preserve"> </w:t>
      </w:r>
      <w:r>
        <w:rPr>
          <w:rFonts w:hint="eastAsia"/>
          <w:color w:val="auto"/>
          <w:highlight w:val="none"/>
          <w:u w:val="single"/>
        </w:rPr>
        <w:t>无论分部分项工程量清单项目中的工程量变化多少均不调整</w:t>
      </w:r>
      <w:r>
        <w:rPr>
          <w:rFonts w:hint="eastAsia" w:hAnsi="宋体" w:cs="宋体"/>
          <w:color w:val="auto"/>
          <w:kern w:val="0"/>
          <w:highlight w:val="none"/>
        </w:rPr>
        <w:t>。</w:t>
      </w:r>
    </w:p>
    <w:p w14:paraId="58063511">
      <w:pPr>
        <w:spacing w:line="360" w:lineRule="auto"/>
        <w:ind w:firstLine="420" w:firstLineChars="200"/>
        <w:rPr>
          <w:rFonts w:hint="eastAsia"/>
          <w:color w:val="auto"/>
          <w:highlight w:val="none"/>
          <w:lang w:val="en-US" w:eastAsia="zh-CN"/>
        </w:rPr>
      </w:pPr>
      <w:r>
        <w:rPr>
          <w:rFonts w:hint="eastAsia" w:ascii="宋体" w:hAnsi="宋体" w:cs="宋体"/>
          <w:color w:val="auto"/>
          <w:highlight w:val="none"/>
        </w:rPr>
        <w:t>□</w:t>
      </w:r>
      <w:r>
        <w:rPr>
          <w:rFonts w:hint="eastAsia" w:ascii="宋体" w:hAnsi="宋体" w:cs="宋体"/>
          <w:color w:val="auto"/>
          <w:highlight w:val="none"/>
          <w:lang w:val="en-US" w:eastAsia="zh-CN"/>
        </w:rPr>
        <w:t xml:space="preserve"> </w:t>
      </w:r>
      <w:r>
        <w:rPr>
          <w:rFonts w:hint="eastAsia" w:ascii="Calibri" w:hAnsi="宋体" w:cs="宋体"/>
          <w:color w:val="auto"/>
          <w:highlight w:val="none"/>
          <w:u w:val="single"/>
        </w:rPr>
        <w:t>承包人实际完成的某单项清单项目工程量与招标工程量清单工程量偏差超过    %</w:t>
      </w:r>
      <w:r>
        <w:rPr>
          <w:rFonts w:hint="eastAsia" w:ascii="Calibri" w:hAnsi="宋体" w:cs="宋体"/>
          <w:color w:val="auto"/>
          <w:highlight w:val="none"/>
          <w:u w:val="single"/>
          <w:lang w:eastAsia="zh-CN"/>
        </w:rPr>
        <w:t>（取值不低于</w:t>
      </w:r>
      <w:r>
        <w:rPr>
          <w:rFonts w:hint="eastAsia" w:ascii="Calibri" w:hAnsi="宋体" w:cs="宋体"/>
          <w:color w:val="auto"/>
          <w:highlight w:val="none"/>
          <w:u w:val="single"/>
          <w:lang w:val="en-US" w:eastAsia="zh-CN"/>
        </w:rPr>
        <w:t>15%</w:t>
      </w:r>
      <w:r>
        <w:rPr>
          <w:rFonts w:hint="eastAsia" w:ascii="Calibri" w:hAnsi="宋体" w:cs="宋体"/>
          <w:color w:val="auto"/>
          <w:highlight w:val="none"/>
          <w:u w:val="single"/>
          <w:lang w:eastAsia="zh-CN"/>
        </w:rPr>
        <w:t>）</w:t>
      </w:r>
      <w:r>
        <w:rPr>
          <w:rFonts w:hint="eastAsia" w:ascii="Calibri" w:hAnsi="宋体" w:cs="宋体"/>
          <w:color w:val="auto"/>
          <w:highlight w:val="none"/>
          <w:u w:val="single"/>
        </w:rPr>
        <w:t>且该单项清单</w:t>
      </w:r>
      <w:r>
        <w:rPr>
          <w:rFonts w:hint="eastAsia" w:ascii="Calibri" w:hAnsi="宋体" w:cs="宋体"/>
          <w:color w:val="auto"/>
          <w:highlight w:val="none"/>
          <w:u w:val="single"/>
          <w:lang w:eastAsia="zh-CN"/>
        </w:rPr>
        <w:t>总价</w:t>
      </w:r>
      <w:r>
        <w:rPr>
          <w:rFonts w:hint="eastAsia" w:ascii="Calibri" w:hAnsi="宋体" w:cs="宋体"/>
          <w:color w:val="auto"/>
          <w:highlight w:val="none"/>
          <w:u w:val="single"/>
        </w:rPr>
        <w:t>超过清单项目所对应单位工程合同总价  %</w:t>
      </w:r>
      <w:r>
        <w:rPr>
          <w:rFonts w:hint="eastAsia" w:ascii="Calibri" w:hAnsi="宋体" w:cs="宋体"/>
          <w:color w:val="auto"/>
          <w:highlight w:val="none"/>
          <w:u w:val="single"/>
          <w:lang w:eastAsia="zh-CN"/>
        </w:rPr>
        <w:t>（取值不低于</w:t>
      </w:r>
      <w:r>
        <w:rPr>
          <w:rFonts w:hint="eastAsia" w:ascii="Calibri" w:hAnsi="宋体" w:cs="宋体"/>
          <w:color w:val="auto"/>
          <w:highlight w:val="none"/>
          <w:u w:val="single"/>
          <w:lang w:val="en-US" w:eastAsia="zh-CN"/>
        </w:rPr>
        <w:t>1%</w:t>
      </w:r>
      <w:r>
        <w:rPr>
          <w:rFonts w:hint="eastAsia" w:ascii="Calibri" w:hAnsi="宋体" w:cs="宋体"/>
          <w:color w:val="auto"/>
          <w:highlight w:val="none"/>
          <w:u w:val="single"/>
          <w:lang w:eastAsia="zh-CN"/>
        </w:rPr>
        <w:t>）</w:t>
      </w:r>
      <w:r>
        <w:rPr>
          <w:rFonts w:hint="eastAsia" w:ascii="Calibri" w:hAnsi="宋体" w:cs="宋体"/>
          <w:color w:val="auto"/>
          <w:highlight w:val="none"/>
          <w:u w:val="single"/>
        </w:rPr>
        <w:t>以上的，超过后增加部分工程量或减少后剩余部分工程量的综合单价按以下方法调整：                    。</w:t>
      </w:r>
    </w:p>
    <w:p w14:paraId="79839F54">
      <w:pPr>
        <w:spacing w:line="360" w:lineRule="auto"/>
        <w:ind w:firstLine="0" w:firstLineChars="0"/>
        <w:jc w:val="left"/>
        <w:rPr>
          <w:rFonts w:hint="eastAsia" w:hAnsi="宋体" w:cs="宋体"/>
          <w:color w:val="auto"/>
          <w:kern w:val="0"/>
          <w:highlight w:val="none"/>
        </w:rPr>
      </w:pPr>
      <w:r>
        <w:rPr>
          <w:rFonts w:hint="eastAsia" w:hAnsi="宋体" w:cs="宋体"/>
          <w:color w:val="auto"/>
          <w:kern w:val="0"/>
          <w:highlight w:val="none"/>
        </w:rPr>
        <w:t xml:space="preserve">    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4</w:t>
      </w:r>
      <w:r>
        <w:rPr>
          <w:rFonts w:hint="eastAsia" w:hAnsi="宋体" w:cs="宋体"/>
          <w:color w:val="auto"/>
          <w:kern w:val="0"/>
          <w:highlight w:val="none"/>
        </w:rPr>
        <w:t>.</w:t>
      </w:r>
      <w:r>
        <w:rPr>
          <w:rFonts w:hint="eastAsia" w:hAnsi="宋体" w:cs="宋体"/>
          <w:color w:val="auto"/>
          <w:kern w:val="0"/>
          <w:highlight w:val="none"/>
          <w:lang w:val="en-US" w:eastAsia="zh-CN"/>
        </w:rPr>
        <w:t>2</w:t>
      </w:r>
      <w:r>
        <w:rPr>
          <w:rFonts w:hint="eastAsia" w:hAnsi="宋体" w:cs="宋体"/>
          <w:color w:val="auto"/>
          <w:kern w:val="0"/>
          <w:highlight w:val="none"/>
        </w:rPr>
        <w:t xml:space="preserve"> </w:t>
      </w:r>
      <w:r>
        <w:rPr>
          <w:rFonts w:hint="eastAsia" w:hAnsi="宋体" w:cs="宋体"/>
          <w:color w:val="auto"/>
          <w:kern w:val="0"/>
          <w:highlight w:val="none"/>
          <w:lang w:eastAsia="zh-CN"/>
        </w:rPr>
        <w:t>因</w:t>
      </w:r>
      <w:r>
        <w:rPr>
          <w:rFonts w:hint="eastAsia" w:hAnsi="宋体" w:cs="宋体"/>
          <w:color w:val="auto"/>
          <w:kern w:val="0"/>
          <w:highlight w:val="none"/>
        </w:rPr>
        <w:t>工程变更或发包人责任事件引起合同工期实质性延长或缩短的，按以下公式计算合同工期影响的措施项目调增（减）价格：</w:t>
      </w:r>
    </w:p>
    <w:p w14:paraId="69968296">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措施项目调增（减）价格＝延长（缩短）工期×措施项目中期运行费用</w:t>
      </w:r>
      <w:r>
        <w:rPr>
          <w:rFonts w:hint="eastAsia" w:hAnsi="宋体" w:cs="宋体"/>
          <w:color w:val="auto"/>
          <w:kern w:val="0"/>
          <w:highlight w:val="none"/>
          <w:lang w:val="en-US" w:eastAsia="zh-CN"/>
        </w:rPr>
        <w:t>÷</w:t>
      </w:r>
      <w:r>
        <w:rPr>
          <w:rFonts w:hint="eastAsia" w:hAnsi="宋体" w:cs="宋体"/>
          <w:color w:val="auto"/>
          <w:kern w:val="0"/>
          <w:highlight w:val="none"/>
        </w:rPr>
        <w:t>合同工期</w:t>
      </w:r>
    </w:p>
    <w:p w14:paraId="408987FC">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措施项目中期运行费用——按本合同</w:t>
      </w:r>
      <w:r>
        <w:rPr>
          <w:rFonts w:hint="eastAsia" w:hAnsi="宋体" w:cs="宋体"/>
          <w:color w:val="auto"/>
          <w:kern w:val="0"/>
          <w:highlight w:val="none"/>
          <w:lang w:eastAsia="zh-CN"/>
        </w:rPr>
        <w:t>附件</w:t>
      </w:r>
      <w:r>
        <w:rPr>
          <w:rFonts w:hint="eastAsia" w:hAnsi="宋体" w:cs="宋体"/>
          <w:color w:val="auto"/>
          <w:kern w:val="0"/>
          <w:highlight w:val="none"/>
          <w:lang w:val="en-US" w:eastAsia="zh-CN"/>
        </w:rPr>
        <w:t>15</w:t>
      </w:r>
      <w:r>
        <w:rPr>
          <w:rFonts w:hint="eastAsia" w:hAnsi="宋体" w:cs="宋体"/>
          <w:color w:val="auto"/>
          <w:kern w:val="0"/>
          <w:highlight w:val="none"/>
        </w:rPr>
        <w:t>《措施项目费用分拆表》计算合同清单中所有受影响措施项目的中期运行费用。</w:t>
      </w:r>
    </w:p>
    <w:p w14:paraId="4108E8EA">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4</w:t>
      </w:r>
      <w:r>
        <w:rPr>
          <w:rFonts w:hint="eastAsia" w:hAnsi="宋体" w:cs="宋体"/>
          <w:color w:val="auto"/>
          <w:kern w:val="0"/>
          <w:highlight w:val="none"/>
        </w:rPr>
        <w:t>.</w:t>
      </w:r>
      <w:r>
        <w:rPr>
          <w:rFonts w:hint="eastAsia" w:hAnsi="宋体" w:cs="宋体"/>
          <w:color w:val="auto"/>
          <w:kern w:val="0"/>
          <w:highlight w:val="none"/>
          <w:lang w:val="en-US" w:eastAsia="zh-CN"/>
        </w:rPr>
        <w:t>3</w:t>
      </w:r>
      <w:r>
        <w:rPr>
          <w:rFonts w:hint="eastAsia" w:hAnsi="宋体" w:cs="宋体"/>
          <w:color w:val="auto"/>
          <w:kern w:val="0"/>
          <w:highlight w:val="none"/>
        </w:rPr>
        <w:t xml:space="preserve"> 为完成工程变更而需增加的额外措施项目费用应按以下约定计算：</w:t>
      </w:r>
    </w:p>
    <w:p w14:paraId="7317A517">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完成工程变更所需增加设置的临时设施，按实际发生临时设施的类型、数量及使用时间进行计量，由发承包双方协商确定的合理价格进行计价。</w:t>
      </w:r>
    </w:p>
    <w:p w14:paraId="212021EC">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4</w:t>
      </w:r>
      <w:r>
        <w:rPr>
          <w:rFonts w:hint="eastAsia" w:hAnsi="宋体" w:cs="宋体"/>
          <w:color w:val="auto"/>
          <w:kern w:val="0"/>
          <w:highlight w:val="none"/>
        </w:rPr>
        <w:t>.</w:t>
      </w:r>
      <w:r>
        <w:rPr>
          <w:rFonts w:hint="eastAsia" w:hAnsi="宋体" w:cs="宋体"/>
          <w:color w:val="auto"/>
          <w:kern w:val="0"/>
          <w:highlight w:val="none"/>
          <w:lang w:val="en-US" w:eastAsia="zh-CN"/>
        </w:rPr>
        <w:t>4</w:t>
      </w:r>
      <w:r>
        <w:rPr>
          <w:rFonts w:hint="eastAsia" w:hAnsi="宋体" w:cs="宋体"/>
          <w:color w:val="auto"/>
          <w:kern w:val="0"/>
          <w:highlight w:val="none"/>
        </w:rPr>
        <w:t>工程变更涉及合同工程范围、工期、质量、合同规范等实质性内容变化并引起措施项目发生改变时，发承包双方的不利一方提出调整措施项目费的，应事先将拟实施的方案提交另一方审核，</w:t>
      </w:r>
      <w:r>
        <w:rPr>
          <w:rFonts w:hint="eastAsia" w:hAnsi="宋体" w:cs="宋体"/>
          <w:color w:val="auto"/>
          <w:kern w:val="0"/>
          <w:highlight w:val="none"/>
          <w:lang w:eastAsia="zh-CN"/>
        </w:rPr>
        <w:t>并</w:t>
      </w:r>
      <w:r>
        <w:rPr>
          <w:rFonts w:hint="eastAsia" w:hAnsi="宋体" w:cs="宋体"/>
          <w:color w:val="auto"/>
          <w:kern w:val="0"/>
          <w:highlight w:val="none"/>
        </w:rPr>
        <w:t>详细说明与原方案措施项目对比的变化情况</w:t>
      </w:r>
      <w:r>
        <w:rPr>
          <w:rFonts w:hint="eastAsia" w:hAnsi="宋体" w:cs="宋体"/>
          <w:color w:val="auto"/>
          <w:kern w:val="0"/>
          <w:highlight w:val="none"/>
          <w:lang w:eastAsia="zh-CN"/>
        </w:rPr>
        <w:t>，</w:t>
      </w:r>
      <w:r>
        <w:rPr>
          <w:rFonts w:hint="eastAsia" w:hAnsi="宋体" w:cs="宋体"/>
          <w:color w:val="auto"/>
          <w:kern w:val="0"/>
          <w:highlight w:val="none"/>
        </w:rPr>
        <w:t xml:space="preserve">拟实施的方案经发承包双方确认后执行的，应按本合同第 </w:t>
      </w:r>
      <w:r>
        <w:rPr>
          <w:rFonts w:hint="eastAsia" w:hAnsi="宋体" w:cs="宋体"/>
          <w:color w:val="auto"/>
          <w:kern w:val="0"/>
          <w:highlight w:val="none"/>
          <w:lang w:val="en-US" w:eastAsia="zh-CN"/>
        </w:rPr>
        <w:t>10.4.2</w:t>
      </w:r>
      <w:r>
        <w:rPr>
          <w:rFonts w:hint="eastAsia" w:hAnsi="宋体" w:cs="宋体"/>
          <w:color w:val="auto"/>
          <w:kern w:val="0"/>
          <w:highlight w:val="none"/>
        </w:rPr>
        <w:t>条、第</w:t>
      </w:r>
      <w:r>
        <w:rPr>
          <w:rFonts w:hint="eastAsia" w:hAnsi="宋体" w:cs="宋体"/>
          <w:color w:val="auto"/>
          <w:kern w:val="0"/>
          <w:highlight w:val="none"/>
          <w:lang w:val="en-US" w:eastAsia="zh-CN"/>
        </w:rPr>
        <w:t>10.4.3</w:t>
      </w:r>
      <w:r>
        <w:rPr>
          <w:rFonts w:hint="eastAsia" w:hAnsi="宋体" w:cs="宋体"/>
          <w:color w:val="auto"/>
          <w:kern w:val="0"/>
          <w:highlight w:val="none"/>
        </w:rPr>
        <w:t>条的约定调整措施项目费。</w:t>
      </w:r>
    </w:p>
    <w:p w14:paraId="10AC898B">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4</w:t>
      </w:r>
      <w:r>
        <w:rPr>
          <w:rFonts w:hint="eastAsia" w:hAnsi="宋体" w:cs="宋体"/>
          <w:color w:val="auto"/>
          <w:kern w:val="0"/>
          <w:highlight w:val="none"/>
        </w:rPr>
        <w:t>.</w:t>
      </w:r>
      <w:r>
        <w:rPr>
          <w:rFonts w:hint="eastAsia" w:hAnsi="宋体" w:cs="宋体"/>
          <w:color w:val="auto"/>
          <w:kern w:val="0"/>
          <w:highlight w:val="none"/>
          <w:lang w:val="en-US" w:eastAsia="zh-CN"/>
        </w:rPr>
        <w:t>5</w:t>
      </w:r>
      <w:r>
        <w:rPr>
          <w:rFonts w:hint="eastAsia" w:hAnsi="宋体" w:cs="宋体"/>
          <w:color w:val="auto"/>
          <w:kern w:val="0"/>
          <w:highlight w:val="none"/>
        </w:rPr>
        <w:t xml:space="preserve"> 发包人提出的工程变更取消了合同中的某项原定工作或工程，且承包人发生的费用或（和）应得的收益没有包括在其他已支付或应支付的项目中或在任何替代的工作或工程中，发包人应补偿承包人的损失费用及合理的预期收益。 </w:t>
      </w:r>
    </w:p>
    <w:p w14:paraId="7E40EC31">
      <w:pPr>
        <w:pStyle w:val="5"/>
        <w:rPr>
          <w:color w:val="auto"/>
          <w:highlight w:val="none"/>
        </w:rPr>
      </w:pPr>
      <w:bookmarkStart w:id="1382" w:name="_Toc78449832"/>
      <w:bookmarkStart w:id="1383" w:name="_Toc2996"/>
      <w:bookmarkStart w:id="1384" w:name="_Toc373478390"/>
      <w:bookmarkStart w:id="1385" w:name="_Toc650800266"/>
      <w:bookmarkStart w:id="1386" w:name="_Toc389065309"/>
      <w:bookmarkStart w:id="1387" w:name="_Toc27214"/>
      <w:bookmarkStart w:id="1388" w:name="_Toc407135246"/>
      <w:bookmarkStart w:id="1389" w:name="_Toc373227743"/>
      <w:r>
        <w:rPr>
          <w:color w:val="auto"/>
          <w:highlight w:val="none"/>
        </w:rPr>
        <w:t>1</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Start w:id="1390" w:name="_Toc296944536"/>
      <w:bookmarkStart w:id="1391" w:name="_Toc296503197"/>
      <w:bookmarkStart w:id="1392" w:name="_Toc297120497"/>
      <w:bookmarkStart w:id="1393" w:name="_Toc296891025"/>
      <w:bookmarkStart w:id="1394" w:name="_Toc296346698"/>
      <w:bookmarkStart w:id="1395" w:name="_Toc297048383"/>
      <w:bookmarkStart w:id="1396" w:name="_Toc297123544"/>
      <w:bookmarkStart w:id="1397" w:name="_Toc303539150"/>
      <w:bookmarkStart w:id="1398" w:name="_Toc296347196"/>
      <w:bookmarkStart w:id="1399" w:name="_Toc296891237"/>
      <w:bookmarkStart w:id="1400" w:name="_Toc300934993"/>
      <w:bookmarkStart w:id="1401" w:name="_Toc292559907"/>
      <w:bookmarkStart w:id="1402" w:name="_Toc292559402"/>
      <w:bookmarkStart w:id="1403" w:name="_Toc297216203"/>
      <w:bookmarkStart w:id="1404" w:name="_Toc312677503"/>
      <w:bookmarkStart w:id="1405" w:name="_Toc312678029"/>
      <w:bookmarkStart w:id="1406" w:name="_Toc304295570"/>
      <w:r>
        <w:rPr>
          <w:color w:val="auto"/>
          <w:highlight w:val="none"/>
        </w:rPr>
        <w:t xml:space="preserve">0.5 </w:t>
      </w:r>
      <w:r>
        <w:rPr>
          <w:rFonts w:hint="eastAsia" w:cs="黑体"/>
          <w:color w:val="auto"/>
          <w:highlight w:val="none"/>
        </w:rPr>
        <w:t>承</w:t>
      </w:r>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Start w:id="1407" w:name="_Toc297216204"/>
      <w:bookmarkStart w:id="1408" w:name="_Toc292559913"/>
      <w:bookmarkStart w:id="1409" w:name="_Toc292559408"/>
      <w:bookmarkStart w:id="1410" w:name="_Toc297123545"/>
      <w:bookmarkStart w:id="1411" w:name="_Toc296891243"/>
      <w:bookmarkStart w:id="1412" w:name="_Toc297120503"/>
      <w:bookmarkStart w:id="1413" w:name="_Toc296891031"/>
      <w:bookmarkStart w:id="1414" w:name="_Toc303539151"/>
      <w:bookmarkStart w:id="1415" w:name="_Toc296503203"/>
      <w:bookmarkStart w:id="1416" w:name="_Toc296346704"/>
      <w:bookmarkStart w:id="1417" w:name="_Toc300934994"/>
      <w:bookmarkStart w:id="1418" w:name="_Toc296347202"/>
      <w:bookmarkStart w:id="1419" w:name="_Toc297048389"/>
      <w:bookmarkStart w:id="1420" w:name="_Toc296944542"/>
      <w:r>
        <w:rPr>
          <w:rFonts w:hint="eastAsia" w:cs="黑体"/>
          <w:color w:val="auto"/>
          <w:highlight w:val="none"/>
        </w:rPr>
        <w:t>包人的合理化建议</w:t>
      </w:r>
      <w:bookmarkEnd w:id="1382"/>
      <w:bookmarkEnd w:id="1383"/>
      <w:bookmarkEnd w:id="1384"/>
      <w:bookmarkEnd w:id="1385"/>
      <w:bookmarkEnd w:id="1386"/>
      <w:bookmarkEnd w:id="1387"/>
      <w:bookmarkEnd w:id="1388"/>
      <w:bookmarkEnd w:id="1389"/>
    </w:p>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14:paraId="420F8CCC">
      <w:pPr>
        <w:spacing w:line="360" w:lineRule="auto"/>
        <w:ind w:firstLine="420" w:firstLineChars="200"/>
        <w:jc w:val="left"/>
        <w:rPr>
          <w:color w:val="auto"/>
          <w:highlight w:val="none"/>
        </w:rPr>
      </w:pPr>
      <w:r>
        <w:rPr>
          <w:rFonts w:hint="eastAsia" w:hAnsi="宋体" w:cs="宋体"/>
          <w:color w:val="auto"/>
          <w:highlight w:val="none"/>
        </w:rPr>
        <w:t>监理人审查承包人合理化建议的期限：</w:t>
      </w:r>
      <w:r>
        <w:rPr>
          <w:color w:val="auto"/>
          <w:highlight w:val="none"/>
          <w:u w:val="single"/>
        </w:rPr>
        <w:t xml:space="preserve"> </w:t>
      </w:r>
      <w:r>
        <w:rPr>
          <w:rFonts w:hint="eastAsia" w:ascii="宋体" w:hAnsi="宋体"/>
          <w:color w:val="auto"/>
          <w:kern w:val="0"/>
          <w:szCs w:val="21"/>
          <w:u w:val="single" w:color="000000"/>
        </w:rPr>
        <w:t>收到承包人建议后七日内</w:t>
      </w:r>
      <w:r>
        <w:rPr>
          <w:color w:val="auto"/>
          <w:highlight w:val="none"/>
          <w:u w:val="single"/>
        </w:rPr>
        <w:t xml:space="preserve">                   </w:t>
      </w:r>
      <w:r>
        <w:rPr>
          <w:rFonts w:hint="eastAsia" w:hAnsi="宋体" w:cs="宋体"/>
          <w:color w:val="auto"/>
          <w:highlight w:val="none"/>
        </w:rPr>
        <w:t>。</w:t>
      </w:r>
    </w:p>
    <w:p w14:paraId="30D4B728">
      <w:pPr>
        <w:spacing w:line="360" w:lineRule="auto"/>
        <w:ind w:firstLine="420" w:firstLineChars="200"/>
        <w:jc w:val="left"/>
        <w:rPr>
          <w:color w:val="auto"/>
          <w:highlight w:val="none"/>
        </w:rPr>
      </w:pPr>
      <w:r>
        <w:rPr>
          <w:rFonts w:hint="eastAsia" w:hAnsi="宋体" w:cs="宋体"/>
          <w:color w:val="auto"/>
          <w:highlight w:val="none"/>
        </w:rPr>
        <w:t>发包人审批承包人合理化建议的期限：</w:t>
      </w:r>
      <w:r>
        <w:rPr>
          <w:color w:val="auto"/>
          <w:highlight w:val="none"/>
          <w:u w:val="single"/>
        </w:rPr>
        <w:t xml:space="preserve">     </w:t>
      </w:r>
      <w:r>
        <w:rPr>
          <w:rFonts w:hint="eastAsia" w:ascii="宋体" w:hAnsi="宋体"/>
          <w:color w:val="auto"/>
          <w:kern w:val="0"/>
          <w:szCs w:val="21"/>
          <w:u w:val="single" w:color="000000"/>
        </w:rPr>
        <w:t>收到承包人建议后七日内</w:t>
      </w:r>
      <w:r>
        <w:rPr>
          <w:color w:val="auto"/>
          <w:highlight w:val="none"/>
          <w:u w:val="single"/>
        </w:rPr>
        <w:t xml:space="preserve">               </w:t>
      </w:r>
      <w:r>
        <w:rPr>
          <w:rFonts w:hint="eastAsia" w:hAnsi="宋体" w:cs="宋体"/>
          <w:color w:val="auto"/>
          <w:highlight w:val="none"/>
        </w:rPr>
        <w:t>。</w:t>
      </w:r>
    </w:p>
    <w:p w14:paraId="42CEA04D">
      <w:pPr>
        <w:spacing w:line="360" w:lineRule="auto"/>
        <w:ind w:firstLine="420" w:firstLineChars="200"/>
        <w:jc w:val="left"/>
        <w:rPr>
          <w:color w:val="auto"/>
          <w:highlight w:val="none"/>
          <w:u w:val="single"/>
        </w:rPr>
      </w:pPr>
      <w:r>
        <w:rPr>
          <w:rFonts w:hint="eastAsia" w:hAnsi="宋体" w:cs="宋体"/>
          <w:color w:val="auto"/>
          <w:highlight w:val="none"/>
        </w:rPr>
        <w:t>承</w:t>
      </w:r>
      <w:bookmarkStart w:id="1421" w:name="_Toc300934995"/>
      <w:bookmarkStart w:id="1422" w:name="_Toc297048390"/>
      <w:bookmarkStart w:id="1423" w:name="_Toc292559914"/>
      <w:bookmarkStart w:id="1424" w:name="_Toc297216205"/>
      <w:bookmarkStart w:id="1425" w:name="_Toc297120504"/>
      <w:bookmarkStart w:id="1426" w:name="_Toc296503204"/>
      <w:bookmarkStart w:id="1427" w:name="_Toc304295571"/>
      <w:bookmarkStart w:id="1428" w:name="_Toc318581175"/>
      <w:bookmarkStart w:id="1429" w:name="_Toc296346705"/>
      <w:bookmarkStart w:id="1430" w:name="_Toc296944543"/>
      <w:bookmarkStart w:id="1431" w:name="_Toc303539152"/>
      <w:bookmarkStart w:id="1432" w:name="_Toc296347203"/>
      <w:bookmarkStart w:id="1433" w:name="_Toc312678030"/>
      <w:bookmarkStart w:id="1434" w:name="_Toc292559409"/>
      <w:bookmarkStart w:id="1435" w:name="_Toc312677504"/>
      <w:bookmarkStart w:id="1436" w:name="_Toc296891244"/>
      <w:bookmarkStart w:id="1437" w:name="_Toc297123546"/>
      <w:bookmarkStart w:id="1438" w:name="_Toc296891032"/>
      <w:r>
        <w:rPr>
          <w:rFonts w:hint="eastAsia" w:hAnsi="宋体" w:cs="宋体"/>
          <w:color w:val="auto"/>
          <w:highlight w:val="none"/>
        </w:rPr>
        <w:t>包人提出的合理化建议降低了合同价格或者提高了工程经济效益的奖励的方法和金额为：</w:t>
      </w:r>
      <w:r>
        <w:rPr>
          <w:color w:val="auto"/>
          <w:highlight w:val="none"/>
          <w:u w:val="single"/>
        </w:rPr>
        <w:t xml:space="preserve">                        </w:t>
      </w:r>
      <w:r>
        <w:rPr>
          <w:rFonts w:hint="eastAsia"/>
          <w:color w:val="auto"/>
          <w:highlight w:val="none"/>
          <w:u w:val="single"/>
          <w:lang w:val="en-US" w:eastAsia="zh-CN"/>
        </w:rPr>
        <w:t>无</w:t>
      </w:r>
      <w:r>
        <w:rPr>
          <w:color w:val="auto"/>
          <w:highlight w:val="none"/>
          <w:u w:val="single"/>
        </w:rPr>
        <w:t xml:space="preserve">     </w:t>
      </w:r>
      <w:r>
        <w:rPr>
          <w:rFonts w:hint="eastAsia" w:hAnsi="宋体" w:cs="宋体"/>
          <w:color w:val="auto"/>
          <w:highlight w:val="none"/>
        </w:rPr>
        <w:t>。</w:t>
      </w:r>
    </w:p>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p w14:paraId="3EB5874B">
      <w:pPr>
        <w:pStyle w:val="5"/>
        <w:rPr>
          <w:color w:val="auto"/>
          <w:highlight w:val="none"/>
        </w:rPr>
      </w:pPr>
      <w:bookmarkStart w:id="1439" w:name="_Toc389065310"/>
      <w:bookmarkStart w:id="1440" w:name="_Toc2045792355"/>
      <w:bookmarkStart w:id="1441" w:name="_Toc407135247"/>
      <w:bookmarkStart w:id="1442" w:name="_Toc373478391"/>
      <w:bookmarkStart w:id="1443" w:name="_Toc373227744"/>
      <w:bookmarkStart w:id="1444" w:name="_Toc30086"/>
      <w:bookmarkStart w:id="1445" w:name="_Toc10238"/>
      <w:bookmarkStart w:id="1446" w:name="_Toc78449833"/>
      <w:r>
        <w:rPr>
          <w:color w:val="auto"/>
          <w:highlight w:val="none"/>
        </w:rPr>
        <w:t>1</w:t>
      </w:r>
      <w:bookmarkStart w:id="1447" w:name="_Toc300934997"/>
      <w:bookmarkStart w:id="1448" w:name="_Toc296346700"/>
      <w:bookmarkStart w:id="1449" w:name="_Toc296891027"/>
      <w:bookmarkStart w:id="1450" w:name="_Toc296944538"/>
      <w:bookmarkStart w:id="1451" w:name="_Toc312677507"/>
      <w:bookmarkStart w:id="1452" w:name="_Toc312678033"/>
      <w:bookmarkStart w:id="1453" w:name="_Toc296891239"/>
      <w:bookmarkStart w:id="1454" w:name="_Toc296503199"/>
      <w:bookmarkStart w:id="1455" w:name="_Toc304295574"/>
      <w:bookmarkStart w:id="1456" w:name="_Toc292559909"/>
      <w:bookmarkStart w:id="1457" w:name="_Toc297123548"/>
      <w:bookmarkStart w:id="1458" w:name="_Toc297048385"/>
      <w:bookmarkStart w:id="1459" w:name="_Toc297120499"/>
      <w:bookmarkStart w:id="1460" w:name="_Toc303539154"/>
      <w:bookmarkStart w:id="1461" w:name="_Toc297216207"/>
      <w:bookmarkStart w:id="1462" w:name="_Toc292559404"/>
      <w:bookmarkStart w:id="1463" w:name="_Toc296347198"/>
      <w:r>
        <w:rPr>
          <w:color w:val="auto"/>
          <w:highlight w:val="none"/>
        </w:rPr>
        <w:t xml:space="preserve">0.7 </w:t>
      </w:r>
      <w:r>
        <w:rPr>
          <w:rFonts w:hint="eastAsia" w:hAnsi="宋体" w:cs="黑体"/>
          <w:color w:val="auto"/>
          <w:highlight w:val="none"/>
        </w:rPr>
        <w:t>暂估价</w:t>
      </w:r>
      <w:bookmarkEnd w:id="1439"/>
      <w:bookmarkEnd w:id="1440"/>
      <w:bookmarkEnd w:id="1441"/>
      <w:bookmarkEnd w:id="1442"/>
      <w:bookmarkEnd w:id="1443"/>
      <w:bookmarkEnd w:id="1444"/>
      <w:bookmarkEnd w:id="1445"/>
      <w:bookmarkEnd w:id="1446"/>
    </w:p>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14:paraId="07833AF0">
      <w:pPr>
        <w:spacing w:line="360" w:lineRule="auto"/>
        <w:ind w:firstLine="420" w:firstLineChars="200"/>
        <w:jc w:val="left"/>
        <w:rPr>
          <w:color w:val="auto"/>
          <w:highlight w:val="none"/>
        </w:rPr>
      </w:pPr>
      <w:r>
        <w:rPr>
          <w:rFonts w:hint="eastAsia" w:hAnsi="宋体" w:cs="宋体"/>
          <w:color w:val="auto"/>
          <w:kern w:val="0"/>
          <w:highlight w:val="none"/>
        </w:rPr>
        <w:t>暂估价材料和工程设备的明细详见已标价工程量清单《</w:t>
      </w:r>
      <w:r>
        <w:rPr>
          <w:rFonts w:hint="eastAsia" w:cs="宋体"/>
          <w:color w:val="auto"/>
          <w:highlight w:val="none"/>
        </w:rPr>
        <w:t>材料暂估</w:t>
      </w:r>
      <w:r>
        <w:rPr>
          <w:rFonts w:hint="eastAsia" w:cs="宋体"/>
          <w:color w:val="auto"/>
          <w:highlight w:val="none"/>
          <w:lang w:eastAsia="zh-CN"/>
        </w:rPr>
        <w:t>价</w:t>
      </w:r>
      <w:r>
        <w:rPr>
          <w:rFonts w:hint="eastAsia" w:cs="宋体"/>
          <w:color w:val="auto"/>
          <w:highlight w:val="none"/>
          <w:lang w:val="en-US" w:eastAsia="zh-CN"/>
        </w:rPr>
        <w:t>明细</w:t>
      </w:r>
      <w:r>
        <w:rPr>
          <w:rFonts w:hint="eastAsia" w:cs="宋体"/>
          <w:color w:val="auto"/>
          <w:highlight w:val="none"/>
        </w:rPr>
        <w:t>表》</w:t>
      </w:r>
      <w:r>
        <w:rPr>
          <w:rFonts w:hint="eastAsia" w:hAnsi="宋体" w:cs="宋体"/>
          <w:color w:val="auto"/>
          <w:kern w:val="0"/>
          <w:highlight w:val="none"/>
        </w:rPr>
        <w:t>和《</w:t>
      </w:r>
      <w:r>
        <w:rPr>
          <w:rFonts w:hint="eastAsia" w:cs="宋体"/>
          <w:color w:val="auto"/>
          <w:highlight w:val="none"/>
        </w:rPr>
        <w:t>专业工程暂估价</w:t>
      </w:r>
      <w:r>
        <w:rPr>
          <w:rFonts w:hint="eastAsia" w:cs="宋体"/>
          <w:color w:val="auto"/>
          <w:highlight w:val="none"/>
          <w:lang w:val="en-US" w:eastAsia="zh-CN"/>
        </w:rPr>
        <w:t>明细</w:t>
      </w:r>
      <w:r>
        <w:rPr>
          <w:rFonts w:hint="eastAsia" w:cs="宋体"/>
          <w:color w:val="auto"/>
          <w:highlight w:val="none"/>
        </w:rPr>
        <w:t>表》</w:t>
      </w:r>
      <w:r>
        <w:rPr>
          <w:rFonts w:hint="eastAsia" w:hAnsi="宋体" w:cs="宋体"/>
          <w:color w:val="auto"/>
          <w:kern w:val="0"/>
          <w:highlight w:val="none"/>
        </w:rPr>
        <w:t>。</w:t>
      </w:r>
    </w:p>
    <w:p w14:paraId="434C2BC7">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7</w:t>
      </w:r>
      <w:r>
        <w:rPr>
          <w:rFonts w:hint="eastAsia" w:hAnsi="宋体" w:cs="宋体"/>
          <w:color w:val="auto"/>
          <w:kern w:val="0"/>
          <w:highlight w:val="none"/>
        </w:rPr>
        <w:t>.1工程量清单中给定暂估价的材料和（或）暂估价的专业工程属于依法必须招标的，应以招标确定材料及</w:t>
      </w:r>
      <w:r>
        <w:rPr>
          <w:rFonts w:hint="eastAsia" w:hAnsi="宋体" w:cs="宋体"/>
          <w:color w:val="auto"/>
          <w:kern w:val="0"/>
          <w:highlight w:val="none"/>
          <w:lang w:eastAsia="zh-CN"/>
        </w:rPr>
        <w:t>专业工程</w:t>
      </w:r>
      <w:r>
        <w:rPr>
          <w:rFonts w:hint="eastAsia" w:hAnsi="宋体" w:cs="宋体"/>
          <w:color w:val="auto"/>
          <w:kern w:val="0"/>
          <w:highlight w:val="none"/>
        </w:rPr>
        <w:t>价格，发承包双方采用以下第</w:t>
      </w:r>
      <w:r>
        <w:rPr>
          <w:rFonts w:hint="eastAsia" w:hAnsi="宋体" w:cs="宋体"/>
          <w:color w:val="auto"/>
          <w:kern w:val="0"/>
          <w:highlight w:val="none"/>
          <w:u w:val="single"/>
        </w:rPr>
        <w:t xml:space="preserve">     </w:t>
      </w:r>
      <w:r>
        <w:rPr>
          <w:rFonts w:hint="eastAsia" w:hAnsi="宋体" w:cs="宋体"/>
          <w:color w:val="auto"/>
          <w:kern w:val="0"/>
          <w:highlight w:val="none"/>
          <w:u w:val="single"/>
          <w:lang w:val="en-US" w:eastAsia="zh-CN"/>
        </w:rPr>
        <w:t>一</w:t>
      </w:r>
      <w:r>
        <w:rPr>
          <w:rFonts w:hint="eastAsia" w:hAnsi="宋体" w:cs="宋体"/>
          <w:color w:val="auto"/>
          <w:kern w:val="0"/>
          <w:highlight w:val="none"/>
          <w:u w:val="single"/>
        </w:rPr>
        <w:t xml:space="preserve">    </w:t>
      </w:r>
      <w:r>
        <w:rPr>
          <w:rFonts w:hint="eastAsia" w:hAnsi="宋体" w:cs="宋体"/>
          <w:color w:val="auto"/>
          <w:kern w:val="0"/>
          <w:highlight w:val="none"/>
        </w:rPr>
        <w:t>种方式进行招标：</w:t>
      </w:r>
    </w:p>
    <w:p w14:paraId="642CC4E5">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第一种方式：由发包人作为招标人进行暂估价材料、暂估价专业工程招标，组织招标工作有关的费用由发包人承担。需要承包人配合的，其配合费用由承包人自行承担。</w:t>
      </w:r>
    </w:p>
    <w:p w14:paraId="7BDA3E4B">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第二种方式：由承包人作为招标人进行暂估价材料、暂估价专业工程招标，其组织招标工作有关的费用已经包括在承包人的投标总价（</w:t>
      </w:r>
      <w:r>
        <w:rPr>
          <w:rFonts w:hint="eastAsia" w:hAnsi="宋体" w:cs="宋体"/>
          <w:color w:val="auto"/>
          <w:kern w:val="0"/>
          <w:highlight w:val="none"/>
          <w:lang w:eastAsia="zh-CN"/>
        </w:rPr>
        <w:t>合同签订价格</w:t>
      </w:r>
      <w:r>
        <w:rPr>
          <w:rFonts w:hint="eastAsia" w:hAnsi="宋体" w:cs="宋体"/>
          <w:color w:val="auto"/>
          <w:kern w:val="0"/>
          <w:highlight w:val="none"/>
        </w:rPr>
        <w:t>）中。需要发包人配合的，其配合费用由发包人自行承担。</w:t>
      </w:r>
    </w:p>
    <w:p w14:paraId="27FDD20F">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第三种方式：由发包人和承包人共同作为招标人进行暂估价材料、暂估价专业工程招标，发承包双方各自承担相应的费用。</w:t>
      </w:r>
    </w:p>
    <w:p w14:paraId="7551DD54">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7</w:t>
      </w:r>
      <w:r>
        <w:rPr>
          <w:rFonts w:hint="eastAsia" w:hAnsi="宋体" w:cs="宋体"/>
          <w:color w:val="auto"/>
          <w:kern w:val="0"/>
          <w:highlight w:val="none"/>
        </w:rPr>
        <w:t>.2工程量清单中给定暂估价的材料不属于依法必须招标的，采用以下第</w:t>
      </w:r>
      <w:r>
        <w:rPr>
          <w:rFonts w:hint="eastAsia" w:hAnsi="宋体" w:cs="宋体"/>
          <w:color w:val="auto"/>
          <w:kern w:val="0"/>
          <w:highlight w:val="none"/>
          <w:u w:val="single"/>
        </w:rPr>
        <w:t xml:space="preserve">   </w:t>
      </w:r>
      <w:r>
        <w:rPr>
          <w:rFonts w:hint="eastAsia" w:hAnsi="宋体" w:cs="宋体"/>
          <w:color w:val="auto"/>
          <w:kern w:val="0"/>
          <w:highlight w:val="none"/>
          <w:u w:val="single"/>
          <w:lang w:val="en-US" w:eastAsia="zh-CN"/>
        </w:rPr>
        <w:t>一</w:t>
      </w:r>
      <w:r>
        <w:rPr>
          <w:rFonts w:hint="eastAsia" w:hAnsi="宋体" w:cs="宋体"/>
          <w:color w:val="auto"/>
          <w:kern w:val="0"/>
          <w:highlight w:val="none"/>
          <w:u w:val="single"/>
        </w:rPr>
        <w:t xml:space="preserve">   </w:t>
      </w:r>
      <w:r>
        <w:rPr>
          <w:rFonts w:hint="eastAsia" w:hAnsi="宋体" w:cs="宋体"/>
          <w:color w:val="auto"/>
          <w:kern w:val="0"/>
          <w:highlight w:val="none"/>
        </w:rPr>
        <w:t>种方式确认材料价格：</w:t>
      </w:r>
    </w:p>
    <w:p w14:paraId="505539FA">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第一种方式：承包人进行自主报价，经发包人确认的材料价格取代暂估价。</w:t>
      </w:r>
    </w:p>
    <w:p w14:paraId="58043720">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第二种方式：由</w:t>
      </w:r>
      <w:r>
        <w:rPr>
          <w:rFonts w:hint="eastAsia" w:ascii="Times New Roman" w:hAnsi="宋体"/>
          <w:bCs/>
          <w:color w:val="auto"/>
          <w:sz w:val="21"/>
          <w:szCs w:val="21"/>
          <w:highlight w:val="none"/>
        </w:rPr>
        <w:t>发承包</w:t>
      </w:r>
      <w:r>
        <w:rPr>
          <w:rFonts w:hint="eastAsia" w:hAnsi="宋体"/>
          <w:bCs/>
          <w:color w:val="auto"/>
          <w:sz w:val="21"/>
          <w:szCs w:val="21"/>
          <w:highlight w:val="none"/>
          <w:lang w:val="en-US" w:eastAsia="zh-CN"/>
        </w:rPr>
        <w:t>双方</w:t>
      </w:r>
      <w:r>
        <w:rPr>
          <w:rFonts w:hint="eastAsia" w:hAnsi="宋体" w:cs="宋体"/>
          <w:color w:val="auto"/>
          <w:kern w:val="0"/>
          <w:highlight w:val="none"/>
        </w:rPr>
        <w:t>共同询价确认的材料价格取代暂估价。</w:t>
      </w:r>
    </w:p>
    <w:p w14:paraId="77F6D150">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7</w:t>
      </w:r>
      <w:r>
        <w:rPr>
          <w:rFonts w:hint="eastAsia" w:hAnsi="宋体" w:cs="宋体"/>
          <w:color w:val="auto"/>
          <w:kern w:val="0"/>
          <w:highlight w:val="none"/>
        </w:rPr>
        <w:t>.3 工程量清单中给定暂估价的专业工程不属于依法必须招标的，采用以下第</w:t>
      </w:r>
      <w:r>
        <w:rPr>
          <w:rFonts w:hint="eastAsia" w:hAnsi="宋体" w:cs="宋体"/>
          <w:color w:val="auto"/>
          <w:kern w:val="0"/>
          <w:highlight w:val="none"/>
          <w:u w:val="single"/>
        </w:rPr>
        <w:t xml:space="preserve">  </w:t>
      </w:r>
      <w:r>
        <w:rPr>
          <w:rFonts w:hint="eastAsia" w:hAnsi="宋体" w:cs="宋体"/>
          <w:color w:val="auto"/>
          <w:kern w:val="0"/>
          <w:highlight w:val="none"/>
          <w:u w:val="single"/>
          <w:lang w:val="en-US" w:eastAsia="zh-CN"/>
        </w:rPr>
        <w:t>一</w:t>
      </w:r>
      <w:r>
        <w:rPr>
          <w:rFonts w:hint="eastAsia" w:hAnsi="宋体" w:cs="宋体"/>
          <w:color w:val="auto"/>
          <w:kern w:val="0"/>
          <w:highlight w:val="none"/>
          <w:u w:val="single"/>
        </w:rPr>
        <w:t xml:space="preserve">  </w:t>
      </w:r>
      <w:r>
        <w:rPr>
          <w:rFonts w:hint="eastAsia" w:hAnsi="宋体" w:cs="宋体"/>
          <w:color w:val="auto"/>
          <w:kern w:val="0"/>
          <w:highlight w:val="none"/>
        </w:rPr>
        <w:t>种方式确认暂估价：</w:t>
      </w:r>
    </w:p>
    <w:p w14:paraId="2CDC45DE">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第一种方式：发承包双方按合同约定的自治区建设行政主管部门颁布的计算规范所规定的工程量计算规则以及合同</w:t>
      </w:r>
      <w:r>
        <w:rPr>
          <w:rFonts w:hint="eastAsia" w:hAnsi="宋体" w:cs="宋体"/>
          <w:color w:val="auto"/>
          <w:kern w:val="0"/>
          <w:highlight w:val="none"/>
          <w:lang w:val="en-US" w:eastAsia="zh-CN"/>
        </w:rPr>
        <w:t>单价</w:t>
      </w:r>
      <w:r>
        <w:rPr>
          <w:rFonts w:hint="eastAsia" w:hAnsi="宋体" w:cs="宋体"/>
          <w:color w:val="auto"/>
          <w:kern w:val="0"/>
          <w:highlight w:val="none"/>
        </w:rPr>
        <w:t>、投标报价水平计算暂估专业工程价格，并以此取代专业工程暂估价。</w:t>
      </w:r>
    </w:p>
    <w:p w14:paraId="5A036A52">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第二种方式：通过招标确定暂估专业工程价格。</w:t>
      </w:r>
    </w:p>
    <w:p w14:paraId="7BA026A7">
      <w:pPr>
        <w:spacing w:line="360" w:lineRule="auto"/>
        <w:ind w:firstLine="420" w:firstLineChars="200"/>
        <w:jc w:val="left"/>
        <w:rPr>
          <w:color w:val="auto"/>
          <w:highlight w:val="none"/>
        </w:rPr>
      </w:pPr>
      <w:r>
        <w:rPr>
          <w:rFonts w:hint="eastAsia" w:hAnsi="宋体" w:cs="宋体"/>
          <w:color w:val="auto"/>
          <w:kern w:val="0"/>
          <w:highlight w:val="none"/>
        </w:rPr>
        <w:t>1</w:t>
      </w:r>
      <w:r>
        <w:rPr>
          <w:rFonts w:hint="eastAsia" w:hAnsi="宋体" w:cs="宋体"/>
          <w:color w:val="auto"/>
          <w:kern w:val="0"/>
          <w:highlight w:val="none"/>
          <w:lang w:val="en-US" w:eastAsia="zh-CN"/>
        </w:rPr>
        <w:t>0</w:t>
      </w:r>
      <w:r>
        <w:rPr>
          <w:rFonts w:hint="eastAsia" w:hAnsi="宋体" w:cs="宋体"/>
          <w:color w:val="auto"/>
          <w:kern w:val="0"/>
          <w:highlight w:val="none"/>
        </w:rPr>
        <w:t>.</w:t>
      </w:r>
      <w:r>
        <w:rPr>
          <w:rFonts w:hint="eastAsia" w:hAnsi="宋体" w:cs="宋体"/>
          <w:color w:val="auto"/>
          <w:kern w:val="0"/>
          <w:highlight w:val="none"/>
          <w:lang w:val="en-US" w:eastAsia="zh-CN"/>
        </w:rPr>
        <w:t>7</w:t>
      </w:r>
      <w:r>
        <w:rPr>
          <w:rFonts w:hint="eastAsia" w:hAnsi="宋体" w:cs="宋体"/>
          <w:color w:val="auto"/>
          <w:kern w:val="0"/>
          <w:highlight w:val="none"/>
        </w:rPr>
        <w:t>.4承包人参加由发包人作为招标人的暂估价专业工程投标并中标的，扣减已计算的该专业工程的总承包服务费。</w:t>
      </w:r>
    </w:p>
    <w:p w14:paraId="141C3C0A">
      <w:pPr>
        <w:pStyle w:val="5"/>
        <w:rPr>
          <w:color w:val="auto"/>
          <w:highlight w:val="none"/>
        </w:rPr>
      </w:pPr>
      <w:bookmarkStart w:id="1464" w:name="_Toc373227745"/>
      <w:bookmarkStart w:id="1465" w:name="_Toc2032108729"/>
      <w:bookmarkStart w:id="1466" w:name="_Toc407135248"/>
      <w:bookmarkStart w:id="1467" w:name="_Toc373478392"/>
      <w:bookmarkStart w:id="1468" w:name="_Toc389065311"/>
      <w:bookmarkStart w:id="1469" w:name="_Toc26800"/>
      <w:bookmarkStart w:id="1470" w:name="_Toc19647"/>
      <w:bookmarkStart w:id="1471" w:name="_Toc78449834"/>
      <w:r>
        <w:rPr>
          <w:color w:val="auto"/>
          <w:highlight w:val="none"/>
        </w:rPr>
        <w:t xml:space="preserve">10.8 </w:t>
      </w:r>
      <w:r>
        <w:rPr>
          <w:rFonts w:hint="eastAsia" w:hAnsi="宋体" w:cs="黑体"/>
          <w:color w:val="auto"/>
          <w:highlight w:val="none"/>
        </w:rPr>
        <w:t>暂列金额</w:t>
      </w:r>
      <w:bookmarkEnd w:id="1464"/>
      <w:bookmarkEnd w:id="1465"/>
      <w:bookmarkEnd w:id="1466"/>
      <w:bookmarkEnd w:id="1467"/>
      <w:bookmarkEnd w:id="1468"/>
      <w:bookmarkEnd w:id="1469"/>
      <w:bookmarkEnd w:id="1470"/>
      <w:bookmarkEnd w:id="1471"/>
    </w:p>
    <w:p w14:paraId="5422C039">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合同当事人关于暂列金额使用的约定：</w:t>
      </w:r>
      <w:r>
        <w:rPr>
          <w:color w:val="auto"/>
          <w:highlight w:val="none"/>
          <w:u w:val="single"/>
        </w:rPr>
        <w:t xml:space="preserve">     </w:t>
      </w:r>
      <w:r>
        <w:rPr>
          <w:rFonts w:hint="eastAsia"/>
          <w:color w:val="auto"/>
          <w:highlight w:val="none"/>
          <w:u w:val="single"/>
          <w:lang w:val="en-US" w:eastAsia="zh-CN"/>
        </w:rPr>
        <w:t>无</w:t>
      </w:r>
      <w:r>
        <w:rPr>
          <w:color w:val="auto"/>
          <w:highlight w:val="none"/>
          <w:u w:val="single"/>
        </w:rPr>
        <w:t xml:space="preserve">      </w:t>
      </w:r>
      <w:r>
        <w:rPr>
          <w:rFonts w:hint="eastAsia" w:hAnsi="宋体" w:cs="宋体"/>
          <w:color w:val="auto"/>
          <w:kern w:val="0"/>
          <w:highlight w:val="none"/>
        </w:rPr>
        <w:t>。</w:t>
      </w:r>
    </w:p>
    <w:p w14:paraId="1F4C0E7E">
      <w:pPr>
        <w:pStyle w:val="4"/>
        <w:numPr>
          <w:ilvl w:val="0"/>
          <w:numId w:val="1"/>
        </w:numPr>
        <w:rPr>
          <w:color w:val="auto"/>
          <w:highlight w:val="none"/>
        </w:rPr>
      </w:pPr>
      <w:bookmarkStart w:id="1472" w:name="_Toc1190723452"/>
      <w:bookmarkStart w:id="1473" w:name="_Toc373478393"/>
      <w:bookmarkStart w:id="1474" w:name="_Toc389065312"/>
      <w:bookmarkStart w:id="1475" w:name="_Toc16337"/>
      <w:bookmarkStart w:id="1476" w:name="_Toc407135249"/>
      <w:bookmarkStart w:id="1477" w:name="_Toc373227746"/>
      <w:bookmarkStart w:id="1478" w:name="_Toc351203643"/>
      <w:bookmarkStart w:id="1479" w:name="_Toc78449835"/>
      <w:r>
        <w:rPr>
          <w:rFonts w:hint="eastAsia" w:hAnsi="宋体" w:cs="黑体"/>
          <w:color w:val="auto"/>
          <w:highlight w:val="none"/>
        </w:rPr>
        <w:t>价格调整</w:t>
      </w:r>
      <w:bookmarkEnd w:id="1472"/>
      <w:bookmarkEnd w:id="1473"/>
      <w:bookmarkEnd w:id="1474"/>
      <w:bookmarkEnd w:id="1475"/>
      <w:bookmarkEnd w:id="1476"/>
      <w:bookmarkEnd w:id="1477"/>
      <w:bookmarkEnd w:id="1478"/>
      <w:bookmarkEnd w:id="1479"/>
    </w:p>
    <w:p w14:paraId="4E356521">
      <w:pPr>
        <w:pStyle w:val="5"/>
        <w:rPr>
          <w:rFonts w:hint="eastAsia" w:eastAsia="黑体"/>
          <w:color w:val="auto"/>
          <w:highlight w:val="none"/>
          <w:lang w:val="en" w:eastAsia="zh-CN"/>
        </w:rPr>
      </w:pPr>
      <w:bookmarkStart w:id="1480" w:name="_Toc13435"/>
      <w:bookmarkStart w:id="1481" w:name="_Toc6153"/>
      <w:bookmarkStart w:id="1482" w:name="_Toc303539157"/>
      <w:bookmarkStart w:id="1483" w:name="_Toc297216209"/>
      <w:bookmarkStart w:id="1484" w:name="_Toc1501386015"/>
      <w:bookmarkStart w:id="1485" w:name="_Toc296891029"/>
      <w:bookmarkStart w:id="1486" w:name="_Toc297123550"/>
      <w:bookmarkStart w:id="1487" w:name="_Toc292559406"/>
      <w:bookmarkStart w:id="1488" w:name="_Toc407135250"/>
      <w:bookmarkStart w:id="1489" w:name="_Toc300935000"/>
      <w:bookmarkStart w:id="1490" w:name="_Toc373227747"/>
      <w:bookmarkStart w:id="1491" w:name="_Toc296346702"/>
      <w:bookmarkStart w:id="1492" w:name="_Toc373478394"/>
      <w:bookmarkStart w:id="1493" w:name="_Toc296891241"/>
      <w:bookmarkStart w:id="1494" w:name="_Toc297120501"/>
      <w:bookmarkStart w:id="1495" w:name="_Toc296944540"/>
      <w:bookmarkStart w:id="1496" w:name="_Toc389065313"/>
      <w:bookmarkStart w:id="1497" w:name="_Toc78449836"/>
      <w:bookmarkStart w:id="1498" w:name="_Toc304295577"/>
      <w:bookmarkStart w:id="1499" w:name="_Toc312678039"/>
      <w:bookmarkStart w:id="1500" w:name="_Toc296503201"/>
      <w:bookmarkStart w:id="1501" w:name="_Toc292559911"/>
      <w:bookmarkStart w:id="1502" w:name="_Toc297048387"/>
      <w:bookmarkStart w:id="1503" w:name="_Toc296347200"/>
      <w:r>
        <w:rPr>
          <w:color w:val="auto"/>
          <w:highlight w:val="none"/>
        </w:rPr>
        <w:t xml:space="preserve">11.1 </w:t>
      </w:r>
      <w:r>
        <w:rPr>
          <w:rFonts w:hint="eastAsia" w:cs="黑体"/>
          <w:color w:val="auto"/>
          <w:highlight w:val="none"/>
          <w:lang w:val="en-US" w:eastAsia="zh-CN"/>
        </w:rPr>
        <w:t>合同价格调整程序</w:t>
      </w:r>
      <w:bookmarkEnd w:id="1480"/>
      <w:bookmarkEnd w:id="1481"/>
    </w:p>
    <w:p w14:paraId="4F4CDDB0">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11.1.1 合同履行过程中发生合同价格调整事项的，承包人按本合同12.3的约定计算价格调整事项的工程量，依据本合</w:t>
      </w:r>
      <w:r>
        <w:rPr>
          <w:rFonts w:hint="eastAsia" w:hAnsi="宋体" w:cs="宋体"/>
          <w:color w:val="auto"/>
          <w:kern w:val="0"/>
          <w:highlight w:val="none"/>
          <w:lang w:eastAsia="zh-CN"/>
        </w:rPr>
        <w:t>同第</w:t>
      </w:r>
      <w:r>
        <w:rPr>
          <w:rFonts w:hint="eastAsia" w:hAnsi="宋体" w:cs="宋体"/>
          <w:color w:val="auto"/>
          <w:kern w:val="0"/>
          <w:highlight w:val="none"/>
        </w:rPr>
        <w:t>11条的约定计算调整价格，并在发生合同价格调整事项</w:t>
      </w:r>
      <w:r>
        <w:rPr>
          <w:rFonts w:hint="eastAsia" w:hAnsi="宋体" w:cs="宋体"/>
          <w:color w:val="auto"/>
          <w:kern w:val="0"/>
          <w:highlight w:val="none"/>
          <w:u w:val="single"/>
        </w:rPr>
        <w:t xml:space="preserve">   </w:t>
      </w:r>
      <w:r>
        <w:rPr>
          <w:rFonts w:hint="eastAsia" w:hAnsi="宋体" w:cs="宋体"/>
          <w:color w:val="auto"/>
          <w:kern w:val="0"/>
          <w:highlight w:val="none"/>
          <w:u w:val="single"/>
          <w:lang w:val="en-US" w:eastAsia="zh-CN"/>
        </w:rPr>
        <w:t>7</w:t>
      </w:r>
      <w:r>
        <w:rPr>
          <w:rFonts w:hint="eastAsia" w:hAnsi="宋体" w:cs="宋体"/>
          <w:color w:val="auto"/>
          <w:kern w:val="0"/>
          <w:highlight w:val="none"/>
          <w:u w:val="single"/>
        </w:rPr>
        <w:t xml:space="preserve">   </w:t>
      </w:r>
      <w:r>
        <w:rPr>
          <w:rFonts w:hint="eastAsia" w:hAnsi="宋体" w:cs="宋体"/>
          <w:color w:val="auto"/>
          <w:kern w:val="0"/>
          <w:highlight w:val="none"/>
        </w:rPr>
        <w:t>天内连同相关资料提交给发包人核对。</w:t>
      </w:r>
    </w:p>
    <w:p w14:paraId="42DD1766">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 xml:space="preserve"> 11.1.2 发包人在收到承包人合同价格调整报告及相关资料后应 </w:t>
      </w:r>
      <w:r>
        <w:rPr>
          <w:rFonts w:hint="eastAsia" w:hAnsi="宋体" w:cs="宋体"/>
          <w:color w:val="auto"/>
          <w:kern w:val="0"/>
          <w:highlight w:val="none"/>
          <w:u w:val="single"/>
        </w:rPr>
        <w:t xml:space="preserve">  </w:t>
      </w:r>
      <w:r>
        <w:rPr>
          <w:rFonts w:hint="eastAsia" w:hAnsi="宋体" w:cs="宋体"/>
          <w:color w:val="auto"/>
          <w:kern w:val="0"/>
          <w:highlight w:val="none"/>
          <w:u w:val="single"/>
          <w:lang w:val="en-US" w:eastAsia="zh-CN"/>
        </w:rPr>
        <w:t>7</w:t>
      </w:r>
      <w:r>
        <w:rPr>
          <w:rFonts w:hint="eastAsia" w:hAnsi="宋体" w:cs="宋体"/>
          <w:color w:val="auto"/>
          <w:kern w:val="0"/>
          <w:highlight w:val="none"/>
          <w:u w:val="single"/>
        </w:rPr>
        <w:t xml:space="preserve">      </w:t>
      </w:r>
      <w:r>
        <w:rPr>
          <w:rFonts w:hint="eastAsia" w:hAnsi="宋体" w:cs="宋体"/>
          <w:color w:val="auto"/>
          <w:kern w:val="0"/>
          <w:highlight w:val="none"/>
        </w:rPr>
        <w:t>天内对其进行核实，予以确认的应书面通知承包人，不予确认的应将价格调整核对意见书面回复承包人，未确认也未提出核对意见的，应视为承包人提交的合同价格调整报告已被发包人认可。</w:t>
      </w:r>
    </w:p>
    <w:p w14:paraId="78F68940">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11.1.3 发包人提出价格调整核对意见的，承包人在收到核对意见后应在</w:t>
      </w:r>
      <w:r>
        <w:rPr>
          <w:rFonts w:hint="eastAsia" w:hAnsi="宋体" w:cs="宋体"/>
          <w:color w:val="auto"/>
          <w:kern w:val="0"/>
          <w:highlight w:val="none"/>
          <w:u w:val="single"/>
        </w:rPr>
        <w:t xml:space="preserve">    </w:t>
      </w:r>
      <w:r>
        <w:rPr>
          <w:rFonts w:hint="eastAsia" w:hAnsi="宋体" w:cs="宋体"/>
          <w:color w:val="auto"/>
          <w:kern w:val="0"/>
          <w:highlight w:val="none"/>
          <w:u w:val="single"/>
          <w:lang w:val="en-US" w:eastAsia="zh-CN"/>
        </w:rPr>
        <w:t>7</w:t>
      </w:r>
      <w:r>
        <w:rPr>
          <w:rFonts w:hint="eastAsia" w:hAnsi="宋体" w:cs="宋体"/>
          <w:color w:val="auto"/>
          <w:kern w:val="0"/>
          <w:highlight w:val="none"/>
          <w:u w:val="single"/>
        </w:rPr>
        <w:t xml:space="preserve">     </w:t>
      </w:r>
      <w:r>
        <w:rPr>
          <w:rFonts w:hint="eastAsia" w:hAnsi="宋体" w:cs="宋体"/>
          <w:color w:val="auto"/>
          <w:kern w:val="0"/>
          <w:highlight w:val="none"/>
        </w:rPr>
        <w:t>天内对其复核，予以认可的应书面通知发包人，不予认可的应将相关复核意见书面回复发包人，未确认也未提出复核意见的，应视为发包人提出的意见已被承包人认可。</w:t>
      </w:r>
    </w:p>
    <w:p w14:paraId="7A4DB001">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11.1.4发承包双方对合同价格调整通过核对、复核仍不能达成一致意见的，可按本合同争议解决相关约定处理。除法律法规规定外，发承包双方在争议解决期间应继续履行合同义务，直到争议得到解决。</w:t>
      </w:r>
    </w:p>
    <w:p w14:paraId="1428ACD9">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11.1.5发承包双方应在确定的合同价格调整相关计量与计价成果文件上签署，作为合同价款支付的依据。经发承包双方确认调整的追加（减）合同价款，应与工程进度款和施工过程结算款同期支付。</w:t>
      </w:r>
    </w:p>
    <w:p w14:paraId="45A65FE8">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11.2 物价变化引起的价格调整</w:t>
      </w:r>
    </w:p>
    <w:p w14:paraId="0A3F9F5E">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11.2.1 关于人工费及主要材料费价差调整的约定：</w:t>
      </w:r>
    </w:p>
    <w:p w14:paraId="5D18C0F7">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lang w:eastAsia="zh-CN"/>
        </w:rPr>
        <w:t>（</w:t>
      </w:r>
      <w:r>
        <w:rPr>
          <w:rFonts w:hint="eastAsia" w:hAnsi="宋体" w:cs="宋体"/>
          <w:color w:val="auto"/>
          <w:kern w:val="0"/>
          <w:highlight w:val="none"/>
          <w:lang w:val="en-US" w:eastAsia="zh-CN"/>
        </w:rPr>
        <w:t>1</w:t>
      </w:r>
      <w:r>
        <w:rPr>
          <w:rFonts w:hint="eastAsia" w:hAnsi="宋体" w:cs="宋体"/>
          <w:color w:val="auto"/>
          <w:kern w:val="0"/>
          <w:highlight w:val="none"/>
          <w:lang w:eastAsia="zh-CN"/>
        </w:rPr>
        <w:t>）</w:t>
      </w:r>
      <w:r>
        <w:rPr>
          <w:rFonts w:hint="eastAsia" w:hAnsi="宋体" w:cs="宋体"/>
          <w:color w:val="auto"/>
          <w:kern w:val="0"/>
          <w:highlight w:val="none"/>
        </w:rPr>
        <w:t>总价合同采用价格指数调差法进行价差调整，非承包人原因《人工及主要材料费可调因子价格指数及权重表》中载明的允许调整价格的主要材料及人工费在其风险范围以内的价差由承包人承担，超过其风险范围以外的价差，由发包人承担</w:t>
      </w:r>
      <w:r>
        <w:rPr>
          <w:rFonts w:hint="eastAsia" w:hAnsi="宋体" w:cs="宋体"/>
          <w:color w:val="auto"/>
          <w:kern w:val="0"/>
          <w:highlight w:val="none"/>
          <w:lang w:val="en-US" w:eastAsia="zh-CN"/>
        </w:rPr>
        <w:t>。</w:t>
      </w:r>
    </w:p>
    <w:p w14:paraId="4F932CFD">
      <w:pPr>
        <w:spacing w:line="360" w:lineRule="auto"/>
        <w:ind w:firstLine="420" w:firstLineChars="200"/>
        <w:jc w:val="left"/>
        <w:rPr>
          <w:rFonts w:hint="eastAsia" w:hAnsi="宋体" w:cs="宋体"/>
          <w:color w:val="auto"/>
          <w:kern w:val="0"/>
          <w:highlight w:val="none"/>
          <w:lang w:eastAsia="zh-CN"/>
        </w:rPr>
      </w:pPr>
      <w:r>
        <w:rPr>
          <w:rFonts w:hint="eastAsia" w:hAnsi="宋体" w:cs="宋体"/>
          <w:color w:val="auto"/>
          <w:kern w:val="0"/>
          <w:highlight w:val="none"/>
          <w:lang w:eastAsia="zh-CN"/>
        </w:rPr>
        <w:t>（</w:t>
      </w:r>
      <w:r>
        <w:rPr>
          <w:rFonts w:hint="eastAsia" w:hAnsi="宋体" w:cs="宋体"/>
          <w:color w:val="auto"/>
          <w:kern w:val="0"/>
          <w:highlight w:val="none"/>
          <w:lang w:val="en-US" w:eastAsia="zh-CN"/>
        </w:rPr>
        <w:t>2</w:t>
      </w:r>
      <w:r>
        <w:rPr>
          <w:rFonts w:hint="eastAsia" w:hAnsi="宋体" w:cs="宋体"/>
          <w:color w:val="auto"/>
          <w:kern w:val="0"/>
          <w:highlight w:val="none"/>
          <w:lang w:eastAsia="zh-CN"/>
        </w:rPr>
        <w:t>）</w:t>
      </w:r>
      <w:r>
        <w:rPr>
          <w:rFonts w:hint="eastAsia" w:hAnsi="宋体" w:cs="宋体"/>
          <w:color w:val="auto"/>
          <w:kern w:val="0"/>
          <w:highlight w:val="none"/>
        </w:rPr>
        <w:t>单价合同采用</w:t>
      </w:r>
      <w:r>
        <w:rPr>
          <w:rFonts w:hint="eastAsia" w:ascii="宋体" w:hAnsi="宋体"/>
          <w:color w:val="auto"/>
          <w:szCs w:val="21"/>
          <w:highlight w:val="none"/>
          <w:lang w:eastAsia="zh-CN"/>
        </w:rPr>
        <w:t>价格差额调整法</w:t>
      </w:r>
      <w:r>
        <w:rPr>
          <w:rFonts w:hint="eastAsia" w:hAnsi="宋体" w:cs="宋体"/>
          <w:color w:val="auto"/>
          <w:kern w:val="0"/>
          <w:highlight w:val="none"/>
        </w:rPr>
        <w:t>进行价差调整，非承包人原因</w:t>
      </w:r>
      <w:r>
        <w:rPr>
          <w:rFonts w:hint="eastAsia" w:hAnsi="宋体" w:cs="宋体"/>
          <w:color w:val="auto"/>
          <w:kern w:val="0"/>
          <w:highlight w:val="none"/>
          <w:lang w:eastAsia="zh-CN"/>
        </w:rPr>
        <w:t>导致</w:t>
      </w:r>
      <w:r>
        <w:rPr>
          <w:rFonts w:hint="eastAsia" w:hAnsi="宋体" w:cs="宋体"/>
          <w:color w:val="auto"/>
          <w:kern w:val="0"/>
          <w:highlight w:val="none"/>
        </w:rPr>
        <w:t>人工费</w:t>
      </w:r>
      <w:r>
        <w:rPr>
          <w:rFonts w:hint="eastAsia" w:hAnsi="宋体" w:cs="宋体"/>
          <w:color w:val="auto"/>
          <w:kern w:val="0"/>
          <w:highlight w:val="none"/>
          <w:lang w:eastAsia="zh-CN"/>
        </w:rPr>
        <w:t>及</w:t>
      </w:r>
      <w:r>
        <w:rPr>
          <w:rFonts w:hint="eastAsia" w:hAnsi="宋体" w:cs="宋体"/>
          <w:color w:val="auto"/>
          <w:kern w:val="0"/>
          <w:highlight w:val="none"/>
        </w:rPr>
        <w:t>《允许调整价格的主要材料一览表》中载明的主要材料在其风险范围以内的价差由承包人承担，超过其风险范围以外的价差，由发包人承担</w:t>
      </w:r>
      <w:r>
        <w:rPr>
          <w:rFonts w:hint="eastAsia" w:hAnsi="宋体" w:cs="宋体"/>
          <w:color w:val="auto"/>
          <w:kern w:val="0"/>
          <w:highlight w:val="none"/>
          <w:lang w:eastAsia="zh-CN"/>
        </w:rPr>
        <w:t>。</w:t>
      </w:r>
    </w:p>
    <w:p w14:paraId="32E17607">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lang w:eastAsia="zh-CN"/>
        </w:rPr>
        <w:t>本工程人工费基准日价格指数：</w:t>
      </w:r>
      <w:r>
        <w:rPr>
          <w:rFonts w:hint="eastAsia" w:hAnsi="宋体" w:cs="宋体"/>
          <w:color w:val="auto"/>
          <w:kern w:val="0"/>
          <w:highlight w:val="none"/>
          <w:u w:val="single"/>
          <w:lang w:val="en-US" w:eastAsia="zh-CN"/>
        </w:rPr>
        <w:t xml:space="preserve">        ，</w:t>
      </w:r>
      <w:r>
        <w:rPr>
          <w:rFonts w:hint="eastAsia" w:hAnsi="宋体" w:cs="宋体"/>
          <w:color w:val="auto"/>
          <w:kern w:val="0"/>
          <w:highlight w:val="none"/>
          <w:lang w:eastAsia="zh-CN"/>
        </w:rPr>
        <w:t>人工费风险幅度：</w:t>
      </w:r>
      <w:r>
        <w:rPr>
          <w:rFonts w:hint="eastAsia" w:hAnsi="宋体" w:cs="宋体"/>
          <w:color w:val="auto"/>
          <w:kern w:val="0"/>
          <w:highlight w:val="none"/>
          <w:u w:val="single"/>
          <w:lang w:val="en-US" w:eastAsia="zh-CN"/>
        </w:rPr>
        <w:t xml:space="preserve">     ，主要材料基准价及风险范围详见</w:t>
      </w:r>
      <w:r>
        <w:rPr>
          <w:rFonts w:hint="eastAsia" w:hAnsi="宋体" w:cs="宋体"/>
          <w:color w:val="auto"/>
          <w:kern w:val="0"/>
          <w:highlight w:val="none"/>
        </w:rPr>
        <w:t>《允许调整价格的主要材料一览表》</w:t>
      </w:r>
      <w:r>
        <w:rPr>
          <w:rFonts w:hint="eastAsia" w:hAnsi="宋体" w:cs="宋体"/>
          <w:color w:val="auto"/>
          <w:kern w:val="0"/>
          <w:highlight w:val="none"/>
          <w:lang w:eastAsia="zh-CN"/>
        </w:rPr>
        <w:t>。</w:t>
      </w:r>
    </w:p>
    <w:p w14:paraId="70D6139A">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lang w:eastAsia="zh-CN"/>
        </w:rPr>
        <w:t>（</w:t>
      </w:r>
      <w:r>
        <w:rPr>
          <w:rFonts w:hint="eastAsia" w:hAnsi="宋体" w:cs="宋体"/>
          <w:color w:val="auto"/>
          <w:kern w:val="0"/>
          <w:highlight w:val="none"/>
          <w:lang w:val="en-US" w:eastAsia="zh-CN"/>
        </w:rPr>
        <w:t>3</w:t>
      </w:r>
      <w:r>
        <w:rPr>
          <w:rFonts w:hint="eastAsia" w:hAnsi="宋体" w:cs="宋体"/>
          <w:color w:val="auto"/>
          <w:kern w:val="0"/>
          <w:highlight w:val="none"/>
          <w:lang w:eastAsia="zh-CN"/>
        </w:rPr>
        <w:t>）</w:t>
      </w:r>
      <w:r>
        <w:rPr>
          <w:rFonts w:hint="eastAsia" w:hAnsi="宋体" w:cs="宋体"/>
          <w:color w:val="auto"/>
          <w:kern w:val="0"/>
          <w:highlight w:val="none"/>
        </w:rPr>
        <w:t>价差调整部分列入其他项目费，仅计算增值税，不计取管理费、利润。</w:t>
      </w:r>
    </w:p>
    <w:p w14:paraId="5BE45C20">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11.2.</w:t>
      </w:r>
      <w:r>
        <w:rPr>
          <w:rFonts w:hint="eastAsia" w:hAnsi="宋体" w:cs="宋体"/>
          <w:color w:val="auto"/>
          <w:kern w:val="0"/>
          <w:highlight w:val="none"/>
          <w:lang w:eastAsia="zh-CN"/>
        </w:rPr>
        <w:t>2采用价格指数调整法的</w:t>
      </w:r>
      <w:r>
        <w:rPr>
          <w:rFonts w:hint="eastAsia" w:hAnsi="宋体" w:cs="宋体"/>
          <w:color w:val="auto"/>
          <w:kern w:val="0"/>
          <w:highlight w:val="none"/>
        </w:rPr>
        <w:t>，以</w:t>
      </w:r>
      <w:r>
        <w:rPr>
          <w:rFonts w:hint="eastAsia" w:hAnsi="宋体" w:cs="宋体"/>
          <w:color w:val="auto"/>
          <w:kern w:val="0"/>
          <w:highlight w:val="none"/>
          <w:lang w:eastAsia="zh-CN"/>
        </w:rPr>
        <w:t>已标价工程量清单中</w:t>
      </w:r>
      <w:r>
        <w:rPr>
          <w:rFonts w:hint="eastAsia" w:hAnsi="宋体" w:cs="宋体"/>
          <w:color w:val="auto"/>
          <w:kern w:val="0"/>
          <w:highlight w:val="none"/>
        </w:rPr>
        <w:t>《人工及主要材料费可调因子价格指数及权重表》中</w:t>
      </w:r>
      <w:r>
        <w:rPr>
          <w:rFonts w:hint="eastAsia" w:hAnsi="宋体" w:cs="宋体"/>
          <w:strike w:val="0"/>
          <w:color w:val="auto"/>
          <w:kern w:val="0"/>
          <w:highlight w:val="none"/>
        </w:rPr>
        <w:t>载明的人工及主要材料可调因子价格指数及权重等</w:t>
      </w:r>
      <w:r>
        <w:rPr>
          <w:rFonts w:hint="eastAsia" w:hAnsi="宋体" w:cs="宋体"/>
          <w:color w:val="auto"/>
          <w:kern w:val="0"/>
          <w:highlight w:val="none"/>
        </w:rPr>
        <w:t>数据，按下式计算差额并调整合同价格：</w:t>
      </w:r>
    </w:p>
    <w:p w14:paraId="56846B00">
      <w:pPr>
        <w:spacing w:line="360" w:lineRule="auto"/>
        <w:ind w:firstLine="420" w:firstLineChars="200"/>
        <w:jc w:val="left"/>
        <w:rPr>
          <w:rFonts w:hint="eastAsia" w:hAnsi="宋体" w:cs="宋体"/>
          <w:color w:val="auto"/>
          <w:kern w:val="0"/>
          <w:highlight w:val="none"/>
        </w:rPr>
      </w:pPr>
      <w:r>
        <w:rPr>
          <w:color w:val="auto"/>
          <w:position w:val="-34"/>
          <w:highlight w:val="none"/>
        </w:rPr>
        <w:object>
          <v:shape id="_x0000_i1025" o:spt="75" type="#_x0000_t75" style="height:40pt;width:306pt;" o:ole="t" filled="f" o:preferrelative="t" stroked="f" coordsize="21600,21600">
            <v:path/>
            <v:fill on="f" alignshape="1" focussize="0,0"/>
            <v:stroke on="f"/>
            <v:imagedata r:id="rId7" o:title=""/>
            <o:lock v:ext="edit" aspectratio="t"/>
            <w10:wrap type="none"/>
            <w10:anchorlock/>
          </v:shape>
          <o:OLEObject Type="Embed" ProgID="Equation.3" ShapeID="_x0000_i1025" DrawAspect="Content" ObjectID="_1468075725" r:id="rId6">
            <o:LockedField>false</o:LockedField>
          </o:OLEObject>
        </w:object>
      </w:r>
      <w:r>
        <w:rPr>
          <w:rFonts w:hint="eastAsia" w:hAnsi="宋体" w:cs="宋体"/>
          <w:color w:val="auto"/>
          <w:kern w:val="0"/>
          <w:highlight w:val="none"/>
        </w:rPr>
        <w:t xml:space="preserve">    </w:t>
      </w:r>
    </w:p>
    <w:p w14:paraId="0FC10143">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式中： △P——需调整的价格差额；</w:t>
      </w:r>
    </w:p>
    <w:p w14:paraId="37A06BC2">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P</w:t>
      </w:r>
      <w:r>
        <w:rPr>
          <w:rFonts w:hint="eastAsia" w:hAnsi="宋体" w:cs="宋体"/>
          <w:color w:val="auto"/>
          <w:kern w:val="0"/>
          <w:highlight w:val="none"/>
          <w:vertAlign w:val="subscript"/>
        </w:rPr>
        <w:t>0</w:t>
      </w:r>
      <w:r>
        <w:rPr>
          <w:rFonts w:hint="eastAsia" w:hAnsi="宋体" w:cs="宋体"/>
          <w:color w:val="auto"/>
          <w:kern w:val="0"/>
          <w:highlight w:val="none"/>
        </w:rPr>
        <w:t xml:space="preserve"> ——本合同约定的计量周期（进度款、过程结算和竣工结算）中承包人应得到的，属于签约合同价中固定总价范围及按合同单价计算的变更金额。此项金额应不包括人工费及主要材料价格调整，已按施工期间价格计价的变更及新增、零星签证、索赔、暂估材料</w:t>
      </w:r>
      <w:r>
        <w:rPr>
          <w:rFonts w:hint="eastAsia" w:hAnsi="宋体" w:cs="宋体"/>
          <w:color w:val="auto"/>
          <w:kern w:val="0"/>
          <w:highlight w:val="none"/>
          <w:lang w:eastAsia="zh-CN"/>
        </w:rPr>
        <w:t>、</w:t>
      </w:r>
      <w:r>
        <w:rPr>
          <w:rFonts w:hint="eastAsia" w:hAnsi="宋体" w:cs="宋体"/>
          <w:color w:val="auto"/>
          <w:kern w:val="0"/>
          <w:highlight w:val="none"/>
          <w:lang w:val="en-US" w:eastAsia="zh-CN"/>
        </w:rPr>
        <w:t>暂估</w:t>
      </w:r>
      <w:r>
        <w:rPr>
          <w:rFonts w:hint="eastAsia" w:hAnsi="宋体" w:cs="宋体"/>
          <w:color w:val="auto"/>
          <w:kern w:val="0"/>
          <w:highlight w:val="none"/>
        </w:rPr>
        <w:t>专业工程、总承包服务费调整等金额，也不计</w:t>
      </w:r>
      <w:r>
        <w:rPr>
          <w:rFonts w:hint="eastAsia" w:hAnsi="宋体" w:cs="宋体"/>
          <w:color w:val="auto"/>
          <w:kern w:val="0"/>
          <w:highlight w:val="none"/>
          <w:lang w:val="en-US" w:eastAsia="zh-CN"/>
        </w:rPr>
        <w:t>算</w:t>
      </w:r>
      <w:r>
        <w:rPr>
          <w:rFonts w:hint="eastAsia" w:hAnsi="宋体" w:cs="宋体"/>
          <w:color w:val="auto"/>
          <w:kern w:val="0"/>
          <w:highlight w:val="none"/>
        </w:rPr>
        <w:t>在内；</w:t>
      </w:r>
    </w:p>
    <w:p w14:paraId="06068558">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A ——定值权重（即不调部分的权重，A=1-B</w:t>
      </w:r>
      <w:r>
        <w:rPr>
          <w:rFonts w:hint="eastAsia" w:hAnsi="宋体" w:cs="宋体"/>
          <w:color w:val="auto"/>
          <w:kern w:val="0"/>
          <w:highlight w:val="none"/>
          <w:vertAlign w:val="subscript"/>
        </w:rPr>
        <w:t>1</w:t>
      </w:r>
      <w:r>
        <w:rPr>
          <w:rFonts w:hint="eastAsia" w:hAnsi="宋体" w:cs="宋体"/>
          <w:color w:val="auto"/>
          <w:kern w:val="0"/>
          <w:highlight w:val="none"/>
        </w:rPr>
        <w:t>-B</w:t>
      </w:r>
      <w:r>
        <w:rPr>
          <w:rFonts w:hint="eastAsia" w:hAnsi="宋体" w:cs="宋体"/>
          <w:color w:val="auto"/>
          <w:kern w:val="0"/>
          <w:highlight w:val="none"/>
          <w:vertAlign w:val="subscript"/>
        </w:rPr>
        <w:t>2</w:t>
      </w:r>
      <w:r>
        <w:rPr>
          <w:rFonts w:hint="eastAsia" w:hAnsi="宋体" w:cs="宋体"/>
          <w:color w:val="auto"/>
          <w:kern w:val="0"/>
          <w:highlight w:val="none"/>
        </w:rPr>
        <w:t>-B</w:t>
      </w:r>
      <w:r>
        <w:rPr>
          <w:rFonts w:hint="eastAsia" w:hAnsi="宋体" w:cs="宋体"/>
          <w:color w:val="auto"/>
          <w:kern w:val="0"/>
          <w:highlight w:val="none"/>
          <w:vertAlign w:val="subscript"/>
        </w:rPr>
        <w:t>3</w:t>
      </w:r>
      <w:r>
        <w:rPr>
          <w:rFonts w:hint="eastAsia" w:hAnsi="宋体" w:cs="宋体"/>
          <w:color w:val="auto"/>
          <w:kern w:val="0"/>
          <w:highlight w:val="none"/>
        </w:rPr>
        <w:t>-…-B</w:t>
      </w:r>
      <w:r>
        <w:rPr>
          <w:rFonts w:hint="eastAsia" w:hAnsi="宋体" w:cs="宋体"/>
          <w:color w:val="auto"/>
          <w:kern w:val="0"/>
          <w:highlight w:val="none"/>
          <w:vertAlign w:val="subscript"/>
        </w:rPr>
        <w:t>n</w:t>
      </w:r>
      <w:r>
        <w:rPr>
          <w:rFonts w:hint="eastAsia" w:hAnsi="宋体" w:cs="宋体"/>
          <w:color w:val="auto"/>
          <w:kern w:val="0"/>
          <w:highlight w:val="none"/>
        </w:rPr>
        <w:t>）；</w:t>
      </w:r>
    </w:p>
    <w:p w14:paraId="0819D422">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 xml:space="preserve">      B</w:t>
      </w:r>
      <w:r>
        <w:rPr>
          <w:rFonts w:hint="eastAsia" w:hAnsi="宋体" w:cs="宋体"/>
          <w:color w:val="auto"/>
          <w:kern w:val="0"/>
          <w:highlight w:val="none"/>
          <w:vertAlign w:val="subscript"/>
          <w:lang w:eastAsia="zh-CN"/>
        </w:rPr>
        <w:t>1</w:t>
      </w:r>
      <w:r>
        <w:rPr>
          <w:rFonts w:hint="eastAsia" w:hAnsi="宋体" w:cs="宋体"/>
          <w:color w:val="auto"/>
          <w:kern w:val="0"/>
          <w:highlight w:val="none"/>
          <w:lang w:eastAsia="zh-CN"/>
        </w:rPr>
        <w:t>、</w:t>
      </w:r>
      <w:r>
        <w:rPr>
          <w:rFonts w:hint="eastAsia" w:hAnsi="宋体" w:cs="宋体"/>
          <w:color w:val="auto"/>
          <w:kern w:val="0"/>
          <w:highlight w:val="none"/>
        </w:rPr>
        <w:t>B</w:t>
      </w:r>
      <w:r>
        <w:rPr>
          <w:rFonts w:hint="eastAsia" w:hAnsi="宋体" w:cs="宋体"/>
          <w:color w:val="auto"/>
          <w:kern w:val="0"/>
          <w:highlight w:val="none"/>
          <w:vertAlign w:val="subscript"/>
          <w:lang w:eastAsia="zh-CN"/>
        </w:rPr>
        <w:t>2</w:t>
      </w:r>
      <w:r>
        <w:rPr>
          <w:rFonts w:hint="eastAsia" w:hAnsi="宋体" w:cs="宋体"/>
          <w:color w:val="auto"/>
          <w:kern w:val="0"/>
          <w:highlight w:val="none"/>
          <w:lang w:eastAsia="zh-CN"/>
        </w:rPr>
        <w:t>、</w:t>
      </w:r>
      <w:r>
        <w:rPr>
          <w:rFonts w:hint="eastAsia" w:hAnsi="宋体" w:cs="宋体"/>
          <w:color w:val="auto"/>
          <w:kern w:val="0"/>
          <w:highlight w:val="none"/>
        </w:rPr>
        <w:t>B</w:t>
      </w:r>
      <w:r>
        <w:rPr>
          <w:rFonts w:hint="eastAsia" w:hAnsi="宋体" w:cs="宋体"/>
          <w:color w:val="auto"/>
          <w:kern w:val="0"/>
          <w:highlight w:val="none"/>
          <w:vertAlign w:val="subscript"/>
          <w:lang w:eastAsia="zh-CN"/>
        </w:rPr>
        <w:t>3</w:t>
      </w:r>
      <w:r>
        <w:rPr>
          <w:rFonts w:hint="eastAsia" w:hAnsi="宋体" w:cs="宋体"/>
          <w:color w:val="auto"/>
          <w:kern w:val="0"/>
          <w:highlight w:val="none"/>
        </w:rPr>
        <w:t>…B</w:t>
      </w:r>
      <w:r>
        <w:rPr>
          <w:rFonts w:hint="eastAsia" w:hAnsi="宋体" w:cs="宋体"/>
          <w:color w:val="auto"/>
          <w:kern w:val="0"/>
          <w:highlight w:val="none"/>
          <w:vertAlign w:val="subscript"/>
        </w:rPr>
        <w:t>n</w:t>
      </w:r>
      <w:r>
        <w:rPr>
          <w:rFonts w:hint="eastAsia" w:hAnsi="宋体" w:cs="宋体"/>
          <w:color w:val="auto"/>
          <w:kern w:val="0"/>
          <w:highlight w:val="none"/>
        </w:rPr>
        <w:t>——各可调因子的金额占最高投标限价固定价格部分扣除增值税的权重（即可调部分的权重）；</w:t>
      </w:r>
    </w:p>
    <w:p w14:paraId="1EBBEF92">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 xml:space="preserve">     F</w:t>
      </w:r>
      <w:r>
        <w:rPr>
          <w:rFonts w:hint="eastAsia" w:hAnsi="宋体" w:cs="宋体"/>
          <w:color w:val="auto"/>
          <w:kern w:val="0"/>
          <w:highlight w:val="none"/>
          <w:vertAlign w:val="subscript"/>
        </w:rPr>
        <w:t>tl</w:t>
      </w:r>
      <w:r>
        <w:rPr>
          <w:rFonts w:hint="eastAsia" w:hAnsi="宋体" w:cs="宋体"/>
          <w:color w:val="auto"/>
          <w:kern w:val="0"/>
          <w:highlight w:val="none"/>
        </w:rPr>
        <w:t>、F</w:t>
      </w:r>
      <w:r>
        <w:rPr>
          <w:rFonts w:hint="eastAsia" w:hAnsi="宋体" w:cs="宋体"/>
          <w:color w:val="auto"/>
          <w:kern w:val="0"/>
          <w:highlight w:val="none"/>
          <w:vertAlign w:val="subscript"/>
        </w:rPr>
        <w:t>t</w:t>
      </w:r>
      <w:r>
        <w:rPr>
          <w:rFonts w:hint="eastAsia" w:hAnsi="宋体" w:cs="宋体"/>
          <w:color w:val="auto"/>
          <w:kern w:val="0"/>
          <w:highlight w:val="none"/>
          <w:vertAlign w:val="subscript"/>
          <w:lang w:eastAsia="zh-CN"/>
        </w:rPr>
        <w:t>2</w:t>
      </w:r>
      <w:r>
        <w:rPr>
          <w:rFonts w:hint="eastAsia" w:hAnsi="宋体" w:cs="宋体"/>
          <w:color w:val="auto"/>
          <w:kern w:val="0"/>
          <w:highlight w:val="none"/>
          <w:lang w:eastAsia="zh-CN"/>
        </w:rPr>
        <w:t>、</w:t>
      </w:r>
      <w:r>
        <w:rPr>
          <w:rFonts w:hint="eastAsia" w:hAnsi="宋体" w:cs="宋体"/>
          <w:color w:val="auto"/>
          <w:kern w:val="0"/>
          <w:highlight w:val="none"/>
        </w:rPr>
        <w:t>F</w:t>
      </w:r>
      <w:r>
        <w:rPr>
          <w:rFonts w:hint="eastAsia" w:hAnsi="宋体" w:cs="宋体"/>
          <w:color w:val="auto"/>
          <w:kern w:val="0"/>
          <w:highlight w:val="none"/>
          <w:vertAlign w:val="subscript"/>
        </w:rPr>
        <w:t>t</w:t>
      </w:r>
      <w:r>
        <w:rPr>
          <w:rFonts w:hint="eastAsia" w:hAnsi="宋体" w:cs="宋体"/>
          <w:color w:val="auto"/>
          <w:kern w:val="0"/>
          <w:highlight w:val="none"/>
          <w:vertAlign w:val="subscript"/>
          <w:lang w:eastAsia="zh-CN"/>
        </w:rPr>
        <w:t>3</w:t>
      </w:r>
      <w:r>
        <w:rPr>
          <w:rFonts w:hint="eastAsia" w:hAnsi="宋体" w:cs="宋体"/>
          <w:color w:val="auto"/>
          <w:kern w:val="0"/>
          <w:highlight w:val="none"/>
        </w:rPr>
        <w:t>…F</w:t>
      </w:r>
      <w:r>
        <w:rPr>
          <w:rFonts w:hint="eastAsia" w:hAnsi="宋体" w:cs="宋体"/>
          <w:color w:val="auto"/>
          <w:kern w:val="0"/>
          <w:highlight w:val="none"/>
          <w:vertAlign w:val="subscript"/>
        </w:rPr>
        <w:t>tn</w:t>
      </w:r>
      <w:r>
        <w:rPr>
          <w:rFonts w:hint="eastAsia" w:hAnsi="宋体" w:cs="宋体"/>
          <w:color w:val="auto"/>
          <w:kern w:val="0"/>
          <w:highlight w:val="none"/>
        </w:rPr>
        <w:t>——各可调因子的施工期间价格指数；</w:t>
      </w:r>
    </w:p>
    <w:p w14:paraId="0A385035">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 xml:space="preserve">     F</w:t>
      </w:r>
      <w:r>
        <w:rPr>
          <w:rFonts w:hint="eastAsia" w:hAnsi="宋体" w:cs="宋体"/>
          <w:color w:val="auto"/>
          <w:kern w:val="0"/>
          <w:highlight w:val="none"/>
          <w:vertAlign w:val="subscript"/>
        </w:rPr>
        <w:t>0</w:t>
      </w:r>
      <w:r>
        <w:rPr>
          <w:rFonts w:hint="eastAsia" w:hAnsi="宋体" w:cs="宋体"/>
          <w:color w:val="auto"/>
          <w:kern w:val="0"/>
          <w:highlight w:val="none"/>
          <w:vertAlign w:val="subscript"/>
          <w:lang w:eastAsia="zh-CN"/>
        </w:rPr>
        <w:t>1</w:t>
      </w:r>
      <w:r>
        <w:rPr>
          <w:rFonts w:hint="eastAsia" w:hAnsi="宋体" w:cs="宋体"/>
          <w:color w:val="auto"/>
          <w:kern w:val="0"/>
          <w:highlight w:val="none"/>
          <w:lang w:eastAsia="zh-CN"/>
        </w:rPr>
        <w:t>、</w:t>
      </w:r>
      <w:r>
        <w:rPr>
          <w:rFonts w:hint="eastAsia" w:hAnsi="宋体" w:cs="宋体"/>
          <w:color w:val="auto"/>
          <w:kern w:val="0"/>
          <w:highlight w:val="none"/>
        </w:rPr>
        <w:t>F</w:t>
      </w:r>
      <w:r>
        <w:rPr>
          <w:rFonts w:hint="eastAsia" w:hAnsi="宋体" w:cs="宋体"/>
          <w:color w:val="auto"/>
          <w:kern w:val="0"/>
          <w:highlight w:val="none"/>
          <w:vertAlign w:val="subscript"/>
        </w:rPr>
        <w:t>0</w:t>
      </w:r>
      <w:r>
        <w:rPr>
          <w:rFonts w:hint="eastAsia" w:hAnsi="宋体" w:cs="宋体"/>
          <w:color w:val="auto"/>
          <w:kern w:val="0"/>
          <w:highlight w:val="none"/>
          <w:vertAlign w:val="subscript"/>
          <w:lang w:eastAsia="zh-CN"/>
        </w:rPr>
        <w:t>2</w:t>
      </w:r>
      <w:r>
        <w:rPr>
          <w:rFonts w:hint="eastAsia" w:hAnsi="宋体" w:cs="宋体"/>
          <w:color w:val="auto"/>
          <w:kern w:val="0"/>
          <w:highlight w:val="none"/>
          <w:lang w:eastAsia="zh-CN"/>
        </w:rPr>
        <w:t>、</w:t>
      </w:r>
      <w:r>
        <w:rPr>
          <w:rFonts w:hint="eastAsia" w:hAnsi="宋体" w:cs="宋体"/>
          <w:color w:val="auto"/>
          <w:kern w:val="0"/>
          <w:highlight w:val="none"/>
        </w:rPr>
        <w:t>F</w:t>
      </w:r>
      <w:r>
        <w:rPr>
          <w:rFonts w:hint="eastAsia" w:hAnsi="宋体" w:cs="宋体"/>
          <w:color w:val="auto"/>
          <w:kern w:val="0"/>
          <w:highlight w:val="none"/>
          <w:vertAlign w:val="subscript"/>
        </w:rPr>
        <w:t>0</w:t>
      </w:r>
      <w:r>
        <w:rPr>
          <w:rFonts w:hint="eastAsia" w:hAnsi="宋体" w:cs="宋体"/>
          <w:color w:val="auto"/>
          <w:kern w:val="0"/>
          <w:highlight w:val="none"/>
          <w:vertAlign w:val="subscript"/>
          <w:lang w:eastAsia="zh-CN"/>
        </w:rPr>
        <w:t>3</w:t>
      </w:r>
      <w:r>
        <w:rPr>
          <w:rFonts w:hint="eastAsia" w:hAnsi="宋体" w:cs="宋体"/>
          <w:color w:val="auto"/>
          <w:kern w:val="0"/>
          <w:highlight w:val="none"/>
        </w:rPr>
        <w:t>…F</w:t>
      </w:r>
      <w:r>
        <w:rPr>
          <w:rFonts w:hint="eastAsia" w:hAnsi="宋体" w:cs="宋体"/>
          <w:color w:val="auto"/>
          <w:kern w:val="0"/>
          <w:highlight w:val="none"/>
          <w:vertAlign w:val="subscript"/>
        </w:rPr>
        <w:t>0n</w:t>
      </w:r>
      <w:r>
        <w:rPr>
          <w:rFonts w:hint="eastAsia" w:hAnsi="宋体" w:cs="宋体"/>
          <w:color w:val="auto"/>
          <w:kern w:val="0"/>
          <w:highlight w:val="none"/>
        </w:rPr>
        <w:t>——各可调因子的基本价格指数，指合同基准日的各可调因子的价格指数。本合同允许价格</w:t>
      </w:r>
      <w:r>
        <w:rPr>
          <w:rFonts w:hint="eastAsia" w:hAnsi="宋体" w:cs="宋体"/>
          <w:color w:val="auto"/>
          <w:kern w:val="0"/>
          <w:highlight w:val="none"/>
          <w:lang w:val="en-US" w:eastAsia="zh-CN"/>
        </w:rPr>
        <w:t>风险</w:t>
      </w:r>
      <w:r>
        <w:rPr>
          <w:rFonts w:hint="eastAsia" w:hAnsi="宋体" w:cs="宋体"/>
          <w:color w:val="auto"/>
          <w:kern w:val="0"/>
          <w:highlight w:val="none"/>
        </w:rPr>
        <w:t>幅度以《人工及主要材料费可调因子价格指数及权重表》载明的为准，基本价格指数应予以考虑此</w:t>
      </w:r>
      <w:r>
        <w:rPr>
          <w:rFonts w:hint="eastAsia" w:hAnsi="宋体" w:cs="宋体"/>
          <w:color w:val="auto"/>
          <w:kern w:val="0"/>
          <w:highlight w:val="none"/>
          <w:lang w:val="en-US" w:eastAsia="zh-CN"/>
        </w:rPr>
        <w:t>风险</w:t>
      </w:r>
      <w:r>
        <w:rPr>
          <w:rFonts w:hint="eastAsia" w:hAnsi="宋体" w:cs="宋体"/>
          <w:color w:val="auto"/>
          <w:kern w:val="0"/>
          <w:highlight w:val="none"/>
        </w:rPr>
        <w:t>幅度系数</w:t>
      </w:r>
      <w:r>
        <w:rPr>
          <w:rFonts w:hint="eastAsia" w:hAnsi="宋体" w:cs="宋体"/>
          <w:color w:val="auto"/>
          <w:kern w:val="0"/>
          <w:highlight w:val="none"/>
          <w:lang w:eastAsia="zh-CN"/>
        </w:rPr>
        <w:t>，</w:t>
      </w:r>
      <w:r>
        <w:rPr>
          <w:rFonts w:hint="eastAsia" w:hAnsi="宋体" w:cs="宋体"/>
          <w:color w:val="auto"/>
          <w:kern w:val="0"/>
          <w:highlight w:val="none"/>
        </w:rPr>
        <w:t>即：基本价格指数F</w:t>
      </w:r>
      <w:r>
        <w:rPr>
          <w:rFonts w:hint="eastAsia" w:hAnsi="宋体" w:cs="宋体"/>
          <w:color w:val="auto"/>
          <w:kern w:val="0"/>
          <w:highlight w:val="none"/>
          <w:vertAlign w:val="subscript"/>
        </w:rPr>
        <w:t>0n</w:t>
      </w:r>
      <w:r>
        <w:rPr>
          <w:rFonts w:hint="eastAsia" w:hAnsi="宋体" w:cs="宋体"/>
          <w:color w:val="auto"/>
          <w:kern w:val="0"/>
          <w:highlight w:val="none"/>
        </w:rPr>
        <w:t>=合同基准日价格指数</w:t>
      </w:r>
      <w:r>
        <w:rPr>
          <w:rFonts w:hint="eastAsia" w:hAnsi="宋体" w:cs="宋体"/>
          <w:color w:val="auto"/>
          <w:kern w:val="0"/>
          <w:highlight w:val="none"/>
          <w:lang w:val="en-US" w:eastAsia="zh-CN"/>
        </w:rPr>
        <w:t>×（1+</w:t>
      </w:r>
      <w:r>
        <w:rPr>
          <w:rFonts w:hint="eastAsia" w:hAnsi="宋体" w:cs="宋体"/>
          <w:color w:val="auto"/>
          <w:kern w:val="0"/>
          <w:highlight w:val="none"/>
        </w:rPr>
        <w:t>合同约定</w:t>
      </w:r>
      <w:r>
        <w:rPr>
          <w:rFonts w:hint="eastAsia" w:hAnsi="宋体" w:cs="宋体"/>
          <w:color w:val="auto"/>
          <w:kern w:val="0"/>
          <w:highlight w:val="none"/>
          <w:lang w:val="en-US" w:eastAsia="zh-CN"/>
        </w:rPr>
        <w:t>风险</w:t>
      </w:r>
      <w:r>
        <w:rPr>
          <w:rFonts w:hint="eastAsia" w:hAnsi="宋体" w:cs="宋体"/>
          <w:color w:val="auto"/>
          <w:kern w:val="0"/>
          <w:highlight w:val="none"/>
        </w:rPr>
        <w:t>幅度</w:t>
      </w:r>
      <w:r>
        <w:rPr>
          <w:rFonts w:hint="eastAsia" w:hAnsi="宋体" w:cs="宋体"/>
          <w:color w:val="auto"/>
          <w:kern w:val="0"/>
          <w:highlight w:val="none"/>
          <w:lang w:eastAsia="zh-CN"/>
        </w:rPr>
        <w:t>）</w:t>
      </w:r>
      <w:r>
        <w:rPr>
          <w:rFonts w:hint="eastAsia" w:hAnsi="宋体" w:cs="宋体"/>
          <w:color w:val="auto"/>
          <w:kern w:val="0"/>
          <w:highlight w:val="none"/>
        </w:rPr>
        <w:t>。</w:t>
      </w:r>
    </w:p>
    <w:p w14:paraId="38BBE2F9">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上述价格指数调差公式中的各可调因子、变值权重详见《人工及主要材料费可调因子价格指数及权重表》。施工期间价格指数按照本合同约定的各项价格指数确定，该周期内因物价变化形成多个价格指数的，采用计算周期内人工及材料算术平均价格指数作为调整公式使用的价格指数。在计算调整差额时得不到施工期间价格指数的，可暂用上一计量周期的价格指数计算，并在以后的付款中再按实际价格指数进行调整。发包人确认的进度款人工费价差及材料费价差不作为过程结算和竣工结算的依据，但发包人确认的过程结算人工费价差及材料费价差作为竣工结算的依据。</w:t>
      </w:r>
    </w:p>
    <w:p w14:paraId="5A4445D2">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11.2.</w:t>
      </w:r>
      <w:r>
        <w:rPr>
          <w:rFonts w:hint="eastAsia" w:hAnsi="宋体" w:cs="宋体"/>
          <w:color w:val="auto"/>
          <w:kern w:val="0"/>
          <w:highlight w:val="none"/>
          <w:lang w:eastAsia="zh-CN"/>
        </w:rPr>
        <w:t>3</w:t>
      </w:r>
      <w:r>
        <w:rPr>
          <w:rFonts w:hint="eastAsia" w:hAnsi="宋体" w:cs="宋体"/>
          <w:color w:val="auto"/>
          <w:kern w:val="0"/>
          <w:highlight w:val="none"/>
        </w:rPr>
        <w:t>采用价格信息调差法进行价差调整</w:t>
      </w:r>
      <w:r>
        <w:rPr>
          <w:rFonts w:hint="default" w:hAnsi="宋体" w:cs="宋体"/>
          <w:color w:val="auto"/>
          <w:kern w:val="0"/>
          <w:highlight w:val="none"/>
          <w:lang w:val="en"/>
        </w:rPr>
        <w:t>的</w:t>
      </w:r>
      <w:r>
        <w:rPr>
          <w:rFonts w:hint="eastAsia" w:hAnsi="宋体" w:cs="宋体"/>
          <w:color w:val="auto"/>
          <w:kern w:val="0"/>
          <w:highlight w:val="none"/>
        </w:rPr>
        <w:t>，因物价变化引起合同清单的分部分项工程项目清单的人工费、主要材料费分别按照下列进行价格调整：</w:t>
      </w:r>
    </w:p>
    <w:p w14:paraId="48952BCA">
      <w:pPr>
        <w:numPr>
          <w:ilvl w:val="0"/>
          <w:numId w:val="2"/>
        </w:num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计量周期内人工费价差按</w:t>
      </w:r>
      <w:r>
        <w:rPr>
          <w:rFonts w:hint="eastAsia" w:hAnsi="宋体" w:cs="宋体"/>
          <w:strike w:val="0"/>
          <w:color w:val="auto"/>
          <w:kern w:val="0"/>
          <w:highlight w:val="none"/>
          <w:lang w:eastAsia="zh-CN"/>
        </w:rPr>
        <w:t>全过程计价规范中</w:t>
      </w:r>
      <w:r>
        <w:rPr>
          <w:rFonts w:hint="eastAsia" w:hAnsi="宋体" w:cs="宋体"/>
          <w:color w:val="auto"/>
          <w:kern w:val="0"/>
          <w:highlight w:val="none"/>
        </w:rPr>
        <w:t>《人工费价差计算表》及如下公式计算：人工费价差调整=人工费</w:t>
      </w:r>
      <w:r>
        <w:rPr>
          <w:rFonts w:hint="eastAsia" w:hAnsi="宋体" w:cs="宋体"/>
          <w:color w:val="auto"/>
          <w:kern w:val="0"/>
          <w:highlight w:val="none"/>
          <w:lang w:val="en-US" w:eastAsia="zh-CN"/>
        </w:rPr>
        <w:t>×</w:t>
      </w:r>
      <w:r>
        <w:rPr>
          <w:rFonts w:hint="default" w:hAnsi="宋体" w:cs="宋体"/>
          <w:color w:val="auto"/>
          <w:kern w:val="0"/>
          <w:highlight w:val="none"/>
          <w:lang w:val="en" w:eastAsia="zh-CN"/>
        </w:rPr>
        <w:t>[</w:t>
      </w:r>
      <w:r>
        <w:rPr>
          <w:rFonts w:hint="eastAsia" w:hAnsi="宋体" w:cs="宋体"/>
          <w:color w:val="auto"/>
          <w:kern w:val="0"/>
          <w:highlight w:val="none"/>
        </w:rPr>
        <w:t>施工期间人工费价格指数</w:t>
      </w:r>
      <w:r>
        <w:rPr>
          <w:rFonts w:hint="eastAsia" w:hAnsi="宋体" w:cs="宋体"/>
          <w:color w:val="auto"/>
          <w:kern w:val="0"/>
          <w:highlight w:val="none"/>
          <w:lang w:eastAsia="zh-CN"/>
        </w:rPr>
        <w:t>÷</w:t>
      </w:r>
      <w:r>
        <w:rPr>
          <w:rFonts w:hint="eastAsia" w:hAnsi="宋体" w:cs="宋体"/>
          <w:color w:val="auto"/>
          <w:kern w:val="0"/>
          <w:highlight w:val="none"/>
        </w:rPr>
        <w:t>（基准日人工费价格指数</w:t>
      </w:r>
      <w:r>
        <w:rPr>
          <w:rFonts w:hint="eastAsia" w:hAnsi="宋体" w:cs="宋体"/>
          <w:color w:val="auto"/>
          <w:kern w:val="0"/>
          <w:highlight w:val="none"/>
          <w:lang w:val="en-US" w:eastAsia="zh-CN"/>
        </w:rPr>
        <w:t>×（1</w:t>
      </w:r>
      <w:r>
        <w:rPr>
          <w:rFonts w:hint="eastAsia" w:hAnsi="宋体" w:cs="宋体"/>
          <w:color w:val="auto"/>
          <w:kern w:val="0"/>
          <w:highlight w:val="none"/>
        </w:rPr>
        <w:t>+</w:t>
      </w:r>
      <w:r>
        <w:rPr>
          <w:rFonts w:hint="eastAsia" w:hAnsi="宋体" w:cs="宋体"/>
          <w:color w:val="auto"/>
          <w:kern w:val="0"/>
          <w:highlight w:val="none"/>
          <w:lang w:eastAsia="zh-CN"/>
        </w:rPr>
        <w:t>风险</w:t>
      </w:r>
      <w:r>
        <w:rPr>
          <w:rFonts w:hint="eastAsia" w:hAnsi="宋体" w:cs="宋体"/>
          <w:color w:val="auto"/>
          <w:kern w:val="0"/>
          <w:highlight w:val="none"/>
        </w:rPr>
        <w:t>幅度）</w:t>
      </w:r>
      <w:r>
        <w:rPr>
          <w:rFonts w:hint="eastAsia" w:hAnsi="宋体" w:cs="宋体"/>
          <w:color w:val="auto"/>
          <w:kern w:val="0"/>
          <w:highlight w:val="none"/>
          <w:lang w:val="en-US" w:eastAsia="zh-CN"/>
        </w:rPr>
        <w:t>-</w:t>
      </w:r>
      <w:r>
        <w:rPr>
          <w:rFonts w:hint="default" w:hAnsi="宋体" w:cs="宋体"/>
          <w:color w:val="auto"/>
          <w:kern w:val="0"/>
          <w:highlight w:val="none"/>
          <w:lang w:val="en" w:eastAsia="zh-CN"/>
        </w:rPr>
        <w:t>1</w:t>
      </w:r>
      <w:r>
        <w:rPr>
          <w:rFonts w:hint="eastAsia" w:hAnsi="宋体" w:cs="宋体"/>
          <w:color w:val="auto"/>
          <w:kern w:val="0"/>
          <w:highlight w:val="none"/>
          <w:lang w:eastAsia="zh-CN"/>
        </w:rPr>
        <w:t>）</w:t>
      </w:r>
      <w:r>
        <w:rPr>
          <w:rFonts w:hint="default" w:hAnsi="宋体" w:cs="宋体"/>
          <w:color w:val="auto"/>
          <w:kern w:val="0"/>
          <w:highlight w:val="none"/>
          <w:lang w:val="en" w:eastAsia="zh-CN"/>
        </w:rPr>
        <w:t>]</w:t>
      </w:r>
      <w:r>
        <w:rPr>
          <w:rFonts w:hint="eastAsia" w:hAnsi="宋体" w:cs="宋体"/>
          <w:color w:val="auto"/>
          <w:kern w:val="0"/>
          <w:highlight w:val="none"/>
        </w:rPr>
        <w:t>。因市场价格波动形成多个价格指数的，进度款按算术平均价格指数，过程结算及竣工结算采用</w:t>
      </w:r>
      <w:r>
        <w:rPr>
          <w:rFonts w:hint="eastAsia" w:hAnsi="宋体" w:cs="宋体"/>
          <w:color w:val="auto"/>
          <w:kern w:val="0"/>
          <w:highlight w:val="none"/>
        </w:rPr>
        <w:sym w:font="Wingdings 2" w:char="00A3"/>
      </w:r>
      <w:r>
        <w:rPr>
          <w:rFonts w:hint="eastAsia" w:hAnsi="宋体" w:cs="宋体"/>
          <w:color w:val="auto"/>
          <w:kern w:val="0"/>
          <w:highlight w:val="none"/>
        </w:rPr>
        <w:t>加权平均</w:t>
      </w:r>
      <w:r>
        <w:rPr>
          <w:rFonts w:hint="eastAsia" w:hAnsi="宋体" w:cs="宋体"/>
          <w:color w:val="auto"/>
          <w:kern w:val="0"/>
          <w:highlight w:val="none"/>
        </w:rPr>
        <w:sym w:font="Wingdings 2" w:char="00A3"/>
      </w:r>
      <w:r>
        <w:rPr>
          <w:rFonts w:hint="eastAsia" w:hAnsi="宋体" w:cs="宋体"/>
          <w:color w:val="auto"/>
          <w:kern w:val="0"/>
          <w:highlight w:val="none"/>
        </w:rPr>
        <w:t>算术平均价格指数。过程结算及竣工结算若采用加权平均价格指数，应按照历次进度款人工费占总进度款人工费总额比例和相应月份人工费价格指数计算人工费价格指数加权平均值。</w:t>
      </w:r>
    </w:p>
    <w:p w14:paraId="70B7105B">
      <w:pPr>
        <w:numPr>
          <w:ilvl w:val="0"/>
          <w:numId w:val="3"/>
        </w:numPr>
        <w:spacing w:line="360" w:lineRule="auto"/>
        <w:ind w:firstLine="420" w:firstLineChars="200"/>
        <w:jc w:val="left"/>
        <w:rPr>
          <w:rFonts w:hint="eastAsia" w:hAnsi="宋体" w:cs="宋体"/>
          <w:color w:val="auto"/>
          <w:kern w:val="0"/>
          <w:highlight w:val="none"/>
          <w:lang w:eastAsia="zh-CN"/>
        </w:rPr>
      </w:pPr>
      <w:r>
        <w:rPr>
          <w:rFonts w:hint="eastAsia" w:hAnsi="宋体" w:cs="宋体"/>
          <w:color w:val="auto"/>
          <w:kern w:val="0"/>
          <w:highlight w:val="none"/>
        </w:rPr>
        <w:t>计量周期内允许调整的主要材料工程量及其施工期间单价</w:t>
      </w:r>
      <w:r>
        <w:rPr>
          <w:rFonts w:hint="eastAsia" w:hAnsi="宋体" w:cs="宋体"/>
          <w:color w:val="auto"/>
          <w:kern w:val="0"/>
          <w:highlight w:val="none"/>
          <w:lang w:eastAsia="zh-CN"/>
        </w:rPr>
        <w:t>的确定方法选择：</w:t>
      </w:r>
    </w:p>
    <w:p w14:paraId="403ECD4A">
      <w:pPr>
        <w:numPr>
          <w:ilvl w:val="0"/>
          <w:numId w:val="0"/>
        </w:numPr>
        <w:spacing w:line="360" w:lineRule="auto"/>
        <w:ind w:firstLine="630" w:firstLineChars="300"/>
        <w:jc w:val="left"/>
        <w:rPr>
          <w:rFonts w:hint="eastAsia" w:hAnsi="宋体" w:cs="宋体"/>
          <w:color w:val="auto"/>
          <w:kern w:val="0"/>
          <w:highlight w:val="none"/>
          <w:lang w:eastAsia="zh-CN"/>
        </w:rPr>
      </w:pPr>
      <w:r>
        <w:rPr>
          <w:rFonts w:hint="eastAsia" w:hAnsi="宋体" w:cs="宋体"/>
          <w:color w:val="auto"/>
          <w:kern w:val="0"/>
          <w:highlight w:val="none"/>
        </w:rPr>
        <w:sym w:font="Wingdings 2" w:char="00A3"/>
      </w:r>
      <w:r>
        <w:rPr>
          <w:rFonts w:hint="eastAsia" w:hAnsi="宋体" w:cs="宋体"/>
          <w:color w:val="auto"/>
          <w:kern w:val="0"/>
          <w:highlight w:val="none"/>
          <w:lang w:eastAsia="zh-CN"/>
        </w:rPr>
        <w:t>采用发包人认定的材料采购价格作为允许调整价格的主要材料施工期间市场价格的，承包人应在采购材料前将采购数量和新的材料单价报送发包人核对，确认用于本合同工程时，发包人应确认采购材料的数量和单价，分批采购时按权重取平均值计算。发包人在收到承包人报送的价格差额调整资料后3个工作日内不予答复的视为已经认可，作为进度款、过程结算、竣工结算的依据。如果承包人未报发包人核对即自行采购材料，再报发包人确认调整合同价格的，如发包人不同意，则不作调整。</w:t>
      </w:r>
    </w:p>
    <w:p w14:paraId="6D0DBDA0">
      <w:pPr>
        <w:numPr>
          <w:ilvl w:val="0"/>
          <w:numId w:val="0"/>
        </w:num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sym w:font="Wingdings 2" w:char="00A3"/>
      </w:r>
      <w:r>
        <w:rPr>
          <w:rFonts w:hint="eastAsia" w:hAnsi="宋体" w:cs="宋体"/>
          <w:color w:val="auto"/>
          <w:kern w:val="0"/>
          <w:highlight w:val="none"/>
          <w:lang w:eastAsia="zh-CN"/>
        </w:rPr>
        <w:t>采用建设工程造价管理机构发布的</w:t>
      </w:r>
      <w:r>
        <w:rPr>
          <w:rFonts w:hint="eastAsia" w:hAnsi="宋体" w:cs="宋体"/>
          <w:color w:val="auto"/>
          <w:kern w:val="0"/>
          <w:highlight w:val="none"/>
          <w:lang w:val="en-US" w:eastAsia="zh-CN"/>
        </w:rPr>
        <w:t>信息价</w:t>
      </w:r>
      <w:r>
        <w:rPr>
          <w:rFonts w:hint="eastAsia" w:hAnsi="宋体" w:cs="宋体"/>
          <w:color w:val="auto"/>
          <w:kern w:val="0"/>
          <w:highlight w:val="none"/>
          <w:lang w:eastAsia="zh-CN"/>
        </w:rPr>
        <w:t>作为允许调整价格的主要材料施工期间市场价格的，允许调整价格的主要材料数量按招标人提供的相应预算清单单位工程的主要材料消耗量乘以实际完成并予以计量的相应</w:t>
      </w:r>
      <w:r>
        <w:rPr>
          <w:rFonts w:hint="eastAsia" w:hAnsi="宋体" w:cs="宋体"/>
          <w:color w:val="auto"/>
          <w:kern w:val="0"/>
          <w:highlight w:val="none"/>
          <w:lang w:val="en-US" w:eastAsia="zh-CN"/>
        </w:rPr>
        <w:t>清单</w:t>
      </w:r>
      <w:r>
        <w:rPr>
          <w:rFonts w:hint="eastAsia" w:hAnsi="宋体" w:cs="宋体"/>
          <w:color w:val="auto"/>
          <w:kern w:val="0"/>
          <w:highlight w:val="none"/>
          <w:lang w:eastAsia="zh-CN"/>
        </w:rPr>
        <w:t>工程量计算；单价为该材料施工期间建设工程造价管理机构发布的信息价，</w:t>
      </w:r>
      <w:r>
        <w:rPr>
          <w:rFonts w:hint="eastAsia" w:hAnsi="宋体" w:cs="宋体"/>
          <w:color w:val="auto"/>
          <w:kern w:val="0"/>
          <w:highlight w:val="none"/>
        </w:rPr>
        <w:t>采用</w:t>
      </w:r>
      <w:r>
        <w:rPr>
          <w:rFonts w:hint="eastAsia" w:hAnsi="宋体" w:cs="宋体"/>
          <w:color w:val="auto"/>
          <w:kern w:val="0"/>
          <w:highlight w:val="none"/>
        </w:rPr>
        <w:sym w:font="Wingdings 2" w:char="00A3"/>
      </w:r>
      <w:r>
        <w:rPr>
          <w:rFonts w:hint="eastAsia" w:hAnsi="宋体" w:cs="宋体"/>
          <w:color w:val="auto"/>
          <w:kern w:val="0"/>
          <w:highlight w:val="none"/>
        </w:rPr>
        <w:t>加权平均</w:t>
      </w:r>
      <w:r>
        <w:rPr>
          <w:rFonts w:hint="eastAsia" w:hAnsi="宋体" w:cs="宋体"/>
          <w:color w:val="auto"/>
          <w:kern w:val="0"/>
          <w:highlight w:val="none"/>
          <w:lang w:eastAsia="zh-CN"/>
        </w:rPr>
        <w:t>价格</w:t>
      </w:r>
      <w:r>
        <w:rPr>
          <w:rFonts w:hint="eastAsia" w:hAnsi="宋体" w:cs="宋体"/>
          <w:color w:val="auto"/>
          <w:kern w:val="0"/>
          <w:highlight w:val="none"/>
        </w:rPr>
        <w:sym w:font="Wingdings 2" w:char="00A3"/>
      </w:r>
      <w:r>
        <w:rPr>
          <w:rFonts w:hint="eastAsia" w:hAnsi="宋体" w:cs="宋体"/>
          <w:color w:val="auto"/>
          <w:kern w:val="0"/>
          <w:highlight w:val="none"/>
        </w:rPr>
        <w:t>算术平均价格</w:t>
      </w:r>
      <w:r>
        <w:rPr>
          <w:rFonts w:hint="eastAsia" w:hAnsi="宋体" w:cs="宋体"/>
          <w:color w:val="auto"/>
          <w:kern w:val="0"/>
          <w:highlight w:val="none"/>
          <w:lang w:val="en-US" w:eastAsia="zh-CN"/>
        </w:rPr>
        <w:t>计算</w:t>
      </w:r>
      <w:r>
        <w:rPr>
          <w:rFonts w:hint="eastAsia" w:hAnsi="宋体" w:cs="宋体"/>
          <w:color w:val="auto"/>
          <w:kern w:val="0"/>
          <w:highlight w:val="none"/>
          <w:lang w:eastAsia="zh-CN"/>
        </w:rPr>
        <w:t>。建设工程造价管理机构发布的信息价没有的</w:t>
      </w:r>
      <w:r>
        <w:rPr>
          <w:rFonts w:hint="eastAsia" w:hAnsi="宋体" w:cs="宋体"/>
          <w:color w:val="auto"/>
          <w:kern w:val="0"/>
          <w:highlight w:val="none"/>
          <w:lang w:val="en-US" w:eastAsia="zh-CN"/>
        </w:rPr>
        <w:t>材料</w:t>
      </w:r>
      <w:r>
        <w:rPr>
          <w:rFonts w:hint="eastAsia" w:hAnsi="宋体" w:cs="宋体"/>
          <w:color w:val="auto"/>
          <w:kern w:val="0"/>
          <w:highlight w:val="none"/>
          <w:lang w:eastAsia="zh-CN"/>
        </w:rPr>
        <w:t>由发承包双方根据市场行情及时确认</w:t>
      </w:r>
      <w:r>
        <w:rPr>
          <w:rFonts w:hint="eastAsia" w:hAnsi="宋体" w:cs="宋体"/>
          <w:color w:val="auto"/>
          <w:kern w:val="0"/>
          <w:highlight w:val="none"/>
          <w:lang w:val="en-US" w:eastAsia="zh-CN"/>
        </w:rPr>
        <w:t>价格</w:t>
      </w:r>
      <w:r>
        <w:rPr>
          <w:rFonts w:hint="eastAsia" w:hAnsi="宋体" w:cs="宋体"/>
          <w:color w:val="auto"/>
          <w:kern w:val="0"/>
          <w:highlight w:val="none"/>
          <w:lang w:eastAsia="zh-CN"/>
        </w:rPr>
        <w:t>。</w:t>
      </w:r>
    </w:p>
    <w:p w14:paraId="0C7AA0E6">
      <w:pPr>
        <w:numPr>
          <w:ilvl w:val="0"/>
          <w:numId w:val="0"/>
        </w:num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lang w:eastAsia="zh-CN"/>
        </w:rPr>
        <w:t>（</w:t>
      </w:r>
      <w:r>
        <w:rPr>
          <w:rFonts w:hint="eastAsia" w:hAnsi="宋体" w:cs="宋体"/>
          <w:color w:val="auto"/>
          <w:kern w:val="0"/>
          <w:highlight w:val="none"/>
          <w:lang w:val="en-US" w:eastAsia="zh-CN"/>
        </w:rPr>
        <w:t>3</w:t>
      </w:r>
      <w:r>
        <w:rPr>
          <w:rFonts w:hint="eastAsia" w:hAnsi="宋体" w:cs="宋体"/>
          <w:color w:val="auto"/>
          <w:kern w:val="0"/>
          <w:highlight w:val="none"/>
          <w:lang w:eastAsia="zh-CN"/>
        </w:rPr>
        <w:t>）计量周期内</w:t>
      </w:r>
      <w:r>
        <w:rPr>
          <w:rFonts w:hint="eastAsia" w:hAnsi="宋体" w:cs="宋体"/>
          <w:color w:val="auto"/>
          <w:kern w:val="0"/>
          <w:highlight w:val="none"/>
        </w:rPr>
        <w:t>材料价差</w:t>
      </w:r>
      <w:r>
        <w:rPr>
          <w:rFonts w:hint="eastAsia" w:hAnsi="宋体" w:cs="宋体"/>
          <w:color w:val="auto"/>
          <w:kern w:val="0"/>
          <w:highlight w:val="none"/>
          <w:lang w:eastAsia="zh-CN"/>
        </w:rPr>
        <w:t>根据</w:t>
      </w:r>
      <w:r>
        <w:rPr>
          <w:rFonts w:hint="eastAsia" w:hAnsi="宋体" w:cs="宋体"/>
          <w:color w:val="auto"/>
          <w:kern w:val="0"/>
          <w:highlight w:val="none"/>
        </w:rPr>
        <w:t>本合同约定</w:t>
      </w:r>
      <w:r>
        <w:rPr>
          <w:rFonts w:hint="eastAsia" w:hAnsi="宋体" w:cs="宋体"/>
          <w:color w:val="auto"/>
          <w:kern w:val="0"/>
          <w:highlight w:val="none"/>
          <w:lang w:eastAsia="zh-CN"/>
        </w:rPr>
        <w:t>及全过程计价规范</w:t>
      </w:r>
      <w:r>
        <w:rPr>
          <w:rFonts w:hint="eastAsia" w:hAnsi="宋体" w:cs="宋体"/>
          <w:color w:val="auto"/>
          <w:kern w:val="0"/>
          <w:highlight w:val="none"/>
        </w:rPr>
        <w:t>《主要材料费价差计算表》</w:t>
      </w:r>
      <w:r>
        <w:rPr>
          <w:rFonts w:hint="eastAsia" w:hAnsi="宋体" w:cs="宋体"/>
          <w:color w:val="auto"/>
          <w:kern w:val="0"/>
          <w:highlight w:val="none"/>
          <w:lang w:eastAsia="zh-CN"/>
        </w:rPr>
        <w:t>按</w:t>
      </w:r>
      <w:r>
        <w:rPr>
          <w:rFonts w:hint="eastAsia" w:hAnsi="宋体" w:cs="宋体"/>
          <w:color w:val="auto"/>
          <w:kern w:val="0"/>
          <w:highlight w:val="none"/>
        </w:rPr>
        <w:t>以下方法计算：</w:t>
      </w:r>
    </w:p>
    <w:p w14:paraId="0B3C91DB">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①《允许调整价格的主要材料一览表》中载明的材料投标报价低于基准价格的：合同履行期间材料单价涨幅以基准价格为基础超过约定的风险范围时，或材料单价跌幅以投标报价为基础超过约定的风险范围时，对其超过部分进行价差调整，价差计算公式：价格上涨价差=施工期间价格-基准价</w:t>
      </w:r>
      <w:r>
        <w:rPr>
          <w:rFonts w:hint="eastAsia" w:hAnsi="宋体" w:cs="宋体"/>
          <w:color w:val="auto"/>
          <w:kern w:val="0"/>
          <w:highlight w:val="none"/>
          <w:lang w:val="en-US" w:eastAsia="zh-CN"/>
        </w:rPr>
        <w:t>×</w:t>
      </w:r>
      <w:r>
        <w:rPr>
          <w:rFonts w:hint="eastAsia" w:hAnsi="宋体" w:cs="宋体"/>
          <w:color w:val="auto"/>
          <w:kern w:val="0"/>
          <w:highlight w:val="none"/>
        </w:rPr>
        <w:t>（1+风险</w:t>
      </w:r>
      <w:r>
        <w:rPr>
          <w:rFonts w:hint="eastAsia" w:hAnsi="宋体" w:cs="宋体"/>
          <w:color w:val="auto"/>
          <w:kern w:val="0"/>
          <w:highlight w:val="none"/>
          <w:lang w:eastAsia="zh-CN"/>
        </w:rPr>
        <w:t>幅度</w:t>
      </w:r>
      <w:r>
        <w:rPr>
          <w:rFonts w:hint="eastAsia" w:hAnsi="宋体" w:cs="宋体"/>
          <w:color w:val="auto"/>
          <w:kern w:val="0"/>
          <w:highlight w:val="none"/>
        </w:rPr>
        <w:t>），价格下跌价差=投标报价</w:t>
      </w:r>
      <w:r>
        <w:rPr>
          <w:rFonts w:hint="eastAsia" w:hAnsi="宋体" w:cs="宋体"/>
          <w:color w:val="auto"/>
          <w:kern w:val="0"/>
          <w:highlight w:val="none"/>
          <w:lang w:val="en-US" w:eastAsia="zh-CN"/>
        </w:rPr>
        <w:t>×</w:t>
      </w:r>
      <w:r>
        <w:rPr>
          <w:rFonts w:hint="eastAsia" w:hAnsi="宋体" w:cs="宋体"/>
          <w:color w:val="auto"/>
          <w:kern w:val="0"/>
          <w:highlight w:val="none"/>
        </w:rPr>
        <w:t>（1+风险</w:t>
      </w:r>
      <w:r>
        <w:rPr>
          <w:rFonts w:hint="eastAsia" w:hAnsi="宋体" w:cs="宋体"/>
          <w:color w:val="auto"/>
          <w:kern w:val="0"/>
          <w:highlight w:val="none"/>
          <w:lang w:eastAsia="zh-CN"/>
        </w:rPr>
        <w:t>幅度</w:t>
      </w:r>
      <w:r>
        <w:rPr>
          <w:rFonts w:hint="eastAsia" w:hAnsi="宋体" w:cs="宋体"/>
          <w:color w:val="auto"/>
          <w:kern w:val="0"/>
          <w:highlight w:val="none"/>
        </w:rPr>
        <w:t>）-施工期间价格。</w:t>
      </w:r>
    </w:p>
    <w:p w14:paraId="577DFAE8">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②承包人在《允许调整价格的主要材料一览表》中载明的材料投标报价高于基准价格的：合同履行期间材料单价跌幅以基准价格为基础超过约定的风险范围时，或材料单价涨幅以投标报价为基础超过约定的风险范围时，对其超过部分进行价差调整。价差计算公式：价格上涨价差=施工期间价格-投标报价</w:t>
      </w:r>
      <w:r>
        <w:rPr>
          <w:rFonts w:hint="eastAsia" w:hAnsi="宋体" w:cs="宋体"/>
          <w:color w:val="auto"/>
          <w:kern w:val="0"/>
          <w:highlight w:val="none"/>
          <w:lang w:val="en-US" w:eastAsia="zh-CN"/>
        </w:rPr>
        <w:t>×</w:t>
      </w:r>
      <w:r>
        <w:rPr>
          <w:rFonts w:hint="eastAsia" w:hAnsi="宋体" w:cs="宋体"/>
          <w:color w:val="auto"/>
          <w:kern w:val="0"/>
          <w:highlight w:val="none"/>
        </w:rPr>
        <w:t>（1+风险</w:t>
      </w:r>
      <w:r>
        <w:rPr>
          <w:rFonts w:hint="eastAsia" w:hAnsi="宋体" w:cs="宋体"/>
          <w:color w:val="auto"/>
          <w:kern w:val="0"/>
          <w:highlight w:val="none"/>
          <w:lang w:eastAsia="zh-CN"/>
        </w:rPr>
        <w:t>幅度</w:t>
      </w:r>
      <w:r>
        <w:rPr>
          <w:rFonts w:hint="eastAsia" w:hAnsi="宋体" w:cs="宋体"/>
          <w:color w:val="auto"/>
          <w:kern w:val="0"/>
          <w:highlight w:val="none"/>
        </w:rPr>
        <w:t>），价格下跌价差=基准价</w:t>
      </w:r>
      <w:r>
        <w:rPr>
          <w:rFonts w:hint="eastAsia" w:hAnsi="宋体" w:cs="宋体"/>
          <w:color w:val="auto"/>
          <w:kern w:val="0"/>
          <w:highlight w:val="none"/>
          <w:lang w:val="en-US" w:eastAsia="zh-CN"/>
        </w:rPr>
        <w:t>×</w:t>
      </w:r>
      <w:r>
        <w:rPr>
          <w:rFonts w:hint="eastAsia" w:hAnsi="宋体" w:cs="宋体"/>
          <w:color w:val="auto"/>
          <w:kern w:val="0"/>
          <w:highlight w:val="none"/>
        </w:rPr>
        <w:t>（1+风险</w:t>
      </w:r>
      <w:r>
        <w:rPr>
          <w:rFonts w:hint="eastAsia" w:hAnsi="宋体" w:cs="宋体"/>
          <w:color w:val="auto"/>
          <w:kern w:val="0"/>
          <w:highlight w:val="none"/>
          <w:lang w:eastAsia="zh-CN"/>
        </w:rPr>
        <w:t>幅度</w:t>
      </w:r>
      <w:r>
        <w:rPr>
          <w:rFonts w:hint="eastAsia" w:hAnsi="宋体" w:cs="宋体"/>
          <w:color w:val="auto"/>
          <w:kern w:val="0"/>
          <w:highlight w:val="none"/>
        </w:rPr>
        <w:t>）-施工期间价格。</w:t>
      </w:r>
    </w:p>
    <w:p w14:paraId="6D093FA5">
      <w:pPr>
        <w:snapToGri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③承包人在《允许调整价格的主要材料一览表》中载明的材料单价等于基准单价的：合同履行期间材料单价涨跌幅以基准单价为基础超过约定的风险范围时，对其超过部分进行价差调整。价差计算公式：价格上涨价差=施工期间价格-基准价</w:t>
      </w:r>
      <w:r>
        <w:rPr>
          <w:rFonts w:hint="eastAsia" w:hAnsi="宋体" w:cs="宋体"/>
          <w:color w:val="auto"/>
          <w:kern w:val="0"/>
          <w:highlight w:val="none"/>
          <w:lang w:val="en-US" w:eastAsia="zh-CN"/>
        </w:rPr>
        <w:t>×</w:t>
      </w:r>
      <w:r>
        <w:rPr>
          <w:rFonts w:hint="eastAsia" w:hAnsi="宋体" w:cs="宋体"/>
          <w:color w:val="auto"/>
          <w:kern w:val="0"/>
          <w:highlight w:val="none"/>
        </w:rPr>
        <w:t>（1+风险</w:t>
      </w:r>
      <w:r>
        <w:rPr>
          <w:rFonts w:hint="eastAsia" w:hAnsi="宋体" w:cs="宋体"/>
          <w:color w:val="auto"/>
          <w:kern w:val="0"/>
          <w:highlight w:val="none"/>
          <w:lang w:eastAsia="zh-CN"/>
        </w:rPr>
        <w:t>幅度</w:t>
      </w:r>
      <w:r>
        <w:rPr>
          <w:rFonts w:hint="eastAsia" w:hAnsi="宋体" w:cs="宋体"/>
          <w:color w:val="auto"/>
          <w:kern w:val="0"/>
          <w:highlight w:val="none"/>
        </w:rPr>
        <w:t>），价格下跌价差=基准价</w:t>
      </w:r>
      <w:r>
        <w:rPr>
          <w:rFonts w:hint="eastAsia" w:hAnsi="宋体" w:cs="宋体"/>
          <w:color w:val="auto"/>
          <w:kern w:val="0"/>
          <w:highlight w:val="none"/>
          <w:lang w:val="en-US" w:eastAsia="zh-CN"/>
        </w:rPr>
        <w:t>×</w:t>
      </w:r>
      <w:r>
        <w:rPr>
          <w:rFonts w:hint="eastAsia" w:hAnsi="宋体" w:cs="宋体"/>
          <w:color w:val="auto"/>
          <w:kern w:val="0"/>
          <w:highlight w:val="none"/>
        </w:rPr>
        <w:t>（1+风险</w:t>
      </w:r>
      <w:r>
        <w:rPr>
          <w:rFonts w:hint="eastAsia" w:hAnsi="宋体" w:cs="宋体"/>
          <w:color w:val="auto"/>
          <w:kern w:val="0"/>
          <w:highlight w:val="none"/>
          <w:lang w:eastAsia="zh-CN"/>
        </w:rPr>
        <w:t>幅度</w:t>
      </w:r>
      <w:r>
        <w:rPr>
          <w:rFonts w:hint="eastAsia" w:hAnsi="宋体" w:cs="宋体"/>
          <w:color w:val="auto"/>
          <w:kern w:val="0"/>
          <w:highlight w:val="none"/>
        </w:rPr>
        <w:t>）-施工期间价格。</w:t>
      </w:r>
    </w:p>
    <w:p w14:paraId="70455270">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11.2.</w:t>
      </w:r>
      <w:r>
        <w:rPr>
          <w:rFonts w:hint="eastAsia" w:hAnsi="宋体" w:cs="宋体"/>
          <w:color w:val="auto"/>
          <w:kern w:val="0"/>
          <w:highlight w:val="none"/>
          <w:lang w:eastAsia="zh-CN"/>
        </w:rPr>
        <w:t>4</w:t>
      </w:r>
      <w:r>
        <w:rPr>
          <w:rFonts w:hint="eastAsia" w:hAnsi="宋体" w:cs="宋体"/>
          <w:color w:val="auto"/>
          <w:kern w:val="0"/>
          <w:highlight w:val="none"/>
        </w:rPr>
        <w:t xml:space="preserve">  合同工程出现工期延长的，应按下列规定确定及调整合同履行期由于物价变化影响的价格：</w:t>
      </w:r>
    </w:p>
    <w:p w14:paraId="333A1833">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（1）因发包人原因导致工期延长的，计划进度日期后续工程的价格或价格指数，采用计划进度日期与实际进度日期两者的较高者。</w:t>
      </w:r>
    </w:p>
    <w:p w14:paraId="67C40F9B">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（2）因承包人原因导致工期延长的，计划进度日期后续工程的价格或价格指数，采用计划进度日期与实际进度日期两者的较低者。</w:t>
      </w:r>
    </w:p>
    <w:p w14:paraId="631A0ADF">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（3）因非发承包双方原因引起工期延长的，计划进度日期后续工程的价格应按本合同11.2.1的约定调整价格。</w:t>
      </w:r>
    </w:p>
    <w:p w14:paraId="2A53EC6E">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11.2.</w:t>
      </w:r>
      <w:r>
        <w:rPr>
          <w:rFonts w:hint="eastAsia" w:hAnsi="宋体" w:cs="宋体"/>
          <w:color w:val="auto"/>
          <w:kern w:val="0"/>
          <w:highlight w:val="none"/>
          <w:lang w:val="en-US" w:eastAsia="zh-CN"/>
        </w:rPr>
        <w:t>5</w:t>
      </w:r>
      <w:r>
        <w:rPr>
          <w:rFonts w:hint="eastAsia" w:hAnsi="宋体" w:cs="宋体"/>
          <w:color w:val="auto"/>
          <w:kern w:val="0"/>
          <w:highlight w:val="none"/>
          <w:lang w:eastAsia="zh-CN"/>
        </w:rPr>
        <w:t>合同</w:t>
      </w:r>
      <w:r>
        <w:rPr>
          <w:rFonts w:hint="eastAsia" w:hAnsi="宋体" w:cs="宋体"/>
          <w:color w:val="auto"/>
          <w:kern w:val="0"/>
          <w:highlight w:val="none"/>
        </w:rPr>
        <w:t>约定之外的人工费、主要材料费市场价格出现异常变动，且是发承包双方在订立本合同时无法预见的重大变化，继续履行合同对于受不利影响的合同一方明显不公平的，发承包双方按风险合理分担原则，重新协商合同风险幅度，</w:t>
      </w:r>
      <w:r>
        <w:rPr>
          <w:rFonts w:hint="eastAsia" w:hAnsi="宋体" w:cs="宋体"/>
          <w:color w:val="auto"/>
          <w:kern w:val="0"/>
          <w:highlight w:val="none"/>
          <w:lang w:eastAsia="zh-CN"/>
        </w:rPr>
        <w:t>由发包人承担</w:t>
      </w:r>
      <w:r>
        <w:rPr>
          <w:rFonts w:hint="eastAsia" w:hAnsi="宋体" w:cs="宋体"/>
          <w:color w:val="auto"/>
          <w:kern w:val="0"/>
          <w:highlight w:val="none"/>
        </w:rPr>
        <w:t>超出协商后约定的合同</w:t>
      </w:r>
      <w:r>
        <w:rPr>
          <w:rFonts w:hint="eastAsia" w:hAnsi="宋体" w:cs="宋体"/>
          <w:color w:val="auto"/>
          <w:kern w:val="0"/>
          <w:highlight w:val="none"/>
          <w:lang w:eastAsia="zh-CN"/>
        </w:rPr>
        <w:t>风险</w:t>
      </w:r>
      <w:r>
        <w:rPr>
          <w:rFonts w:hint="eastAsia" w:hAnsi="宋体" w:cs="宋体"/>
          <w:color w:val="auto"/>
          <w:kern w:val="0"/>
          <w:highlight w:val="none"/>
        </w:rPr>
        <w:t>幅度的人工费、主要材料费价差。</w:t>
      </w:r>
    </w:p>
    <w:p w14:paraId="32FEB3CA">
      <w:pPr>
        <w:spacing w:line="360" w:lineRule="auto"/>
        <w:ind w:firstLine="420" w:firstLineChars="200"/>
        <w:jc w:val="left"/>
        <w:rPr>
          <w:rFonts w:hint="eastAsia" w:hAnsi="宋体" w:cs="宋体"/>
          <w:color w:val="auto"/>
          <w:kern w:val="0"/>
          <w:highlight w:val="none"/>
        </w:rPr>
      </w:pPr>
    </w:p>
    <w:p w14:paraId="17F86BE7">
      <w:pPr>
        <w:spacing w:line="360" w:lineRule="auto"/>
        <w:ind w:firstLine="420" w:firstLineChars="200"/>
        <w:jc w:val="left"/>
        <w:rPr>
          <w:rFonts w:hint="eastAsia" w:hAnsi="宋体" w:cs="宋体"/>
          <w:color w:val="auto"/>
          <w:kern w:val="0"/>
          <w:highlight w:val="none"/>
        </w:rPr>
      </w:pPr>
    </w:p>
    <w:p w14:paraId="5F946F2D">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11.3 法律法规及政策性变化引起的价格调整</w:t>
      </w:r>
    </w:p>
    <w:p w14:paraId="7742A12D">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11.3.1 工程实施期间，在合同基准日后发生以下法律法规及政策性变化引起合同价款增减变化和（或）工期延误的，按照本合同约定和自治区建设行政主管部门及其授权的工程造价管理机构据此发布的规定调整合同价格及（或）工期：</w:t>
      </w:r>
    </w:p>
    <w:p w14:paraId="15ADC279">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（1）新增的法律法规及政策性规定；</w:t>
      </w:r>
    </w:p>
    <w:p w14:paraId="531AF24F">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（2）修改原有的法律法规及政策性规定；</w:t>
      </w:r>
    </w:p>
    <w:p w14:paraId="74A0C91D">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（3）废止原有的法律法规及政策性规定；</w:t>
      </w:r>
    </w:p>
    <w:p w14:paraId="058DAD30">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（4）政府对相关法律法规的解释发生了变化。</w:t>
      </w:r>
    </w:p>
    <w:p w14:paraId="7264CD39">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11.3.2因承包人原因导致工期延长，在工期延长期间出现本合同约定的法律法规及政策性变化的，合同价格调增的不予调整，合同价格调减的予以调整。</w:t>
      </w:r>
    </w:p>
    <w:p w14:paraId="56233890">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11.3.3因发包人原因导致工期延长，在工期延长期间出现本合同约定的法律法规及政策性变化的，合同价格调减的不予调整，合同价格调增的应予调整。</w:t>
      </w:r>
    </w:p>
    <w:p w14:paraId="79D52396">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11.3.4因非发承包双方原因导致工期延长，在工期延长期间出现本合同约定的法律法规及政策性变化的，合同价格应按实调整，法律法规及政策另有规定的除外。</w:t>
      </w:r>
    </w:p>
    <w:p w14:paraId="2E126804">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11.3.5 法律法规及政策性变化引起合同价格调整的，其合同总价及合同单价内的管理费及利润不应做调整。</w:t>
      </w:r>
    </w:p>
    <w:p w14:paraId="2929F48C">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11.3.6合同履行中如国家财税政策变化调整增值税税率的，调整税率实施前已完成未开具发票工程价款及实施后工程计价应按调整后的税率计算增值税，工程进度款及工程结算价分别按以下公式调整：</w:t>
      </w:r>
    </w:p>
    <w:p w14:paraId="0A2EA4F4">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进度款=按基准日计算工程进度款÷（1＋基准日税率）×（1＋调整后税率）</w:t>
      </w:r>
    </w:p>
    <w:p w14:paraId="7A9D9034">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工程结算价款＝已按基准日税率开具发票的工程价款＋（按基准日税率计算的工程结算价－已按基准日税率开具发票的工程价款）÷（1＋基准日税率）×（1＋调整后税率）</w:t>
      </w:r>
    </w:p>
    <w:p w14:paraId="2857E90C">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11.4 工程量清单缺陷引起的价格调整</w:t>
      </w:r>
    </w:p>
    <w:p w14:paraId="61221214">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11.4.1 对于单价合同，</w:t>
      </w:r>
      <w:r>
        <w:rPr>
          <w:rFonts w:hint="eastAsia" w:hAnsi="宋体" w:cs="宋体"/>
          <w:color w:val="auto"/>
          <w:kern w:val="0"/>
          <w:highlight w:val="none"/>
          <w:lang w:eastAsia="zh-CN"/>
        </w:rPr>
        <w:t>应根据</w:t>
      </w:r>
      <w:r>
        <w:rPr>
          <w:rFonts w:hint="eastAsia" w:hAnsi="宋体" w:cs="宋体"/>
          <w:color w:val="auto"/>
          <w:kern w:val="0"/>
          <w:highlight w:val="none"/>
        </w:rPr>
        <w:t>合同图纸</w:t>
      </w:r>
      <w:r>
        <w:rPr>
          <w:rFonts w:hint="eastAsia" w:hAnsi="宋体" w:cs="宋体"/>
          <w:color w:val="auto"/>
          <w:kern w:val="0"/>
          <w:highlight w:val="none"/>
          <w:lang w:eastAsia="zh-CN"/>
        </w:rPr>
        <w:t>和工程变更指令重新计算</w:t>
      </w:r>
      <w:r>
        <w:rPr>
          <w:rFonts w:hint="eastAsia" w:hAnsi="宋体" w:cs="宋体"/>
          <w:color w:val="auto"/>
          <w:kern w:val="0"/>
          <w:highlight w:val="none"/>
        </w:rPr>
        <w:t>分部分项工程清单项目及工程量，并按</w:t>
      </w:r>
      <w:r>
        <w:rPr>
          <w:rFonts w:hint="eastAsia" w:hAnsi="宋体" w:cs="宋体"/>
          <w:color w:val="auto"/>
          <w:kern w:val="0"/>
          <w:highlight w:val="none"/>
          <w:lang w:val="en-US" w:eastAsia="zh-CN"/>
        </w:rPr>
        <w:t>10.4.1规定</w:t>
      </w:r>
      <w:r>
        <w:rPr>
          <w:rFonts w:hint="eastAsia" w:hAnsi="宋体" w:cs="宋体"/>
          <w:color w:val="auto"/>
          <w:kern w:val="0"/>
          <w:highlight w:val="none"/>
        </w:rPr>
        <w:t>调整合同单价。</w:t>
      </w:r>
    </w:p>
    <w:p w14:paraId="5A8CA998">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11.4.2 对于总价合同，</w:t>
      </w:r>
      <w:r>
        <w:rPr>
          <w:rFonts w:hint="eastAsia" w:ascii="宋体" w:hAnsi="宋体" w:cs="宋体"/>
          <w:bCs/>
          <w:color w:val="auto"/>
          <w:szCs w:val="21"/>
          <w:highlight w:val="none"/>
        </w:rPr>
        <w:t>合同价格</w:t>
      </w:r>
      <w:r>
        <w:rPr>
          <w:rFonts w:hint="eastAsia" w:ascii="宋体" w:hAnsi="宋体" w:cs="宋体"/>
          <w:bCs/>
          <w:color w:val="auto"/>
          <w:szCs w:val="21"/>
          <w:highlight w:val="none"/>
          <w:lang w:eastAsia="zh-CN"/>
        </w:rPr>
        <w:t>固定总价部分</w:t>
      </w:r>
      <w:r>
        <w:rPr>
          <w:rFonts w:hint="eastAsia" w:hAnsi="宋体" w:cs="宋体"/>
          <w:color w:val="auto"/>
          <w:kern w:val="0"/>
          <w:highlight w:val="none"/>
        </w:rPr>
        <w:t>不因</w:t>
      </w:r>
      <w:r>
        <w:rPr>
          <w:rFonts w:hint="default" w:hAnsi="宋体" w:cs="宋体"/>
          <w:color w:val="auto"/>
          <w:kern w:val="0"/>
          <w:highlight w:val="none"/>
          <w:lang w:val="en-US"/>
        </w:rPr>
        <w:t>合同</w:t>
      </w:r>
      <w:r>
        <w:rPr>
          <w:rFonts w:hint="eastAsia" w:hAnsi="宋体" w:cs="宋体"/>
          <w:color w:val="auto"/>
          <w:kern w:val="0"/>
          <w:highlight w:val="none"/>
          <w:lang w:val="en-US" w:eastAsia="zh-CN"/>
        </w:rPr>
        <w:t>工程量</w:t>
      </w:r>
      <w:r>
        <w:rPr>
          <w:rFonts w:hint="eastAsia" w:hAnsi="宋体" w:cs="宋体"/>
          <w:color w:val="auto"/>
          <w:kern w:val="0"/>
          <w:highlight w:val="none"/>
        </w:rPr>
        <w:t>清单缺陷而调整。</w:t>
      </w:r>
    </w:p>
    <w:p w14:paraId="3043F4A7">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11.5 工程变更引起的价格调整</w:t>
      </w:r>
    </w:p>
    <w:p w14:paraId="43D80940">
      <w:pPr>
        <w:spacing w:line="360" w:lineRule="auto"/>
        <w:ind w:firstLine="420" w:firstLineChars="200"/>
        <w:jc w:val="left"/>
        <w:rPr>
          <w:rFonts w:hint="eastAsia" w:ascii="Times New Roman" w:hAnsi="宋体" w:eastAsia="宋体" w:cs="宋体"/>
          <w:b w:val="0"/>
          <w:bCs w:val="0"/>
          <w:color w:val="auto"/>
          <w:kern w:val="0"/>
          <w:sz w:val="21"/>
          <w:szCs w:val="21"/>
          <w:highlight w:val="none"/>
          <w:lang w:val="en-US" w:eastAsia="zh-CN"/>
        </w:rPr>
      </w:pPr>
      <w:r>
        <w:rPr>
          <w:rFonts w:hint="eastAsia" w:ascii="Times New Roman" w:hAnsi="宋体" w:eastAsia="宋体" w:cs="宋体"/>
          <w:b w:val="0"/>
          <w:bCs w:val="0"/>
          <w:color w:val="auto"/>
          <w:kern w:val="0"/>
          <w:sz w:val="21"/>
          <w:szCs w:val="21"/>
          <w:highlight w:val="none"/>
          <w:lang w:val="zh-CN"/>
        </w:rPr>
        <w:t>按专用合同条款</w:t>
      </w:r>
      <w:r>
        <w:rPr>
          <w:rFonts w:hint="eastAsia" w:ascii="Times New Roman" w:hAnsi="宋体" w:eastAsia="宋体" w:cs="宋体"/>
          <w:b w:val="0"/>
          <w:bCs w:val="0"/>
          <w:color w:val="auto"/>
          <w:kern w:val="0"/>
          <w:sz w:val="21"/>
          <w:szCs w:val="21"/>
          <w:highlight w:val="none"/>
          <w:lang w:val="en-US" w:eastAsia="zh-CN"/>
        </w:rPr>
        <w:t>10.4约定执行。</w:t>
      </w:r>
    </w:p>
    <w:p w14:paraId="6258CB84">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11.6暂估价引起的价格调整</w:t>
      </w:r>
    </w:p>
    <w:p w14:paraId="73DBC170">
      <w:pPr>
        <w:spacing w:line="360" w:lineRule="auto"/>
        <w:ind w:firstLine="210" w:firstLineChars="100"/>
        <w:jc w:val="left"/>
        <w:outlineLvl w:val="9"/>
        <w:rPr>
          <w:rFonts w:hint="eastAsia" w:ascii="Times New Roman" w:hAnsi="宋体" w:eastAsia="宋体" w:cs="宋体"/>
          <w:b w:val="0"/>
          <w:bCs w:val="0"/>
          <w:color w:val="auto"/>
          <w:kern w:val="0"/>
          <w:sz w:val="21"/>
          <w:szCs w:val="21"/>
          <w:highlight w:val="none"/>
          <w:lang w:val="zh-CN" w:eastAsia="zh-CN"/>
        </w:rPr>
      </w:pPr>
      <w:r>
        <w:rPr>
          <w:rFonts w:hint="eastAsia" w:ascii="Times New Roman" w:hAnsi="宋体" w:eastAsia="宋体" w:cs="宋体"/>
          <w:b w:val="0"/>
          <w:bCs w:val="0"/>
          <w:color w:val="auto"/>
          <w:kern w:val="0"/>
          <w:sz w:val="21"/>
          <w:szCs w:val="21"/>
          <w:highlight w:val="none"/>
          <w:lang w:val="zh-CN"/>
        </w:rPr>
        <w:t>按专用合同条款</w:t>
      </w:r>
      <w:r>
        <w:rPr>
          <w:rFonts w:hint="eastAsia" w:ascii="Times New Roman" w:hAnsi="宋体" w:eastAsia="宋体" w:cs="宋体"/>
          <w:b w:val="0"/>
          <w:bCs w:val="0"/>
          <w:color w:val="auto"/>
          <w:kern w:val="0"/>
          <w:sz w:val="21"/>
          <w:szCs w:val="21"/>
          <w:highlight w:val="none"/>
          <w:lang w:val="zh-CN" w:eastAsia="zh-CN"/>
        </w:rPr>
        <w:t>10.7约定执行。</w:t>
      </w:r>
    </w:p>
    <w:p w14:paraId="53F41F7B">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11.7总承包服务费调整</w:t>
      </w:r>
    </w:p>
    <w:p w14:paraId="4D01FE3D">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11.7.1 发包人提供材料变更为承包人提供的，扣除合同总价中计取的相应发包人提供材料的总承包服务费。</w:t>
      </w:r>
    </w:p>
    <w:p w14:paraId="6AA4F0B2">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11.7.2 承包人提供的材料变更为发包人提供的，发包人应支付发包人提供材料需要承包人协助协调、材料保管等相应服务的总承包服务费。</w:t>
      </w:r>
    </w:p>
    <w:p w14:paraId="2777EF4E">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11.7.3 若合同履行过程中发生暂估专业工程取消，或确定由承包人负责完成，或在承包人的合同工程已竣工且撤场后进行的，应扣除合同总价中计取的相应暂估专业工程总承包服务费。</w:t>
      </w:r>
    </w:p>
    <w:p w14:paraId="4CD008C6">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11.7.4总承包服务费除可按本合同约定及服务内容变化可调整外，作为风险包干，工程结算不作调整。</w:t>
      </w:r>
    </w:p>
    <w:p w14:paraId="05C7C611">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11.7.5 因发包人同意的暂估专业工程发生工程变更或发包人原因引起实质性工期改变，发承包双方按下式计算调整受影响的专业分包工程总承包服务费：</w:t>
      </w:r>
    </w:p>
    <w:p w14:paraId="2E45875C">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总承包服务费调整价款=受影响专业分包工程延误的工期×受影响专业分包工程总承包服务费</w:t>
      </w:r>
      <w:r>
        <w:rPr>
          <w:rFonts w:hint="eastAsia" w:hAnsi="宋体" w:cs="宋体"/>
          <w:color w:val="auto"/>
          <w:kern w:val="0"/>
          <w:highlight w:val="none"/>
          <w:lang w:val="en-US" w:eastAsia="zh-CN"/>
        </w:rPr>
        <w:t>÷</w:t>
      </w:r>
      <w:r>
        <w:rPr>
          <w:rFonts w:hint="eastAsia" w:hAnsi="宋体" w:cs="宋体"/>
          <w:color w:val="auto"/>
          <w:kern w:val="0"/>
          <w:highlight w:val="none"/>
        </w:rPr>
        <w:t>受影响专业分包工程工期。</w:t>
      </w:r>
    </w:p>
    <w:p w14:paraId="0A26FD4E">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11.8 零星签证引起的价格调整</w:t>
      </w:r>
    </w:p>
    <w:p w14:paraId="3A61D37E">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11.8.1采用零星签证方式进行计价的工程或工作，应按本合同12.3.</w:t>
      </w:r>
      <w:r>
        <w:rPr>
          <w:rFonts w:hint="eastAsia" w:hAnsi="宋体" w:cs="宋体"/>
          <w:color w:val="auto"/>
          <w:kern w:val="0"/>
          <w:highlight w:val="none"/>
          <w:lang w:val="en-US" w:eastAsia="zh-CN"/>
        </w:rPr>
        <w:t>1</w:t>
      </w:r>
      <w:r>
        <w:rPr>
          <w:rFonts w:hint="eastAsia" w:hAnsi="宋体" w:cs="宋体"/>
          <w:color w:val="auto"/>
          <w:kern w:val="0"/>
          <w:highlight w:val="none"/>
        </w:rPr>
        <w:t xml:space="preserve"> 的约定计量，按本合同</w:t>
      </w:r>
      <w:r>
        <w:rPr>
          <w:rFonts w:hint="eastAsia" w:hAnsi="宋体" w:cs="宋体"/>
          <w:color w:val="auto"/>
          <w:kern w:val="0"/>
          <w:highlight w:val="none"/>
          <w:lang w:eastAsia="zh-CN"/>
        </w:rPr>
        <w:t>附件</w:t>
      </w:r>
      <w:r>
        <w:rPr>
          <w:rFonts w:hint="eastAsia" w:hAnsi="宋体" w:cs="宋体"/>
          <w:color w:val="auto"/>
          <w:kern w:val="0"/>
          <w:highlight w:val="none"/>
          <w:lang w:val="en-US" w:eastAsia="zh-CN"/>
        </w:rPr>
        <w:t>16</w:t>
      </w:r>
      <w:r>
        <w:rPr>
          <w:rFonts w:hint="eastAsia" w:hAnsi="宋体" w:cs="宋体"/>
          <w:color w:val="auto"/>
          <w:kern w:val="0"/>
          <w:highlight w:val="none"/>
          <w:lang w:eastAsia="zh-CN"/>
        </w:rPr>
        <w:t>《</w:t>
      </w:r>
      <w:r>
        <w:rPr>
          <w:rFonts w:hint="eastAsia" w:hAnsi="宋体" w:cs="宋体"/>
          <w:color w:val="auto"/>
          <w:kern w:val="0"/>
          <w:highlight w:val="none"/>
        </w:rPr>
        <w:t>零星签证确认单</w:t>
      </w:r>
      <w:r>
        <w:rPr>
          <w:rFonts w:hint="eastAsia" w:hAnsi="宋体" w:cs="宋体"/>
          <w:color w:val="auto"/>
          <w:kern w:val="0"/>
          <w:highlight w:val="none"/>
          <w:lang w:eastAsia="zh-CN"/>
        </w:rPr>
        <w:t>》</w:t>
      </w:r>
      <w:r>
        <w:rPr>
          <w:rFonts w:hint="eastAsia" w:hAnsi="宋体" w:cs="宋体"/>
          <w:color w:val="auto"/>
          <w:kern w:val="0"/>
          <w:highlight w:val="none"/>
        </w:rPr>
        <w:t>格式要求签证费用。</w:t>
      </w:r>
    </w:p>
    <w:p w14:paraId="3ED6FA3C">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11.8.2发承包双方按以下第</w:t>
      </w:r>
      <w:r>
        <w:rPr>
          <w:rFonts w:hint="eastAsia" w:hAnsi="宋体" w:cs="宋体"/>
          <w:color w:val="auto"/>
          <w:kern w:val="0"/>
          <w:highlight w:val="none"/>
          <w:u w:val="single"/>
        </w:rPr>
        <w:t xml:space="preserve">   </w:t>
      </w:r>
      <w:r>
        <w:rPr>
          <w:rFonts w:hint="eastAsia" w:hAnsi="宋体" w:cs="宋体"/>
          <w:color w:val="auto"/>
          <w:kern w:val="0"/>
          <w:highlight w:val="none"/>
          <w:u w:val="single"/>
          <w:lang w:eastAsia="zh-CN"/>
        </w:rPr>
        <w:t>一</w:t>
      </w:r>
      <w:r>
        <w:rPr>
          <w:rFonts w:hint="eastAsia" w:hAnsi="宋体" w:cs="宋体"/>
          <w:color w:val="auto"/>
          <w:kern w:val="0"/>
          <w:highlight w:val="none"/>
          <w:u w:val="single"/>
        </w:rPr>
        <w:t xml:space="preserve">    </w:t>
      </w:r>
      <w:r>
        <w:rPr>
          <w:rFonts w:hint="eastAsia" w:hAnsi="宋体" w:cs="宋体"/>
          <w:color w:val="auto"/>
          <w:kern w:val="0"/>
          <w:highlight w:val="none"/>
        </w:rPr>
        <w:t>种方式确定零星签证综合单价：</w:t>
      </w:r>
    </w:p>
    <w:p w14:paraId="7FF4594A">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 xml:space="preserve">第一种方式：人工费、材料费、施工机具使用费按《 </w:t>
      </w:r>
      <w:r>
        <w:rPr>
          <w:rFonts w:hint="eastAsia" w:hAnsi="宋体" w:cs="宋体"/>
          <w:color w:val="auto"/>
          <w:kern w:val="0"/>
          <w:highlight w:val="none"/>
          <w:u w:val="single"/>
        </w:rPr>
        <w:t xml:space="preserve"> </w:t>
      </w:r>
      <w:r>
        <w:rPr>
          <w:rFonts w:hint="eastAsia" w:hAnsi="宋体" w:cs="宋体"/>
          <w:color w:val="auto"/>
          <w:kern w:val="0"/>
          <w:highlight w:val="none"/>
          <w:u w:val="single"/>
          <w:lang w:val="en-US" w:eastAsia="zh-CN"/>
        </w:rPr>
        <w:t>南宁</w:t>
      </w:r>
      <w:r>
        <w:rPr>
          <w:rFonts w:hint="eastAsia" w:hAnsi="宋体" w:cs="宋体"/>
          <w:color w:val="auto"/>
          <w:kern w:val="0"/>
          <w:highlight w:val="none"/>
          <w:u w:val="single"/>
        </w:rPr>
        <w:t xml:space="preserve">   </w:t>
      </w:r>
      <w:r>
        <w:rPr>
          <w:rFonts w:hint="eastAsia" w:hAnsi="宋体" w:cs="宋体"/>
          <w:color w:val="auto"/>
          <w:kern w:val="0"/>
          <w:highlight w:val="none"/>
        </w:rPr>
        <w:t>市建设工程造价信息》所发布工程价格信息确定</w:t>
      </w:r>
      <w:r>
        <w:rPr>
          <w:rFonts w:hint="eastAsia" w:hAnsi="宋体" w:cs="宋体"/>
          <w:color w:val="auto"/>
          <w:kern w:val="0"/>
          <w:highlight w:val="none"/>
          <w:lang w:eastAsia="zh-CN"/>
        </w:rPr>
        <w:t>，</w:t>
      </w:r>
      <w:r>
        <w:rPr>
          <w:rFonts w:hint="eastAsia" w:hAnsi="宋体" w:cs="宋体"/>
          <w:color w:val="auto"/>
          <w:kern w:val="0"/>
          <w:highlight w:val="none"/>
        </w:rPr>
        <w:t>工程造价信息中没有相应价格的，依据发承包双方确认</w:t>
      </w:r>
      <w:r>
        <w:rPr>
          <w:rFonts w:hint="eastAsia" w:hAnsi="宋体" w:cs="宋体"/>
          <w:color w:val="auto"/>
          <w:kern w:val="0"/>
          <w:highlight w:val="none"/>
          <w:lang w:eastAsia="zh-CN"/>
        </w:rPr>
        <w:t>。零星签证综合单价应包含</w:t>
      </w:r>
      <w:r>
        <w:rPr>
          <w:rFonts w:hint="eastAsia" w:hAnsi="宋体" w:cs="宋体"/>
          <w:color w:val="auto"/>
          <w:kern w:val="0"/>
          <w:highlight w:val="none"/>
        </w:rPr>
        <w:t>相应的管理费、利润、增值税。</w:t>
      </w:r>
    </w:p>
    <w:p w14:paraId="1ABB7B10">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第二种方式：</w:t>
      </w:r>
      <w:r>
        <w:rPr>
          <w:rFonts w:hint="eastAsia" w:hAnsi="宋体" w:cs="宋体"/>
          <w:color w:val="auto"/>
          <w:kern w:val="0"/>
          <w:highlight w:val="none"/>
          <w:u w:val="single"/>
        </w:rPr>
        <w:t xml:space="preserve">                                 </w:t>
      </w:r>
      <w:r>
        <w:rPr>
          <w:rFonts w:hint="eastAsia" w:hAnsi="宋体" w:cs="宋体"/>
          <w:color w:val="auto"/>
          <w:kern w:val="0"/>
          <w:highlight w:val="none"/>
        </w:rPr>
        <w:t>，</w:t>
      </w:r>
      <w:r>
        <w:rPr>
          <w:rFonts w:hint="eastAsia" w:hAnsi="宋体" w:cs="宋体"/>
          <w:color w:val="auto"/>
          <w:kern w:val="0"/>
          <w:highlight w:val="none"/>
          <w:lang w:eastAsia="zh-CN"/>
        </w:rPr>
        <w:t>零星签证综合单价应包含</w:t>
      </w:r>
      <w:r>
        <w:rPr>
          <w:rFonts w:hint="eastAsia" w:hAnsi="宋体" w:cs="宋体"/>
          <w:color w:val="auto"/>
          <w:kern w:val="0"/>
          <w:highlight w:val="none"/>
        </w:rPr>
        <w:t>相应的管理费、利润、增值税。</w:t>
      </w:r>
    </w:p>
    <w:bookmarkEnd w:id="1334"/>
    <w:bookmarkEnd w:id="1335"/>
    <w:bookmarkEnd w:id="1336"/>
    <w:bookmarkEnd w:id="1337"/>
    <w:bookmarkEnd w:id="1338"/>
    <w:bookmarkEnd w:id="1339"/>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14:paraId="47308ED1">
      <w:pPr>
        <w:spacing w:line="360" w:lineRule="auto"/>
        <w:ind w:firstLine="420" w:firstLineChars="200"/>
        <w:jc w:val="left"/>
        <w:rPr>
          <w:rFonts w:hint="default" w:ascii="Times New Roman" w:hAnsi="宋体" w:eastAsia="宋体" w:cs="宋体"/>
          <w:b w:val="0"/>
          <w:bCs w:val="0"/>
          <w:color w:val="auto"/>
          <w:kern w:val="0"/>
          <w:sz w:val="21"/>
          <w:szCs w:val="21"/>
          <w:highlight w:val="none"/>
          <w:lang w:val="en-US" w:eastAsia="zh-CN"/>
        </w:rPr>
      </w:pPr>
      <w:bookmarkStart w:id="1504" w:name="_Toc297048391"/>
      <w:bookmarkStart w:id="1505" w:name="_Toc296347204"/>
      <w:bookmarkStart w:id="1506" w:name="_Toc296944544"/>
      <w:bookmarkStart w:id="1507" w:name="_Toc296891245"/>
      <w:bookmarkStart w:id="1508" w:name="_Toc296503205"/>
      <w:bookmarkStart w:id="1509" w:name="_Toc296891033"/>
      <w:bookmarkStart w:id="1510" w:name="_Toc297120505"/>
      <w:bookmarkStart w:id="1511" w:name="_Toc292559410"/>
      <w:bookmarkStart w:id="1512" w:name="_Toc296346706"/>
      <w:bookmarkStart w:id="1513" w:name="_Toc292559915"/>
      <w:bookmarkStart w:id="1514" w:name="_Toc373478395"/>
      <w:bookmarkStart w:id="1515" w:name="_Toc407135251"/>
      <w:bookmarkStart w:id="1516" w:name="_Toc78449837"/>
      <w:bookmarkStart w:id="1517" w:name="_Toc1720046426"/>
      <w:bookmarkStart w:id="1518" w:name="_Toc373227748"/>
      <w:bookmarkStart w:id="1519" w:name="_Toc351203644"/>
      <w:bookmarkStart w:id="1520" w:name="_Toc297216211"/>
      <w:bookmarkStart w:id="1521" w:name="_Toc297123552"/>
      <w:bookmarkStart w:id="1522" w:name="_Toc300935002"/>
      <w:bookmarkStart w:id="1523" w:name="_Toc303539159"/>
      <w:bookmarkStart w:id="1524" w:name="_Toc304295579"/>
      <w:bookmarkStart w:id="1525" w:name="_Toc312678040"/>
      <w:r>
        <w:rPr>
          <w:rFonts w:hint="eastAsia" w:hAnsi="宋体" w:cs="宋体"/>
          <w:color w:val="auto"/>
          <w:kern w:val="0"/>
          <w:highlight w:val="none"/>
        </w:rPr>
        <w:t>11.8.3采用零星签证计价的，零星签证综合单价包括零星签证项目随机发生、少量发生等特点造成的额外增加费用和零星签证项目发生的措施项目费用，合同总价中的措施项目费用不因零星签证的发生而调整。</w:t>
      </w:r>
    </w:p>
    <w:p w14:paraId="061585E8">
      <w:pPr>
        <w:spacing w:line="360" w:lineRule="auto"/>
        <w:ind w:firstLine="321" w:firstLineChars="100"/>
        <w:jc w:val="left"/>
        <w:outlineLvl w:val="2"/>
        <w:rPr>
          <w:rFonts w:hint="default" w:ascii="Times New Roman" w:hAnsi="Times New Roman" w:eastAsia="黑体" w:cs="Times New Roman"/>
          <w:b/>
          <w:bCs/>
          <w:color w:val="auto"/>
          <w:kern w:val="2"/>
          <w:sz w:val="32"/>
          <w:szCs w:val="32"/>
          <w:highlight w:val="none"/>
          <w:lang w:val="zh-CN"/>
        </w:rPr>
      </w:pPr>
      <w:r>
        <w:rPr>
          <w:rFonts w:hint="default" w:ascii="Times New Roman" w:hAnsi="Times New Roman" w:eastAsia="黑体" w:cs="Times New Roman"/>
          <w:b/>
          <w:bCs/>
          <w:color w:val="auto"/>
          <w:kern w:val="2"/>
          <w:sz w:val="32"/>
          <w:szCs w:val="32"/>
          <w:highlight w:val="none"/>
          <w:lang w:val="zh-CN"/>
        </w:rPr>
        <w:t>11.</w:t>
      </w:r>
      <w:r>
        <w:rPr>
          <w:rFonts w:hint="eastAsia" w:ascii="Times New Roman" w:hAnsi="Times New Roman" w:eastAsia="黑体" w:cs="Times New Roman"/>
          <w:b/>
          <w:bCs/>
          <w:color w:val="auto"/>
          <w:kern w:val="2"/>
          <w:sz w:val="32"/>
          <w:szCs w:val="32"/>
          <w:highlight w:val="none"/>
          <w:lang w:val="en-US" w:eastAsia="zh-CN"/>
        </w:rPr>
        <w:t>9</w:t>
      </w:r>
      <w:r>
        <w:rPr>
          <w:rFonts w:hint="eastAsia" w:ascii="Times New Roman" w:hAnsi="Times New Roman" w:eastAsia="黑体" w:cs="Times New Roman"/>
          <w:b/>
          <w:bCs/>
          <w:color w:val="auto"/>
          <w:kern w:val="2"/>
          <w:sz w:val="32"/>
          <w:szCs w:val="32"/>
          <w:highlight w:val="none"/>
          <w:lang w:val="zh-CN"/>
        </w:rPr>
        <w:t>发包人提供</w:t>
      </w:r>
      <w:r>
        <w:rPr>
          <w:rFonts w:hint="eastAsia" w:ascii="Times New Roman" w:hAnsi="Times New Roman" w:eastAsia="黑体" w:cs="Times New Roman"/>
          <w:b/>
          <w:bCs/>
          <w:color w:val="auto"/>
          <w:kern w:val="2"/>
          <w:sz w:val="32"/>
          <w:szCs w:val="32"/>
          <w:highlight w:val="none"/>
          <w:lang w:val="zh-CN" w:eastAsia="zh-CN"/>
        </w:rPr>
        <w:t>材料事项</w:t>
      </w:r>
      <w:r>
        <w:rPr>
          <w:rFonts w:hint="default" w:ascii="Times New Roman" w:hAnsi="Times New Roman" w:eastAsia="黑体" w:cs="Times New Roman"/>
          <w:b/>
          <w:bCs/>
          <w:color w:val="auto"/>
          <w:kern w:val="2"/>
          <w:sz w:val="32"/>
          <w:szCs w:val="32"/>
          <w:highlight w:val="none"/>
          <w:lang w:val="zh-CN"/>
        </w:rPr>
        <w:t>引起的价格调整</w:t>
      </w:r>
    </w:p>
    <w:p w14:paraId="69721D45">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11.9.1 合同履行过程中，因承包人原因引起实际领用发包人提供的材料数量超过单价合同的施工图纸计算的实际数量或总价合同的合同图纸计算的合理数量及合同约定的材料有效损耗时，超出部分的材料费用应由承包人承担，发包人可按相应供货合同的单价计算确定超领数量的材料费用，扣除的超领材料费用在其他项目清单的合同价格调整中列项。因发包人实际提供材料的规格型号与招标文件中规定的规格型号不同而引起材料实际损耗率超出有效损耗率的，超出部分应由发包人承担。</w:t>
      </w:r>
    </w:p>
    <w:p w14:paraId="1A1B9324">
      <w:pPr>
        <w:spacing w:line="360" w:lineRule="auto"/>
        <w:ind w:left="420" w:leftChars="200" w:firstLine="0" w:firstLineChars="0"/>
        <w:jc w:val="left"/>
        <w:rPr>
          <w:color w:val="auto"/>
          <w:highlight w:val="none"/>
          <w:u w:val="single"/>
        </w:rPr>
      </w:pPr>
      <w:r>
        <w:rPr>
          <w:rFonts w:hint="eastAsia" w:hAnsi="宋体" w:cs="宋体"/>
          <w:color w:val="auto"/>
          <w:kern w:val="0"/>
          <w:highlight w:val="none"/>
        </w:rPr>
        <w:t xml:space="preserve">11.9.2 </w:t>
      </w:r>
      <w:r>
        <w:rPr>
          <w:rFonts w:hint="eastAsia" w:ascii="Times New Roman" w:hAnsi="宋体" w:eastAsia="宋体" w:cs="宋体"/>
          <w:b w:val="0"/>
          <w:bCs w:val="0"/>
          <w:color w:val="auto"/>
          <w:kern w:val="0"/>
          <w:sz w:val="21"/>
          <w:szCs w:val="21"/>
          <w:highlight w:val="none"/>
          <w:lang w:val="en-US"/>
        </w:rPr>
        <w:t>其他调整事项：</w:t>
      </w:r>
      <w:r>
        <w:rPr>
          <w:rFonts w:hint="eastAsia" w:ascii="Times New Roman" w:hAnsi="宋体" w:eastAsia="宋体" w:cs="宋体"/>
          <w:b w:val="0"/>
          <w:bCs w:val="0"/>
          <w:color w:val="auto"/>
          <w:kern w:val="0"/>
          <w:sz w:val="21"/>
          <w:szCs w:val="21"/>
          <w:highlight w:val="none"/>
          <w:u w:val="single"/>
          <w:lang w:val="en-US"/>
        </w:rPr>
        <w:t xml:space="preserve">  </w:t>
      </w:r>
      <w:r>
        <w:rPr>
          <w:rFonts w:hint="eastAsia" w:hAnsi="宋体" w:cs="宋体"/>
          <w:b w:val="0"/>
          <w:bCs w:val="0"/>
          <w:color w:val="auto"/>
          <w:kern w:val="0"/>
          <w:sz w:val="21"/>
          <w:szCs w:val="21"/>
          <w:highlight w:val="none"/>
          <w:u w:val="single"/>
          <w:lang w:val="en-US" w:eastAsia="zh-CN"/>
        </w:rPr>
        <w:t xml:space="preserve">                                            </w:t>
      </w:r>
      <w:r>
        <w:rPr>
          <w:rFonts w:hint="eastAsia" w:hAnsi="宋体" w:cs="宋体"/>
          <w:color w:val="auto"/>
          <w:kern w:val="0"/>
          <w:highlight w:val="none"/>
          <w:u w:val="single"/>
        </w:rPr>
        <w:t xml:space="preserve"> </w:t>
      </w:r>
    </w:p>
    <w:p w14:paraId="7A10DD34">
      <w:pPr>
        <w:pStyle w:val="4"/>
        <w:rPr>
          <w:color w:val="auto"/>
          <w:highlight w:val="none"/>
        </w:rPr>
      </w:pPr>
      <w:bookmarkStart w:id="1526" w:name="_Toc15051"/>
      <w:r>
        <w:rPr>
          <w:color w:val="auto"/>
          <w:highlight w:val="none"/>
        </w:rPr>
        <w:t xml:space="preserve">12. </w:t>
      </w:r>
      <w:bookmarkEnd w:id="1504"/>
      <w:bookmarkEnd w:id="1505"/>
      <w:bookmarkEnd w:id="1506"/>
      <w:bookmarkEnd w:id="1507"/>
      <w:bookmarkEnd w:id="1508"/>
      <w:bookmarkEnd w:id="1509"/>
      <w:bookmarkEnd w:id="1510"/>
      <w:bookmarkEnd w:id="1511"/>
      <w:bookmarkEnd w:id="1512"/>
      <w:bookmarkEnd w:id="1513"/>
      <w:r>
        <w:rPr>
          <w:rFonts w:hint="eastAsia" w:cs="黑体"/>
          <w:color w:val="auto"/>
          <w:highlight w:val="none"/>
        </w:rPr>
        <w:t>合同价格、计量与支付</w:t>
      </w:r>
      <w:bookmarkEnd w:id="1514"/>
      <w:bookmarkEnd w:id="1515"/>
      <w:bookmarkEnd w:id="1516"/>
      <w:bookmarkEnd w:id="1517"/>
      <w:bookmarkEnd w:id="1518"/>
      <w:bookmarkEnd w:id="1519"/>
      <w:bookmarkEnd w:id="1526"/>
    </w:p>
    <w:bookmarkEnd w:id="1520"/>
    <w:bookmarkEnd w:id="1521"/>
    <w:bookmarkEnd w:id="1522"/>
    <w:bookmarkEnd w:id="1523"/>
    <w:bookmarkEnd w:id="1524"/>
    <w:bookmarkEnd w:id="1525"/>
    <w:p w14:paraId="637CD122">
      <w:pPr>
        <w:pStyle w:val="5"/>
        <w:rPr>
          <w:color w:val="auto"/>
          <w:highlight w:val="none"/>
        </w:rPr>
      </w:pPr>
      <w:bookmarkStart w:id="1527" w:name="_Toc292559916"/>
      <w:bookmarkStart w:id="1528" w:name="_Toc292559411"/>
      <w:bookmarkStart w:id="1529" w:name="_Toc267251461"/>
      <w:bookmarkStart w:id="1530" w:name="_Toc297120506"/>
      <w:bookmarkStart w:id="1531" w:name="_Toc296346707"/>
      <w:bookmarkStart w:id="1532" w:name="_Toc296503206"/>
      <w:bookmarkStart w:id="1533" w:name="_Toc297048392"/>
      <w:bookmarkStart w:id="1534" w:name="_Toc296944545"/>
      <w:bookmarkStart w:id="1535" w:name="_Toc296891034"/>
      <w:bookmarkStart w:id="1536" w:name="_Toc296347205"/>
      <w:bookmarkStart w:id="1537" w:name="_Toc296891246"/>
      <w:bookmarkStart w:id="1538" w:name="_Toc389065314"/>
      <w:bookmarkStart w:id="1539" w:name="_Toc407135252"/>
      <w:bookmarkStart w:id="1540" w:name="_Toc373227749"/>
      <w:bookmarkStart w:id="1541" w:name="_Toc1894565429"/>
      <w:bookmarkStart w:id="1542" w:name="_Toc373478396"/>
      <w:bookmarkStart w:id="1543" w:name="_Toc20787"/>
      <w:bookmarkStart w:id="1544" w:name="_Toc12368"/>
      <w:bookmarkStart w:id="1545" w:name="_Toc78449838"/>
      <w:bookmarkStart w:id="1546" w:name="_Toc297216212"/>
      <w:bookmarkStart w:id="1547" w:name="_Toc304295580"/>
      <w:bookmarkStart w:id="1548" w:name="_Toc303539160"/>
      <w:bookmarkStart w:id="1549" w:name="_Toc297123553"/>
      <w:bookmarkStart w:id="1550" w:name="_Toc300935003"/>
      <w:bookmarkStart w:id="1551" w:name="_Toc312678041"/>
      <w:r>
        <w:rPr>
          <w:color w:val="auto"/>
          <w:highlight w:val="none"/>
        </w:rPr>
        <w:t xml:space="preserve">12.1 </w:t>
      </w:r>
      <w:r>
        <w:rPr>
          <w:rFonts w:hint="eastAsia" w:hAnsi="宋体" w:cs="黑体"/>
          <w:color w:val="auto"/>
          <w:highlight w:val="none"/>
        </w:rPr>
        <w:t>合</w:t>
      </w:r>
      <w:bookmarkEnd w:id="1527"/>
      <w:bookmarkEnd w:id="1528"/>
      <w:bookmarkEnd w:id="1529"/>
      <w:r>
        <w:rPr>
          <w:rFonts w:hint="eastAsia" w:hAnsi="宋体" w:cs="黑体"/>
          <w:color w:val="auto"/>
          <w:highlight w:val="none"/>
        </w:rPr>
        <w:t>同价</w:t>
      </w:r>
      <w:bookmarkEnd w:id="1530"/>
      <w:bookmarkEnd w:id="1531"/>
      <w:bookmarkEnd w:id="1532"/>
      <w:bookmarkEnd w:id="1533"/>
      <w:bookmarkEnd w:id="1534"/>
      <w:bookmarkEnd w:id="1535"/>
      <w:bookmarkEnd w:id="1536"/>
      <w:bookmarkEnd w:id="1537"/>
      <w:r>
        <w:rPr>
          <w:rFonts w:hint="eastAsia" w:hAnsi="宋体" w:cs="黑体"/>
          <w:color w:val="auto"/>
          <w:highlight w:val="none"/>
        </w:rPr>
        <w:t>格形式</w:t>
      </w:r>
      <w:bookmarkEnd w:id="1538"/>
      <w:bookmarkEnd w:id="1539"/>
      <w:bookmarkEnd w:id="1540"/>
      <w:bookmarkEnd w:id="1541"/>
      <w:bookmarkEnd w:id="1542"/>
      <w:bookmarkEnd w:id="1543"/>
      <w:bookmarkEnd w:id="1544"/>
      <w:bookmarkEnd w:id="1545"/>
    </w:p>
    <w:bookmarkEnd w:id="1546"/>
    <w:bookmarkEnd w:id="1547"/>
    <w:bookmarkEnd w:id="1548"/>
    <w:bookmarkEnd w:id="1549"/>
    <w:bookmarkEnd w:id="1550"/>
    <w:bookmarkEnd w:id="1551"/>
    <w:p w14:paraId="6CFA9139">
      <w:pPr>
        <w:spacing w:line="360" w:lineRule="auto"/>
        <w:ind w:firstLine="420" w:firstLineChars="200"/>
        <w:jc w:val="left"/>
        <w:rPr>
          <w:rFonts w:hint="eastAsia" w:hAnsi="宋体" w:cs="宋体"/>
          <w:color w:val="auto"/>
          <w:highlight w:val="none"/>
        </w:rPr>
      </w:pPr>
      <w:bookmarkStart w:id="1552" w:name="_Toc373227750"/>
      <w:bookmarkStart w:id="1553" w:name="_Toc389065315"/>
      <w:bookmarkStart w:id="1554" w:name="_Toc373478397"/>
      <w:bookmarkStart w:id="1555" w:name="_Toc304295581"/>
      <w:bookmarkStart w:id="1556" w:name="_Toc303539161"/>
      <w:bookmarkStart w:id="1557" w:name="_Toc312678042"/>
      <w:bookmarkStart w:id="1558" w:name="_Toc297216213"/>
      <w:bookmarkStart w:id="1559" w:name="_Toc297123554"/>
      <w:bookmarkStart w:id="1560" w:name="_Toc300935004"/>
      <w:bookmarkStart w:id="1561" w:name="_Toc296944546"/>
      <w:bookmarkStart w:id="1562" w:name="_Toc297120507"/>
      <w:bookmarkStart w:id="1563" w:name="_Toc292559412"/>
      <w:bookmarkStart w:id="1564" w:name="_Toc296347206"/>
      <w:bookmarkStart w:id="1565" w:name="_Toc296891035"/>
      <w:bookmarkStart w:id="1566" w:name="_Toc296346708"/>
      <w:bookmarkStart w:id="1567" w:name="_Toc296503207"/>
      <w:bookmarkStart w:id="1568" w:name="_Toc297048393"/>
      <w:bookmarkStart w:id="1569" w:name="_Toc296891247"/>
      <w:bookmarkStart w:id="1570" w:name="_Toc292559917"/>
      <w:r>
        <w:rPr>
          <w:rFonts w:hint="eastAsia" w:hAnsi="宋体" w:cs="宋体"/>
          <w:color w:val="auto"/>
          <w:highlight w:val="none"/>
        </w:rPr>
        <w:t>12.1.1本工程采用第</w:t>
      </w:r>
      <w:r>
        <w:rPr>
          <w:rFonts w:hint="eastAsia" w:hAnsi="宋体" w:cs="宋体"/>
          <w:color w:val="auto"/>
          <w:highlight w:val="none"/>
          <w:u w:val="single"/>
        </w:rPr>
        <w:t xml:space="preserve">   </w:t>
      </w:r>
      <w:r>
        <w:rPr>
          <w:rFonts w:hint="eastAsia" w:hAnsi="宋体" w:cs="宋体"/>
          <w:color w:val="auto"/>
          <w:highlight w:val="none"/>
          <w:u w:val="single"/>
          <w:lang w:val="en-US" w:eastAsia="zh-CN"/>
        </w:rPr>
        <w:t>一</w:t>
      </w:r>
      <w:r>
        <w:rPr>
          <w:rFonts w:hint="eastAsia" w:hAnsi="宋体" w:cs="宋体"/>
          <w:color w:val="auto"/>
          <w:highlight w:val="none"/>
          <w:u w:val="single"/>
        </w:rPr>
        <w:t xml:space="preserve"> </w:t>
      </w:r>
      <w:r>
        <w:rPr>
          <w:rFonts w:hint="eastAsia" w:hAnsi="宋体" w:cs="宋体"/>
          <w:color w:val="auto"/>
          <w:highlight w:val="none"/>
          <w:u w:val="single"/>
          <w:lang w:val="en-US" w:eastAsia="zh-CN"/>
        </w:rPr>
        <w:t xml:space="preserve"> </w:t>
      </w:r>
      <w:r>
        <w:rPr>
          <w:rFonts w:hint="eastAsia" w:hAnsi="宋体" w:cs="宋体"/>
          <w:color w:val="auto"/>
          <w:highlight w:val="none"/>
        </w:rPr>
        <w:t xml:space="preserve"> 种合同价格形式，合同价格包含增值税。</w:t>
      </w:r>
    </w:p>
    <w:p w14:paraId="5CCD44BD">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第一种方式：单价合同。</w:t>
      </w:r>
    </w:p>
    <w:p w14:paraId="034464BD">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第二种方式：总价合同。</w:t>
      </w:r>
    </w:p>
    <w:p w14:paraId="0B5B306D">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 xml:space="preserve">第三种方式：其他价格方式：  </w:t>
      </w:r>
      <w:r>
        <w:rPr>
          <w:rFonts w:hint="eastAsia" w:hAnsi="宋体" w:cs="宋体"/>
          <w:color w:val="auto"/>
          <w:highlight w:val="none"/>
          <w:u w:val="single"/>
        </w:rPr>
        <w:t xml:space="preserve">                                      </w:t>
      </w:r>
      <w:r>
        <w:rPr>
          <w:rFonts w:hint="eastAsia" w:hAnsi="宋体" w:cs="宋体"/>
          <w:color w:val="auto"/>
          <w:highlight w:val="none"/>
          <w:lang w:eastAsia="zh-CN"/>
        </w:rPr>
        <w:t>（如果约定采用单价合同及总价合同以外的合同价格形式，应详细约定合同价格确定方法及合同价格调整法</w:t>
      </w:r>
      <w:r>
        <w:rPr>
          <w:rFonts w:hint="eastAsia" w:hAnsi="宋体" w:cs="宋体"/>
          <w:color w:val="auto"/>
          <w:highlight w:val="none"/>
        </w:rPr>
        <w:t xml:space="preserve"> </w:t>
      </w:r>
      <w:r>
        <w:rPr>
          <w:rFonts w:hint="eastAsia" w:hAnsi="宋体" w:cs="宋体"/>
          <w:color w:val="auto"/>
          <w:highlight w:val="none"/>
          <w:lang w:eastAsia="zh-CN"/>
        </w:rPr>
        <w:t>）</w:t>
      </w:r>
      <w:r>
        <w:rPr>
          <w:rFonts w:hint="eastAsia" w:hAnsi="宋体" w:cs="宋体"/>
          <w:color w:val="auto"/>
          <w:highlight w:val="none"/>
        </w:rPr>
        <w:t>。</w:t>
      </w:r>
    </w:p>
    <w:p w14:paraId="020AB019">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12.1.2 合同价格调整事项</w:t>
      </w:r>
    </w:p>
    <w:p w14:paraId="7A3B0DD8">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合同履行过</w:t>
      </w:r>
      <w:r>
        <w:rPr>
          <w:rFonts w:hint="eastAsia" w:hAnsi="宋体" w:cs="宋体"/>
          <w:color w:val="auto"/>
          <w:highlight w:val="none"/>
          <w:lang w:eastAsia="zh-CN"/>
        </w:rPr>
        <w:t>程中</w:t>
      </w:r>
      <w:r>
        <w:rPr>
          <w:rFonts w:hint="eastAsia" w:hAnsi="宋体" w:cs="宋体"/>
          <w:color w:val="auto"/>
          <w:highlight w:val="none"/>
        </w:rPr>
        <w:t>发生下列事项，发承包双方应按本合同相关条款约定调整合同价格：</w:t>
      </w:r>
    </w:p>
    <w:p w14:paraId="3D5593A5">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（1）工程量清单缺陷；（2）暂列金额；（3）暂估价；（4）总承包服务费；（5）零星签证；（6）物价变化；（7）法律法规及政策性变化；（8）工程变更；</w:t>
      </w:r>
      <w:r>
        <w:rPr>
          <w:rFonts w:hint="eastAsia" w:hAnsi="宋体" w:cs="宋体"/>
          <w:color w:val="auto"/>
          <w:highlight w:val="none"/>
          <w:lang w:eastAsia="zh-CN"/>
        </w:rPr>
        <w:t>（</w:t>
      </w:r>
      <w:r>
        <w:rPr>
          <w:rFonts w:hint="eastAsia" w:hAnsi="宋体" w:cs="宋体"/>
          <w:color w:val="auto"/>
          <w:highlight w:val="none"/>
          <w:lang w:val="en-US" w:eastAsia="zh-CN"/>
        </w:rPr>
        <w:t>9</w:t>
      </w:r>
      <w:r>
        <w:rPr>
          <w:rFonts w:hint="eastAsia" w:hAnsi="宋体" w:cs="宋体"/>
          <w:color w:val="auto"/>
          <w:highlight w:val="none"/>
          <w:lang w:eastAsia="zh-CN"/>
        </w:rPr>
        <w:t>）新增工程；</w:t>
      </w:r>
      <w:r>
        <w:rPr>
          <w:rFonts w:hint="eastAsia" w:hAnsi="宋体" w:cs="宋体"/>
          <w:color w:val="auto"/>
          <w:highlight w:val="none"/>
        </w:rPr>
        <w:t>（</w:t>
      </w:r>
      <w:r>
        <w:rPr>
          <w:rFonts w:hint="eastAsia" w:hAnsi="宋体" w:cs="宋体"/>
          <w:color w:val="auto"/>
          <w:highlight w:val="none"/>
          <w:lang w:val="en-US" w:eastAsia="zh-CN"/>
        </w:rPr>
        <w:t>10</w:t>
      </w:r>
      <w:r>
        <w:rPr>
          <w:rFonts w:hint="eastAsia" w:hAnsi="宋体" w:cs="宋体"/>
          <w:color w:val="auto"/>
          <w:highlight w:val="none"/>
        </w:rPr>
        <w:t>）工程索赔；（1</w:t>
      </w:r>
      <w:r>
        <w:rPr>
          <w:rFonts w:hint="eastAsia" w:hAnsi="宋体" w:cs="宋体"/>
          <w:color w:val="auto"/>
          <w:highlight w:val="none"/>
          <w:lang w:val="en-US" w:eastAsia="zh-CN"/>
        </w:rPr>
        <w:t>1</w:t>
      </w:r>
      <w:r>
        <w:rPr>
          <w:rFonts w:hint="eastAsia" w:hAnsi="宋体" w:cs="宋体"/>
          <w:color w:val="auto"/>
          <w:highlight w:val="none"/>
        </w:rPr>
        <w:t>） 发承包双方约定的其他调整事项：</w:t>
      </w:r>
      <w:r>
        <w:rPr>
          <w:rFonts w:hint="eastAsia" w:hAnsi="宋体" w:cs="宋体"/>
          <w:color w:val="auto"/>
          <w:highlight w:val="none"/>
          <w:u w:val="single"/>
        </w:rPr>
        <w:t xml:space="preserve">                  </w:t>
      </w:r>
      <w:r>
        <w:rPr>
          <w:rFonts w:hint="eastAsia" w:hAnsi="宋体" w:cs="宋体"/>
          <w:color w:val="auto"/>
          <w:highlight w:val="none"/>
        </w:rPr>
        <w:t>。</w:t>
      </w:r>
    </w:p>
    <w:p w14:paraId="3DA94BA8">
      <w:pPr>
        <w:pStyle w:val="5"/>
        <w:rPr>
          <w:color w:val="auto"/>
          <w:highlight w:val="none"/>
        </w:rPr>
      </w:pPr>
      <w:bookmarkStart w:id="1571" w:name="_Toc13852"/>
      <w:bookmarkStart w:id="1572" w:name="_Toc20258"/>
      <w:bookmarkStart w:id="1573" w:name="_Toc78449839"/>
      <w:bookmarkStart w:id="1574" w:name="_Toc1681900246"/>
      <w:bookmarkStart w:id="1575" w:name="_Toc407135253"/>
      <w:r>
        <w:rPr>
          <w:color w:val="auto"/>
          <w:highlight w:val="none"/>
        </w:rPr>
        <w:t xml:space="preserve">12.2 </w:t>
      </w:r>
      <w:r>
        <w:rPr>
          <w:rFonts w:hint="eastAsia" w:hAnsi="宋体" w:cs="黑体"/>
          <w:color w:val="auto"/>
          <w:highlight w:val="none"/>
        </w:rPr>
        <w:t>预付款</w:t>
      </w:r>
      <w:bookmarkEnd w:id="1552"/>
      <w:bookmarkEnd w:id="1553"/>
      <w:bookmarkEnd w:id="1554"/>
      <w:bookmarkEnd w:id="1571"/>
      <w:bookmarkEnd w:id="1572"/>
      <w:bookmarkEnd w:id="1573"/>
      <w:bookmarkEnd w:id="1574"/>
      <w:bookmarkEnd w:id="1575"/>
    </w:p>
    <w:bookmarkEnd w:id="1555"/>
    <w:bookmarkEnd w:id="1556"/>
    <w:bookmarkEnd w:id="1557"/>
    <w:bookmarkEnd w:id="1558"/>
    <w:bookmarkEnd w:id="1559"/>
    <w:bookmarkEnd w:id="1560"/>
    <w:p w14:paraId="3F318DF7">
      <w:pPr>
        <w:spacing w:line="360" w:lineRule="auto"/>
        <w:ind w:firstLine="420" w:firstLineChars="200"/>
        <w:jc w:val="left"/>
        <w:rPr>
          <w:color w:val="auto"/>
          <w:highlight w:val="none"/>
        </w:rPr>
      </w:pPr>
      <w:r>
        <w:rPr>
          <w:color w:val="auto"/>
          <w:highlight w:val="none"/>
        </w:rPr>
        <w:t xml:space="preserve">12.2.1 </w:t>
      </w:r>
      <w:r>
        <w:rPr>
          <w:rFonts w:hint="eastAsia" w:hAnsi="宋体" w:cs="宋体"/>
          <w:color w:val="auto"/>
          <w:highlight w:val="none"/>
        </w:rPr>
        <w:t>预付款的支付</w:t>
      </w:r>
    </w:p>
    <w:p w14:paraId="0C353E2C">
      <w:pPr>
        <w:spacing w:line="360" w:lineRule="auto"/>
        <w:ind w:firstLine="420" w:firstLineChars="200"/>
        <w:jc w:val="left"/>
        <w:rPr>
          <w:color w:val="auto"/>
          <w:highlight w:val="none"/>
        </w:rPr>
      </w:pPr>
      <w:r>
        <w:rPr>
          <w:rFonts w:hint="eastAsia" w:hAnsi="宋体" w:cs="宋体"/>
          <w:color w:val="auto"/>
          <w:highlight w:val="none"/>
        </w:rPr>
        <w:t>预付款支付比例或金额：</w:t>
      </w:r>
      <w:r>
        <w:rPr>
          <w:rFonts w:hint="default" w:ascii="Times New Roman" w:hAnsi="Times New Roman" w:cs="Times New Roman"/>
          <w:color w:val="auto"/>
          <w:szCs w:val="21"/>
          <w:highlight w:val="none"/>
          <w:u w:val="none"/>
        </w:rPr>
        <w:t>按照签约合同价</w:t>
      </w:r>
      <w:r>
        <w:rPr>
          <w:rFonts w:hint="eastAsia" w:ascii="Times New Roman" w:hAnsi="Times New Roman" w:cs="Times New Roman"/>
          <w:color w:val="auto"/>
          <w:szCs w:val="21"/>
          <w:highlight w:val="none"/>
          <w:u w:val="none"/>
          <w:lang w:eastAsia="zh-CN"/>
        </w:rPr>
        <w:t>扣</w:t>
      </w:r>
      <w:r>
        <w:rPr>
          <w:rFonts w:hint="default" w:ascii="Times New Roman" w:hAnsi="Times New Roman" w:eastAsia="宋体" w:cs="Times New Roman"/>
          <w:color w:val="auto"/>
          <w:szCs w:val="21"/>
          <w:highlight w:val="none"/>
          <w:u w:val="none"/>
          <w:lang w:eastAsia="zh-CN"/>
        </w:rPr>
        <w:t>除</w:t>
      </w:r>
      <w:r>
        <w:rPr>
          <w:rFonts w:hint="default" w:ascii="Times New Roman" w:hAnsi="Times New Roman" w:eastAsia="宋体" w:cs="Times New Roman"/>
          <w:color w:val="auto"/>
          <w:szCs w:val="21"/>
          <w:highlight w:val="none"/>
          <w:u w:val="none"/>
          <w:lang w:val="zh-TW" w:eastAsia="zh-TW"/>
        </w:rPr>
        <w:t>暂列金额、专业工程暂估价及</w:t>
      </w:r>
      <w:r>
        <w:rPr>
          <w:rFonts w:hint="default" w:ascii="Times New Roman" w:hAnsi="Times New Roman" w:eastAsia="宋体" w:cs="Times New Roman"/>
          <w:color w:val="auto"/>
          <w:szCs w:val="21"/>
          <w:highlight w:val="none"/>
          <w:u w:val="none"/>
          <w:lang w:val="en" w:eastAsia="zh-TW"/>
        </w:rPr>
        <w:t>安全生产费</w:t>
      </w:r>
      <w:r>
        <w:rPr>
          <w:rFonts w:hint="default" w:eastAsia="宋体" w:cs="Times New Roman"/>
          <w:color w:val="auto"/>
          <w:szCs w:val="21"/>
          <w:highlight w:val="none"/>
          <w:u w:val="none"/>
          <w:lang w:val="en"/>
        </w:rPr>
        <w:t>后</w:t>
      </w:r>
      <w:r>
        <w:rPr>
          <w:rFonts w:hint="eastAsia" w:ascii="Times New Roman" w:hAnsi="Times New Roman" w:eastAsia="宋体" w:cs="Times New Roman"/>
          <w:color w:val="auto"/>
          <w:szCs w:val="21"/>
          <w:highlight w:val="none"/>
          <w:u w:val="none"/>
          <w:lang w:val="en-US" w:eastAsia="zh-CN"/>
        </w:rPr>
        <w:t xml:space="preserve">    </w:t>
      </w:r>
      <w:r>
        <w:rPr>
          <w:rFonts w:hint="default" w:eastAsia="宋体" w:cs="Times New Roman"/>
          <w:color w:val="auto"/>
          <w:szCs w:val="21"/>
          <w:highlight w:val="none"/>
          <w:u w:val="none"/>
          <w:lang w:val="en"/>
        </w:rPr>
        <w:t>的</w:t>
      </w:r>
      <w:r>
        <w:rPr>
          <w:rFonts w:hint="default" w:eastAsia="宋体" w:cs="Times New Roman"/>
          <w:color w:val="auto"/>
          <w:szCs w:val="21"/>
          <w:highlight w:val="none"/>
          <w:u w:val="single"/>
          <w:lang w:val="en"/>
        </w:rPr>
        <w:t xml:space="preserve"> </w:t>
      </w:r>
      <w:r>
        <w:rPr>
          <w:rFonts w:hint="eastAsia" w:cs="Times New Roman"/>
          <w:color w:val="auto"/>
          <w:szCs w:val="21"/>
          <w:highlight w:val="none"/>
          <w:u w:val="single"/>
          <w:lang w:val="en-US" w:eastAsia="zh-CN"/>
        </w:rPr>
        <w:t>30</w:t>
      </w:r>
      <w:r>
        <w:rPr>
          <w:rFonts w:hint="default" w:eastAsia="宋体" w:cs="Times New Roman"/>
          <w:color w:val="auto"/>
          <w:szCs w:val="21"/>
          <w:highlight w:val="none"/>
          <w:u w:val="single"/>
          <w:lang w:val="en"/>
        </w:rPr>
        <w:t xml:space="preserve"> </w:t>
      </w:r>
      <w:r>
        <w:rPr>
          <w:rFonts w:hint="default" w:ascii="Times New Roman" w:hAnsi="Times New Roman" w:eastAsia="宋体" w:cs="Times New Roman"/>
          <w:color w:val="auto"/>
          <w:szCs w:val="21"/>
          <w:highlight w:val="none"/>
          <w:u w:val="none"/>
        </w:rPr>
        <w:t>%。</w:t>
      </w:r>
    </w:p>
    <w:p w14:paraId="0CA3E0CB">
      <w:pPr>
        <w:spacing w:line="360" w:lineRule="auto"/>
        <w:ind w:firstLine="420" w:firstLineChars="200"/>
        <w:jc w:val="left"/>
        <w:rPr>
          <w:color w:val="auto"/>
          <w:highlight w:val="none"/>
        </w:rPr>
      </w:pPr>
      <w:r>
        <w:rPr>
          <w:rFonts w:hint="eastAsia" w:hAnsi="宋体" w:cs="宋体"/>
          <w:color w:val="auto"/>
          <w:highlight w:val="none"/>
        </w:rPr>
        <w:t>预付款支付期限：</w:t>
      </w:r>
      <w:r>
        <w:rPr>
          <w:rFonts w:hint="eastAsia"/>
          <w:color w:val="auto"/>
          <w:highlight w:val="none"/>
          <w:u w:val="single"/>
        </w:rPr>
        <w:t xml:space="preserve">合同签订后 </w:t>
      </w:r>
      <w:r>
        <w:rPr>
          <w:rFonts w:hint="eastAsia"/>
          <w:color w:val="auto"/>
          <w:highlight w:val="none"/>
          <w:u w:val="single"/>
          <w:lang w:val="en-US" w:eastAsia="zh-CN"/>
        </w:rPr>
        <w:t>20</w:t>
      </w:r>
      <w:r>
        <w:rPr>
          <w:rFonts w:hint="eastAsia"/>
          <w:color w:val="auto"/>
          <w:highlight w:val="none"/>
          <w:u w:val="single"/>
        </w:rPr>
        <w:t xml:space="preserve"> 天之内</w:t>
      </w:r>
      <w:r>
        <w:rPr>
          <w:rFonts w:hint="eastAsia"/>
          <w:color w:val="auto"/>
          <w:highlight w:val="none"/>
          <w:u w:val="single"/>
          <w:lang w:val="en-US" w:eastAsia="zh-CN"/>
        </w:rPr>
        <w:t>支付</w:t>
      </w:r>
      <w:r>
        <w:rPr>
          <w:color w:val="auto"/>
          <w:highlight w:val="none"/>
          <w:u w:val="single"/>
        </w:rPr>
        <w:t xml:space="preserve"> </w:t>
      </w:r>
      <w:r>
        <w:rPr>
          <w:rFonts w:hint="eastAsia" w:hAnsi="宋体" w:cs="宋体"/>
          <w:color w:val="auto"/>
          <w:highlight w:val="none"/>
        </w:rPr>
        <w:t>。</w:t>
      </w:r>
    </w:p>
    <w:p w14:paraId="699396E1">
      <w:pPr>
        <w:spacing w:line="360" w:lineRule="auto"/>
        <w:ind w:firstLine="420" w:firstLineChars="200"/>
        <w:jc w:val="left"/>
        <w:rPr>
          <w:rFonts w:hint="eastAsia"/>
          <w:color w:val="auto"/>
          <w:highlight w:val="none"/>
          <w:u w:val="none"/>
          <w:lang w:val="en-US" w:eastAsia="zh-CN"/>
        </w:rPr>
      </w:pPr>
      <w:r>
        <w:rPr>
          <w:rFonts w:hint="eastAsia" w:hAnsi="宋体" w:cs="宋体"/>
          <w:color w:val="auto"/>
          <w:highlight w:val="none"/>
        </w:rPr>
        <w:t>预付款扣回的方式：</w:t>
      </w:r>
      <w:r>
        <w:rPr>
          <w:rFonts w:hint="eastAsia"/>
          <w:color w:val="auto"/>
          <w:highlight w:val="none"/>
          <w:u w:val="single"/>
        </w:rPr>
        <w:t xml:space="preserve">进度款达到 </w:t>
      </w:r>
      <w:r>
        <w:rPr>
          <w:rFonts w:hint="eastAsia"/>
          <w:color w:val="auto"/>
          <w:highlight w:val="none"/>
          <w:u w:val="single"/>
          <w:lang w:val="en-US" w:eastAsia="zh-CN"/>
        </w:rPr>
        <w:t>30</w:t>
      </w:r>
      <w:r>
        <w:rPr>
          <w:rFonts w:hint="eastAsia"/>
          <w:color w:val="auto"/>
          <w:highlight w:val="none"/>
          <w:u w:val="single"/>
        </w:rPr>
        <w:t>%作为预付款起扣点，从此之后的每个</w:t>
      </w:r>
      <w:r>
        <w:rPr>
          <w:rFonts w:hint="eastAsia"/>
          <w:color w:val="auto"/>
          <w:highlight w:val="none"/>
          <w:u w:val="single"/>
          <w:lang w:eastAsia="zh-CN"/>
        </w:rPr>
        <w:t>计量周期</w:t>
      </w:r>
      <w:r>
        <w:rPr>
          <w:rFonts w:hint="eastAsia"/>
          <w:color w:val="auto"/>
          <w:highlight w:val="none"/>
          <w:u w:val="single"/>
        </w:rPr>
        <w:t>进度款中按预付款支付比例扣回</w:t>
      </w:r>
      <w:r>
        <w:rPr>
          <w:rFonts w:hint="eastAsia"/>
          <w:color w:val="auto"/>
          <w:highlight w:val="none"/>
          <w:u w:val="single"/>
          <w:lang w:eastAsia="zh-CN"/>
        </w:rPr>
        <w:t>，</w:t>
      </w:r>
      <w:r>
        <w:rPr>
          <w:rFonts w:hint="eastAsia"/>
          <w:color w:val="auto"/>
          <w:highlight w:val="none"/>
          <w:u w:val="single"/>
        </w:rPr>
        <w:t>扣回</w:t>
      </w:r>
      <w:r>
        <w:rPr>
          <w:rFonts w:hint="eastAsia"/>
          <w:color w:val="auto"/>
          <w:highlight w:val="none"/>
          <w:u w:val="none"/>
          <w:lang w:eastAsia="zh-CN"/>
        </w:rPr>
        <w:t>金额或计算办法：</w:t>
      </w:r>
      <w:r>
        <w:rPr>
          <w:rFonts w:hint="eastAsia"/>
          <w:color w:val="auto"/>
          <w:highlight w:val="none"/>
          <w:u w:val="none"/>
          <w:lang w:val="en-US" w:eastAsia="zh-CN"/>
        </w:rPr>
        <w:t xml:space="preserve"> </w:t>
      </w:r>
    </w:p>
    <w:p w14:paraId="2C553089">
      <w:pPr>
        <w:spacing w:line="360" w:lineRule="auto"/>
        <w:ind w:firstLine="420" w:firstLineChars="200"/>
        <w:jc w:val="left"/>
        <w:rPr>
          <w:rFonts w:hint="eastAsia"/>
          <w:color w:val="auto"/>
          <w:highlight w:val="none"/>
          <w:u w:val="none"/>
          <w:lang w:val="en-US" w:eastAsia="zh-CN"/>
        </w:rPr>
      </w:pPr>
      <w:r>
        <w:rPr>
          <w:rFonts w:hint="eastAsia"/>
          <w:color w:val="auto"/>
          <w:highlight w:val="none"/>
          <w:u w:val="none"/>
          <w:lang w:val="en-US" w:eastAsia="zh-CN"/>
        </w:rPr>
        <w:sym w:font="Wingdings 2" w:char="00A3"/>
      </w:r>
      <w:r>
        <w:rPr>
          <w:rFonts w:hint="eastAsia"/>
          <w:color w:val="auto"/>
          <w:highlight w:val="none"/>
          <w:u w:val="none"/>
          <w:lang w:val="en-US" w:eastAsia="zh-CN"/>
        </w:rPr>
        <w:t>按（预付款/剩余计量周期）计算每个计量周期扣回额；</w:t>
      </w:r>
    </w:p>
    <w:p w14:paraId="18CA71E2">
      <w:pPr>
        <w:spacing w:line="360" w:lineRule="auto"/>
        <w:ind w:firstLine="420" w:firstLineChars="200"/>
        <w:jc w:val="left"/>
        <w:rPr>
          <w:color w:val="auto"/>
          <w:highlight w:val="none"/>
        </w:rPr>
      </w:pPr>
      <w:r>
        <w:rPr>
          <w:rFonts w:hint="eastAsia"/>
          <w:color w:val="auto"/>
          <w:highlight w:val="none"/>
          <w:u w:val="none"/>
          <w:lang w:val="en-US" w:eastAsia="zh-CN"/>
        </w:rPr>
        <w:sym w:font="Wingdings 2" w:char="0052"/>
      </w:r>
      <w:r>
        <w:rPr>
          <w:rFonts w:hint="eastAsia"/>
          <w:color w:val="auto"/>
          <w:highlight w:val="none"/>
          <w:u w:val="none"/>
          <w:lang w:val="en-US" w:eastAsia="zh-CN"/>
        </w:rPr>
        <w:t xml:space="preserve">按预付款的30%扣回，扣完为止 </w:t>
      </w:r>
      <w:r>
        <w:rPr>
          <w:rFonts w:hint="eastAsia" w:hAnsi="宋体" w:cs="宋体"/>
          <w:color w:val="auto"/>
          <w:highlight w:val="none"/>
        </w:rPr>
        <w:t>。</w:t>
      </w:r>
    </w:p>
    <w:p w14:paraId="462B40A6">
      <w:pPr>
        <w:spacing w:line="360" w:lineRule="auto"/>
        <w:ind w:firstLine="420" w:firstLineChars="200"/>
        <w:jc w:val="left"/>
        <w:rPr>
          <w:color w:val="auto"/>
          <w:highlight w:val="none"/>
        </w:rPr>
      </w:pPr>
      <w:r>
        <w:rPr>
          <w:color w:val="auto"/>
          <w:highlight w:val="none"/>
        </w:rPr>
        <w:t xml:space="preserve">12.2.2 </w:t>
      </w:r>
      <w:r>
        <w:rPr>
          <w:rFonts w:hint="eastAsia" w:hAnsi="宋体" w:cs="宋体"/>
          <w:color w:val="auto"/>
          <w:highlight w:val="none"/>
        </w:rPr>
        <w:t>预付款担保</w:t>
      </w:r>
    </w:p>
    <w:p w14:paraId="78D32B60">
      <w:pPr>
        <w:spacing w:line="360" w:lineRule="auto"/>
        <w:ind w:firstLine="420" w:firstLineChars="200"/>
        <w:jc w:val="left"/>
        <w:rPr>
          <w:color w:val="auto"/>
          <w:highlight w:val="none"/>
        </w:rPr>
      </w:pPr>
      <w:r>
        <w:rPr>
          <w:rFonts w:hint="eastAsia" w:hAnsi="宋体" w:cs="宋体"/>
          <w:color w:val="auto"/>
          <w:highlight w:val="none"/>
        </w:rPr>
        <w:t>承包人提交预付款担保的期限：</w:t>
      </w:r>
      <w:r>
        <w:rPr>
          <w:color w:val="auto"/>
          <w:highlight w:val="none"/>
          <w:u w:val="single"/>
        </w:rPr>
        <w:t xml:space="preserve">  </w:t>
      </w:r>
      <w:r>
        <w:rPr>
          <w:rFonts w:hint="eastAsia" w:ascii="宋体" w:hAnsi="宋体"/>
          <w:color w:val="auto"/>
          <w:kern w:val="0"/>
          <w:szCs w:val="21"/>
          <w:highlight w:val="none"/>
          <w:u w:val="single" w:color="000000"/>
        </w:rPr>
        <w:t>发包人支付预付款</w:t>
      </w:r>
      <w:r>
        <w:rPr>
          <w:rFonts w:ascii="Times New Roman" w:hAnsi="Times New Roman" w:eastAsia="Times New Roman"/>
          <w:color w:val="auto"/>
          <w:kern w:val="0"/>
          <w:szCs w:val="21"/>
          <w:highlight w:val="none"/>
          <w:u w:val="single" w:color="000000"/>
        </w:rPr>
        <w:t>15</w:t>
      </w:r>
      <w:r>
        <w:rPr>
          <w:rFonts w:hint="eastAsia" w:ascii="宋体" w:hAnsi="宋体"/>
          <w:color w:val="auto"/>
          <w:kern w:val="0"/>
          <w:szCs w:val="21"/>
          <w:highlight w:val="none"/>
          <w:u w:val="single" w:color="000000"/>
        </w:rPr>
        <w:t>天前提供预付款担保</w:t>
      </w:r>
      <w:r>
        <w:rPr>
          <w:rFonts w:hint="eastAsia" w:ascii="宋体" w:hAnsi="宋体"/>
          <w:color w:val="auto"/>
          <w:kern w:val="0"/>
          <w:szCs w:val="21"/>
          <w:highlight w:val="none"/>
          <w:u w:val="single" w:color="000000"/>
          <w:lang w:val="en-US" w:eastAsia="zh-CN"/>
        </w:rPr>
        <w:t xml:space="preserve"> </w:t>
      </w:r>
      <w:r>
        <w:rPr>
          <w:rFonts w:hint="eastAsia" w:hAnsi="宋体" w:cs="宋体"/>
          <w:color w:val="auto"/>
          <w:highlight w:val="none"/>
        </w:rPr>
        <w:t>。</w:t>
      </w:r>
    </w:p>
    <w:p w14:paraId="15B2ABBE">
      <w:pPr>
        <w:spacing w:line="360" w:lineRule="auto"/>
        <w:ind w:firstLine="420" w:firstLineChars="200"/>
        <w:jc w:val="left"/>
        <w:rPr>
          <w:rFonts w:hint="eastAsia" w:ascii="Times New Roman" w:hAnsi="宋体" w:eastAsia="宋体" w:cs="宋体"/>
          <w:color w:val="auto"/>
          <w:highlight w:val="none"/>
        </w:rPr>
      </w:pPr>
      <w:r>
        <w:rPr>
          <w:rFonts w:hint="eastAsia" w:hAnsi="宋体" w:cs="宋体"/>
          <w:color w:val="auto"/>
          <w:highlight w:val="none"/>
        </w:rPr>
        <w:t>预付款担保的形式为：</w:t>
      </w:r>
      <w:r>
        <w:rPr>
          <w:rFonts w:hint="eastAsia"/>
          <w:color w:val="auto"/>
          <w:highlight w:val="none"/>
          <w:u w:val="none"/>
          <w:lang w:eastAsia="zh-CN"/>
        </w:rPr>
        <w:t>可以是</w:t>
      </w:r>
      <w:r>
        <w:rPr>
          <w:rFonts w:hint="eastAsia" w:ascii="Times New Roman" w:hAnsi="宋体" w:eastAsia="宋体" w:cs="宋体"/>
          <w:color w:val="auto"/>
          <w:highlight w:val="none"/>
        </w:rPr>
        <w:t>银行转账、电汇或网上支付、保函（银行保函、电子保函、保证保险保函、工程担保保函）等</w:t>
      </w:r>
      <w:r>
        <w:rPr>
          <w:rFonts w:hint="eastAsia" w:ascii="Times New Roman" w:hAnsi="宋体" w:eastAsia="宋体" w:cs="宋体"/>
          <w:color w:val="auto"/>
          <w:highlight w:val="none"/>
          <w:lang w:eastAsia="zh-CN"/>
        </w:rPr>
        <w:t>形</w:t>
      </w:r>
      <w:r>
        <w:rPr>
          <w:rFonts w:hint="eastAsia" w:ascii="Times New Roman" w:hAnsi="宋体" w:eastAsia="宋体" w:cs="宋体"/>
          <w:color w:val="auto"/>
          <w:highlight w:val="none"/>
        </w:rPr>
        <w:t>式。工程担保保证人应将出具的保函相关信息录入</w:t>
      </w:r>
      <w:r>
        <w:rPr>
          <w:rFonts w:hint="eastAsia" w:hAnsi="宋体" w:cs="宋体"/>
          <w:color w:val="auto"/>
          <w:highlight w:val="none"/>
          <w:lang w:eastAsia="zh-CN"/>
        </w:rPr>
        <w:t>“</w:t>
      </w:r>
      <w:r>
        <w:rPr>
          <w:rFonts w:hint="eastAsia" w:ascii="Times New Roman" w:hAnsi="宋体" w:eastAsia="宋体" w:cs="宋体"/>
          <w:color w:val="auto"/>
          <w:highlight w:val="none"/>
        </w:rPr>
        <w:t>广西建筑市场监管云</w:t>
      </w:r>
      <w:r>
        <w:rPr>
          <w:rFonts w:hint="eastAsia" w:hAnsi="宋体" w:cs="宋体"/>
          <w:color w:val="auto"/>
          <w:highlight w:val="none"/>
          <w:lang w:eastAsia="zh-CN"/>
        </w:rPr>
        <w:t>”</w:t>
      </w:r>
      <w:r>
        <w:rPr>
          <w:rFonts w:hint="eastAsia" w:ascii="Times New Roman" w:hAnsi="宋体" w:eastAsia="宋体" w:cs="宋体"/>
          <w:color w:val="auto"/>
          <w:highlight w:val="none"/>
        </w:rPr>
        <w:t>平台（</w:t>
      </w:r>
      <w:r>
        <w:rPr>
          <w:rFonts w:hint="eastAsia" w:ascii="Times New Roman" w:hAnsi="宋体" w:eastAsia="宋体" w:cs="宋体"/>
          <w:color w:val="auto"/>
          <w:highlight w:val="none"/>
          <w:lang w:eastAsia="zh-CN"/>
        </w:rPr>
        <w:t>https://gxjzsc.gxcic.</w:t>
      </w:r>
      <w:r>
        <w:rPr>
          <w:rFonts w:hint="eastAsia" w:cs="宋体"/>
          <w:color w:val="auto"/>
          <w:highlight w:val="none"/>
          <w:lang w:val="en-US" w:eastAsia="zh-CN"/>
        </w:rPr>
        <w:t>cn</w:t>
      </w:r>
      <w:r>
        <w:rPr>
          <w:rFonts w:hint="eastAsia" w:hAnsi="宋体" w:cs="宋体"/>
          <w:color w:val="auto"/>
          <w:highlight w:val="none"/>
          <w:lang w:eastAsia="zh-CN"/>
        </w:rPr>
        <w:t>）</w:t>
      </w:r>
      <w:r>
        <w:rPr>
          <w:rFonts w:hint="eastAsia" w:ascii="Times New Roman" w:hAnsi="宋体" w:eastAsia="宋体" w:cs="宋体"/>
          <w:color w:val="auto"/>
          <w:highlight w:val="none"/>
        </w:rPr>
        <w:t>，以实现保函查询及验真功能</w:t>
      </w:r>
      <w:r>
        <w:rPr>
          <w:rFonts w:hint="eastAsia" w:ascii="Times New Roman" w:hAnsi="宋体" w:eastAsia="宋体" w:cs="宋体"/>
          <w:color w:val="auto"/>
          <w:highlight w:val="none"/>
          <w:lang w:eastAsia="zh-CN"/>
        </w:rPr>
        <w:t>。</w:t>
      </w:r>
    </w:p>
    <w:p w14:paraId="6BAEB2F0">
      <w:pPr>
        <w:spacing w:line="360" w:lineRule="auto"/>
        <w:ind w:firstLine="420" w:firstLineChars="200"/>
        <w:jc w:val="left"/>
        <w:rPr>
          <w:color w:val="auto"/>
          <w:highlight w:val="none"/>
        </w:rPr>
      </w:pPr>
      <w:r>
        <w:rPr>
          <w:rFonts w:hint="eastAsia" w:ascii="宋体" w:hAnsi="宋体" w:cs="宋体"/>
          <w:color w:val="auto"/>
          <w:highlight w:val="none"/>
        </w:rPr>
        <w:t>预付款担保格式见合同附件8。预付款支付申请（核准）表见合同附件10</w:t>
      </w:r>
    </w:p>
    <w:bookmarkEnd w:id="1561"/>
    <w:bookmarkEnd w:id="1562"/>
    <w:bookmarkEnd w:id="1563"/>
    <w:bookmarkEnd w:id="1564"/>
    <w:bookmarkEnd w:id="1565"/>
    <w:bookmarkEnd w:id="1566"/>
    <w:bookmarkEnd w:id="1567"/>
    <w:bookmarkEnd w:id="1568"/>
    <w:bookmarkEnd w:id="1569"/>
    <w:bookmarkEnd w:id="1570"/>
    <w:p w14:paraId="6A386C90">
      <w:pPr>
        <w:pStyle w:val="5"/>
        <w:rPr>
          <w:color w:val="auto"/>
          <w:highlight w:val="none"/>
        </w:rPr>
      </w:pPr>
      <w:bookmarkStart w:id="1576" w:name="_Toc78449840"/>
      <w:bookmarkStart w:id="1577" w:name="_Toc373227751"/>
      <w:bookmarkStart w:id="1578" w:name="_Toc1494831447"/>
      <w:bookmarkStart w:id="1579" w:name="_Toc373478398"/>
      <w:bookmarkStart w:id="1580" w:name="_Toc407135254"/>
      <w:bookmarkStart w:id="1581" w:name="_Toc389065316"/>
      <w:bookmarkStart w:id="1582" w:name="_Toc12933"/>
      <w:bookmarkStart w:id="1583" w:name="_Toc6734"/>
      <w:r>
        <w:rPr>
          <w:color w:val="auto"/>
          <w:highlight w:val="none"/>
        </w:rPr>
        <w:t xml:space="preserve">12.3 </w:t>
      </w:r>
      <w:r>
        <w:rPr>
          <w:rFonts w:hint="eastAsia" w:hAnsi="宋体" w:cs="黑体"/>
          <w:color w:val="auto"/>
          <w:highlight w:val="none"/>
        </w:rPr>
        <w:t>计量</w:t>
      </w:r>
      <w:bookmarkEnd w:id="1576"/>
      <w:bookmarkEnd w:id="1577"/>
      <w:bookmarkEnd w:id="1578"/>
      <w:bookmarkEnd w:id="1579"/>
      <w:bookmarkEnd w:id="1580"/>
      <w:bookmarkEnd w:id="1581"/>
      <w:bookmarkEnd w:id="1582"/>
      <w:bookmarkEnd w:id="1583"/>
    </w:p>
    <w:p w14:paraId="3B5A4398">
      <w:pPr>
        <w:spacing w:line="360" w:lineRule="auto"/>
        <w:ind w:firstLine="420" w:firstLineChars="200"/>
        <w:jc w:val="left"/>
        <w:rPr>
          <w:color w:val="auto"/>
          <w:highlight w:val="none"/>
        </w:rPr>
      </w:pPr>
      <w:r>
        <w:rPr>
          <w:color w:val="auto"/>
          <w:highlight w:val="none"/>
        </w:rPr>
        <w:t xml:space="preserve">12.3.1 </w:t>
      </w:r>
      <w:r>
        <w:rPr>
          <w:rFonts w:hint="eastAsia" w:hAnsi="宋体" w:cs="宋体"/>
          <w:color w:val="auto"/>
          <w:highlight w:val="none"/>
        </w:rPr>
        <w:t>计量原则</w:t>
      </w:r>
    </w:p>
    <w:p w14:paraId="74B70815">
      <w:pPr>
        <w:spacing w:line="360" w:lineRule="auto"/>
        <w:ind w:firstLine="420" w:firstLineChars="200"/>
        <w:jc w:val="left"/>
        <w:rPr>
          <w:color w:val="auto"/>
          <w:highlight w:val="none"/>
        </w:rPr>
      </w:pPr>
      <w:r>
        <w:rPr>
          <w:rFonts w:hint="eastAsia" w:hAnsi="宋体" w:cs="宋体"/>
          <w:color w:val="auto"/>
          <w:highlight w:val="none"/>
        </w:rPr>
        <w:t>合同工程应以承包人按合同要求已完成且应予计量的工程进行计量。工程量计算规则：工程的计量均以《广西壮族自治区建设工程全过程计价规范》《广西壮族自治区建设工程多层级工程量清单计算规范》及本工程补充项目清单计量规则为准。</w:t>
      </w:r>
    </w:p>
    <w:p w14:paraId="094823A7">
      <w:pPr>
        <w:spacing w:line="360" w:lineRule="auto"/>
        <w:ind w:firstLine="420" w:firstLineChars="200"/>
        <w:jc w:val="left"/>
        <w:rPr>
          <w:rFonts w:hint="eastAsia" w:eastAsia="宋体"/>
          <w:color w:val="auto"/>
          <w:highlight w:val="none"/>
          <w:lang w:val="en-US" w:eastAsia="zh-CN"/>
        </w:rPr>
      </w:pPr>
      <w:r>
        <w:rPr>
          <w:color w:val="auto"/>
          <w:highlight w:val="none"/>
        </w:rPr>
        <w:t xml:space="preserve">12.3.2 </w:t>
      </w:r>
      <w:r>
        <w:rPr>
          <w:rFonts w:hint="eastAsia" w:hAnsi="宋体" w:cs="宋体"/>
          <w:color w:val="auto"/>
          <w:highlight w:val="none"/>
        </w:rPr>
        <w:t>计量周期</w:t>
      </w:r>
    </w:p>
    <w:p w14:paraId="36A7D73E">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发承包双方按以下第</w:t>
      </w:r>
      <w:r>
        <w:rPr>
          <w:rFonts w:hint="eastAsia" w:hAnsi="宋体" w:cs="宋体"/>
          <w:color w:val="auto"/>
          <w:highlight w:val="none"/>
          <w:u w:val="single"/>
        </w:rPr>
        <w:t xml:space="preserve">   </w:t>
      </w:r>
      <w:r>
        <w:rPr>
          <w:rFonts w:hint="eastAsia" w:hAnsi="宋体" w:cs="宋体"/>
          <w:color w:val="auto"/>
          <w:highlight w:val="none"/>
          <w:u w:val="single"/>
          <w:lang w:eastAsia="zh-CN"/>
        </w:rPr>
        <w:t>二</w:t>
      </w:r>
      <w:r>
        <w:rPr>
          <w:rFonts w:hint="eastAsia" w:hAnsi="宋体" w:cs="宋体"/>
          <w:color w:val="auto"/>
          <w:highlight w:val="none"/>
          <w:u w:val="single"/>
        </w:rPr>
        <w:t xml:space="preserve">   </w:t>
      </w:r>
      <w:r>
        <w:rPr>
          <w:rFonts w:hint="eastAsia" w:hAnsi="宋体" w:cs="宋体"/>
          <w:color w:val="auto"/>
          <w:highlight w:val="none"/>
        </w:rPr>
        <w:t>种方式</w:t>
      </w:r>
      <w:r>
        <w:rPr>
          <w:rFonts w:hint="eastAsia" w:hAnsi="宋体" w:cs="宋体"/>
          <w:color w:val="auto"/>
          <w:highlight w:val="none"/>
          <w:lang w:eastAsia="zh-CN"/>
        </w:rPr>
        <w:t>（总价合同推荐使用第三种方式）</w:t>
      </w:r>
      <w:r>
        <w:rPr>
          <w:rFonts w:hint="eastAsia" w:hAnsi="宋体" w:cs="宋体"/>
          <w:color w:val="auto"/>
          <w:highlight w:val="none"/>
        </w:rPr>
        <w:t>确定计量周期：</w:t>
      </w:r>
    </w:p>
    <w:p w14:paraId="1464E1FE">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第一种方式：按月计量。承包人应于每月</w:t>
      </w:r>
      <w:r>
        <w:rPr>
          <w:rFonts w:hint="eastAsia" w:hAnsi="宋体" w:cs="宋体"/>
          <w:color w:val="auto"/>
          <w:highlight w:val="none"/>
          <w:u w:val="single"/>
        </w:rPr>
        <w:t xml:space="preserve">      </w:t>
      </w:r>
      <w:r>
        <w:rPr>
          <w:rFonts w:hint="eastAsia" w:hAnsi="宋体" w:cs="宋体"/>
          <w:color w:val="auto"/>
          <w:highlight w:val="none"/>
        </w:rPr>
        <w:t>日前向发包人书面报送上月</w:t>
      </w:r>
      <w:r>
        <w:rPr>
          <w:rFonts w:hint="eastAsia" w:hAnsi="宋体" w:cs="宋体"/>
          <w:color w:val="auto"/>
          <w:highlight w:val="none"/>
          <w:u w:val="single"/>
        </w:rPr>
        <w:t xml:space="preserve">       </w:t>
      </w:r>
      <w:r>
        <w:rPr>
          <w:rFonts w:hint="eastAsia" w:hAnsi="宋体" w:cs="宋体"/>
          <w:color w:val="auto"/>
          <w:highlight w:val="none"/>
        </w:rPr>
        <w:t>日至当月</w:t>
      </w:r>
      <w:r>
        <w:rPr>
          <w:rFonts w:hint="eastAsia" w:hAnsi="宋体" w:cs="宋体"/>
          <w:color w:val="auto"/>
          <w:highlight w:val="none"/>
          <w:u w:val="single"/>
        </w:rPr>
        <w:t xml:space="preserve">      </w:t>
      </w:r>
      <w:r>
        <w:rPr>
          <w:rFonts w:hint="eastAsia" w:hAnsi="宋体" w:cs="宋体"/>
          <w:color w:val="auto"/>
          <w:highlight w:val="none"/>
        </w:rPr>
        <w:t>日已完成的工程量报告，并附进度付款申请单、已完成工程量报表和有关资料。</w:t>
      </w:r>
    </w:p>
    <w:p w14:paraId="4F2CA5D2">
      <w:pPr>
        <w:spacing w:line="360" w:lineRule="auto"/>
        <w:ind w:firstLine="420" w:firstLineChars="200"/>
        <w:jc w:val="left"/>
        <w:rPr>
          <w:rFonts w:hint="eastAsia" w:hAnsi="宋体" w:eastAsia="宋体" w:cs="宋体"/>
          <w:color w:val="auto"/>
          <w:highlight w:val="none"/>
          <w:lang w:eastAsia="zh-CN"/>
        </w:rPr>
      </w:pPr>
      <w:r>
        <w:rPr>
          <w:rFonts w:hint="eastAsia" w:hAnsi="宋体" w:cs="宋体"/>
          <w:color w:val="auto"/>
          <w:highlight w:val="none"/>
        </w:rPr>
        <w:t>第二种方式：</w:t>
      </w:r>
      <w:r>
        <w:rPr>
          <w:rFonts w:hint="eastAsia" w:hAnsi="宋体" w:cs="宋体"/>
          <w:color w:val="auto"/>
          <w:highlight w:val="none"/>
          <w:lang w:eastAsia="zh-CN"/>
        </w:rPr>
        <w:t>按工程形象目标进行工程计量。</w:t>
      </w:r>
      <w:r>
        <w:rPr>
          <w:rFonts w:hint="eastAsia" w:hAnsi="宋体" w:cs="宋体"/>
          <w:color w:val="auto"/>
          <w:highlight w:val="none"/>
        </w:rPr>
        <w:t>承包人应当</w:t>
      </w:r>
      <w:r>
        <w:rPr>
          <w:rFonts w:hint="eastAsia" w:hAnsi="宋体" w:cs="宋体"/>
          <w:color w:val="auto"/>
          <w:highlight w:val="none"/>
          <w:lang w:eastAsia="zh-CN"/>
        </w:rPr>
        <w:t>在工程形象目标任务完成后</w:t>
      </w:r>
      <w:r>
        <w:rPr>
          <w:rFonts w:hint="eastAsia" w:hAnsi="宋体" w:cs="宋体"/>
          <w:color w:val="auto"/>
          <w:highlight w:val="none"/>
        </w:rPr>
        <w:t>向发包人书面报送已完成的工程量报告，并附具进度付款申请单、已完成工程量报表和有关资料。</w:t>
      </w:r>
    </w:p>
    <w:p w14:paraId="6171EB36">
      <w:pPr>
        <w:spacing w:line="360" w:lineRule="auto"/>
        <w:ind w:firstLine="420" w:firstLineChars="200"/>
        <w:jc w:val="left"/>
        <w:rPr>
          <w:rFonts w:hint="eastAsia" w:hAnsi="宋体" w:cs="宋体"/>
          <w:color w:val="auto"/>
          <w:highlight w:val="none"/>
        </w:rPr>
      </w:pPr>
      <w:r>
        <w:rPr>
          <w:rFonts w:hint="eastAsia" w:hAnsi="宋体" w:cs="宋体"/>
          <w:color w:val="auto"/>
          <w:highlight w:val="none"/>
          <w:lang w:eastAsia="zh-CN"/>
        </w:rPr>
        <w:t>第三种方式：</w:t>
      </w:r>
      <w:r>
        <w:rPr>
          <w:rFonts w:hint="eastAsia" w:hAnsi="宋体" w:cs="宋体"/>
          <w:color w:val="auto"/>
          <w:highlight w:val="none"/>
        </w:rPr>
        <w:t>按照</w:t>
      </w:r>
      <w:r>
        <w:rPr>
          <w:rFonts w:hint="eastAsia" w:hAnsi="宋体" w:cs="宋体"/>
          <w:color w:val="auto"/>
          <w:highlight w:val="none"/>
          <w:lang w:eastAsia="zh-CN"/>
        </w:rPr>
        <w:t>支付分解表支付</w:t>
      </w:r>
      <w:r>
        <w:rPr>
          <w:rFonts w:hint="eastAsia" w:hAnsi="宋体" w:cs="宋体"/>
          <w:color w:val="auto"/>
          <w:highlight w:val="none"/>
        </w:rPr>
        <w:t>。承包人应</w:t>
      </w:r>
      <w:r>
        <w:rPr>
          <w:rFonts w:hint="eastAsia" w:hAnsi="宋体" w:cs="宋体"/>
          <w:color w:val="auto"/>
          <w:highlight w:val="none"/>
          <w:lang w:eastAsia="zh-CN"/>
        </w:rPr>
        <w:t>在支付分解表上要求的工程形象进度目标任务完成后</w:t>
      </w:r>
      <w:r>
        <w:rPr>
          <w:rFonts w:hint="eastAsia" w:hAnsi="宋体" w:cs="宋体"/>
          <w:color w:val="auto"/>
          <w:highlight w:val="none"/>
        </w:rPr>
        <w:t>向发包人书面报送进度付款申请单和有关资料。</w:t>
      </w:r>
    </w:p>
    <w:p w14:paraId="08AC85F5">
      <w:pPr>
        <w:pStyle w:val="5"/>
        <w:rPr>
          <w:color w:val="auto"/>
          <w:highlight w:val="none"/>
        </w:rPr>
      </w:pPr>
      <w:bookmarkStart w:id="1584" w:name="_Toc389065317"/>
      <w:bookmarkStart w:id="1585" w:name="_Toc4236"/>
      <w:bookmarkStart w:id="1586" w:name="_Toc373478399"/>
      <w:bookmarkStart w:id="1587" w:name="_Toc407135255"/>
      <w:bookmarkStart w:id="1588" w:name="_Toc373227752"/>
      <w:bookmarkStart w:id="1589" w:name="_Toc78449841"/>
      <w:bookmarkStart w:id="1590" w:name="_Toc4691"/>
      <w:bookmarkStart w:id="1591" w:name="_Toc1155368667"/>
      <w:r>
        <w:rPr>
          <w:color w:val="auto"/>
          <w:highlight w:val="none"/>
        </w:rPr>
        <w:t xml:space="preserve">12.4 </w:t>
      </w:r>
      <w:r>
        <w:rPr>
          <w:rFonts w:hint="eastAsia" w:cs="黑体"/>
          <w:color w:val="auto"/>
          <w:highlight w:val="none"/>
        </w:rPr>
        <w:t>工程进度款支付</w:t>
      </w:r>
      <w:bookmarkEnd w:id="1584"/>
      <w:bookmarkEnd w:id="1585"/>
      <w:bookmarkEnd w:id="1586"/>
      <w:bookmarkEnd w:id="1587"/>
      <w:bookmarkEnd w:id="1588"/>
      <w:bookmarkEnd w:id="1589"/>
      <w:bookmarkEnd w:id="1590"/>
      <w:bookmarkEnd w:id="1591"/>
    </w:p>
    <w:p w14:paraId="7AA90B9E">
      <w:pPr>
        <w:spacing w:line="400" w:lineRule="exact"/>
        <w:ind w:firstLine="420" w:firstLineChars="200"/>
        <w:jc w:val="left"/>
        <w:rPr>
          <w:color w:val="auto"/>
          <w:sz w:val="21"/>
          <w:szCs w:val="21"/>
          <w:highlight w:val="none"/>
        </w:rPr>
      </w:pPr>
      <w:bookmarkStart w:id="1592" w:name="_Toc297048397"/>
      <w:bookmarkStart w:id="1593" w:name="_Toc296346712"/>
      <w:bookmarkStart w:id="1594" w:name="_Toc297123556"/>
      <w:bookmarkStart w:id="1595" w:name="_Toc296503211"/>
      <w:bookmarkStart w:id="1596" w:name="_Toc297216215"/>
      <w:bookmarkStart w:id="1597" w:name="_Toc296347210"/>
      <w:bookmarkStart w:id="1598" w:name="_Toc297120511"/>
      <w:bookmarkStart w:id="1599" w:name="_Toc292559921"/>
      <w:bookmarkStart w:id="1600" w:name="_Toc303539163"/>
      <w:bookmarkStart w:id="1601" w:name="_Toc300935006"/>
      <w:bookmarkStart w:id="1602" w:name="_Toc296891251"/>
      <w:bookmarkStart w:id="1603" w:name="_Toc296944550"/>
      <w:bookmarkStart w:id="1604" w:name="_Toc296891039"/>
      <w:bookmarkStart w:id="1605" w:name="_Toc292559416"/>
      <w:r>
        <w:rPr>
          <w:rFonts w:ascii="宋体" w:hAnsi="宋体" w:eastAsia="宋体" w:cs="宋体"/>
          <w:color w:val="auto"/>
          <w:kern w:val="0"/>
          <w:sz w:val="21"/>
          <w:szCs w:val="21"/>
          <w:highlight w:val="none"/>
          <w:lang w:val="en-US" w:eastAsia="zh-CN" w:bidi="ar"/>
        </w:rPr>
        <w:t>政府机关、事业单位、国有企业建设工程进度款支付应不低于已完成工程价款的80%；同时，在确保不超出工程总概（预）算以及工程决（结）算工作顺利开展的前提下，除按合同约定保留不超过工程价款总额3%的质量保证金外，进度款支付比例可由发承包双方根据项目实际情况自行确定。在结算过程中，若发生进度款支付超出实际已完成工程价款的情况，承包单位应按规定在结算后30日内向发包单位返还多收到的工程进度款</w:t>
      </w:r>
      <w:r>
        <w:rPr>
          <w:rFonts w:hint="eastAsia" w:ascii="宋体" w:hAnsi="宋体" w:eastAsia="宋体" w:cs="宋体"/>
          <w:color w:val="auto"/>
          <w:kern w:val="0"/>
          <w:sz w:val="21"/>
          <w:szCs w:val="21"/>
          <w:highlight w:val="none"/>
          <w:lang w:val="en-US" w:eastAsia="zh-CN" w:bidi="ar"/>
        </w:rPr>
        <w:t>。</w:t>
      </w:r>
    </w:p>
    <w:p w14:paraId="0AD1490F">
      <w:pPr>
        <w:spacing w:line="400" w:lineRule="exact"/>
        <w:ind w:firstLine="420" w:firstLineChars="200"/>
        <w:jc w:val="left"/>
        <w:rPr>
          <w:rFonts w:ascii="宋体" w:hAnsi="宋体" w:eastAsia="宋体" w:cs="宋体"/>
          <w:color w:val="auto"/>
          <w:kern w:val="0"/>
          <w:sz w:val="21"/>
          <w:szCs w:val="21"/>
          <w:highlight w:val="none"/>
          <w:lang w:val="en-US" w:eastAsia="zh-CN" w:bidi="ar"/>
        </w:rPr>
      </w:pPr>
      <w:r>
        <w:rPr>
          <w:rFonts w:ascii="宋体" w:hAnsi="宋体" w:eastAsia="宋体" w:cs="宋体"/>
          <w:color w:val="auto"/>
          <w:kern w:val="0"/>
          <w:sz w:val="21"/>
          <w:szCs w:val="21"/>
          <w:highlight w:val="none"/>
          <w:lang w:val="en-US" w:eastAsia="zh-CN" w:bidi="ar"/>
        </w:rPr>
        <w:t xml:space="preserve">12.4.1 </w:t>
      </w:r>
      <w:r>
        <w:rPr>
          <w:rFonts w:hint="eastAsia" w:ascii="宋体" w:hAnsi="宋体" w:eastAsia="宋体" w:cs="宋体"/>
          <w:color w:val="auto"/>
          <w:kern w:val="0"/>
          <w:sz w:val="21"/>
          <w:szCs w:val="21"/>
          <w:highlight w:val="none"/>
          <w:lang w:val="en-US" w:eastAsia="zh-CN" w:bidi="ar"/>
        </w:rPr>
        <w:t>付款周期</w:t>
      </w:r>
    </w:p>
    <w:p w14:paraId="30ADA91C">
      <w:pPr>
        <w:spacing w:line="360" w:lineRule="auto"/>
        <w:ind w:left="10" w:leftChars="0" w:firstLine="409" w:firstLineChars="195"/>
        <w:jc w:val="left"/>
        <w:rPr>
          <w:rFonts w:hint="eastAsia" w:hAnsi="宋体" w:cs="宋体"/>
          <w:color w:val="auto"/>
          <w:sz w:val="21"/>
          <w:szCs w:val="21"/>
          <w:highlight w:val="none"/>
          <w:u w:val="none"/>
        </w:rPr>
      </w:pPr>
      <w:r>
        <w:rPr>
          <w:rFonts w:hint="eastAsia" w:hAnsi="宋体" w:cs="宋体"/>
          <w:color w:val="auto"/>
          <w:sz w:val="21"/>
          <w:szCs w:val="21"/>
          <w:highlight w:val="none"/>
          <w:u w:val="none"/>
        </w:rPr>
        <w:t>工程款</w:t>
      </w:r>
      <w:r>
        <w:rPr>
          <w:rFonts w:hint="eastAsia" w:hAnsi="宋体" w:cs="宋体"/>
          <w:color w:val="auto"/>
          <w:sz w:val="21"/>
          <w:szCs w:val="21"/>
          <w:highlight w:val="none"/>
          <w:u w:val="none"/>
          <w:lang w:eastAsia="zh-CN"/>
        </w:rPr>
        <w:t>付款周期同</w:t>
      </w:r>
      <w:r>
        <w:rPr>
          <w:rFonts w:hint="eastAsia" w:hAnsi="宋体" w:cs="宋体"/>
          <w:color w:val="auto"/>
          <w:sz w:val="21"/>
          <w:szCs w:val="21"/>
          <w:highlight w:val="none"/>
          <w:u w:val="none"/>
          <w:lang w:val="en-US" w:eastAsia="zh-CN"/>
        </w:rPr>
        <w:t>12.3.2计量周期</w:t>
      </w:r>
      <w:r>
        <w:rPr>
          <w:rFonts w:hint="eastAsia" w:hAnsi="宋体" w:cs="宋体"/>
          <w:color w:val="auto"/>
          <w:sz w:val="21"/>
          <w:szCs w:val="21"/>
          <w:highlight w:val="none"/>
          <w:u w:val="none"/>
        </w:rPr>
        <w:t>，</w:t>
      </w:r>
      <w:bookmarkStart w:id="1606" w:name="OLE_LINK2"/>
      <w:r>
        <w:rPr>
          <w:rFonts w:hint="eastAsia" w:hAnsi="宋体" w:cs="宋体"/>
          <w:color w:val="auto"/>
          <w:sz w:val="21"/>
          <w:szCs w:val="21"/>
          <w:highlight w:val="none"/>
          <w:u w:val="none"/>
        </w:rPr>
        <w:t>工程进度款支付</w:t>
      </w:r>
      <w:r>
        <w:rPr>
          <w:rFonts w:hint="eastAsia" w:hAnsi="宋体" w:cs="宋体"/>
          <w:color w:val="auto"/>
          <w:sz w:val="21"/>
          <w:szCs w:val="21"/>
          <w:highlight w:val="none"/>
          <w:u w:val="none"/>
          <w:lang w:val="en-US" w:eastAsia="zh-CN"/>
        </w:rPr>
        <w:t>金</w:t>
      </w:r>
      <w:r>
        <w:rPr>
          <w:rFonts w:hint="eastAsia" w:hAnsi="宋体" w:cs="宋体"/>
          <w:color w:val="auto"/>
          <w:sz w:val="21"/>
          <w:szCs w:val="21"/>
          <w:highlight w:val="none"/>
          <w:u w:val="none"/>
        </w:rPr>
        <w:t>额为已完成工程量的</w:t>
      </w:r>
      <w:bookmarkEnd w:id="1606"/>
      <w:r>
        <w:rPr>
          <w:rFonts w:hint="eastAsia" w:hAnsi="宋体" w:cs="宋体"/>
          <w:color w:val="auto"/>
          <w:sz w:val="21"/>
          <w:szCs w:val="21"/>
          <w:highlight w:val="none"/>
          <w:u w:val="single"/>
        </w:rPr>
        <w:t xml:space="preserve"> </w:t>
      </w:r>
      <w:r>
        <w:rPr>
          <w:rFonts w:hint="eastAsia" w:hAnsi="宋体" w:cs="宋体"/>
          <w:color w:val="auto"/>
          <w:sz w:val="21"/>
          <w:szCs w:val="21"/>
          <w:highlight w:val="none"/>
          <w:u w:val="single"/>
          <w:lang w:val="en-US" w:eastAsia="zh-CN"/>
        </w:rPr>
        <w:t>80</w:t>
      </w:r>
      <w:r>
        <w:rPr>
          <w:rFonts w:hint="eastAsia" w:hAnsi="宋体" w:cs="宋体"/>
          <w:color w:val="auto"/>
          <w:sz w:val="21"/>
          <w:szCs w:val="21"/>
          <w:highlight w:val="none"/>
          <w:u w:val="single"/>
        </w:rPr>
        <w:t xml:space="preserve"> </w:t>
      </w:r>
      <w:r>
        <w:rPr>
          <w:rFonts w:hint="eastAsia" w:hAnsi="宋体" w:cs="宋体"/>
          <w:color w:val="auto"/>
          <w:sz w:val="21"/>
          <w:szCs w:val="21"/>
          <w:highlight w:val="none"/>
          <w:u w:val="none"/>
        </w:rPr>
        <w:t>%（发包人应按不低于工程价款的60％，不高于工程价款的90％向承包人支付工程进度款；</w:t>
      </w:r>
      <w:r>
        <w:rPr>
          <w:rFonts w:ascii="宋体" w:hAnsi="宋体" w:eastAsia="宋体" w:cs="宋体"/>
          <w:color w:val="auto"/>
          <w:kern w:val="0"/>
          <w:sz w:val="21"/>
          <w:szCs w:val="21"/>
          <w:highlight w:val="none"/>
          <w:u w:val="none"/>
          <w:lang w:val="en-US" w:eastAsia="zh-CN" w:bidi="ar"/>
        </w:rPr>
        <w:t>政府机关、事业单位、国有企业建设工程进度款支付应不低于已完成工程价款的</w:t>
      </w:r>
      <w:r>
        <w:rPr>
          <w:rFonts w:hAnsi="宋体" w:cs="宋体"/>
          <w:color w:val="auto"/>
          <w:sz w:val="21"/>
          <w:szCs w:val="21"/>
          <w:highlight w:val="none"/>
          <w:u w:val="none"/>
        </w:rPr>
        <w:t>80</w:t>
      </w:r>
      <w:r>
        <w:rPr>
          <w:color w:val="auto"/>
          <w:sz w:val="21"/>
          <w:szCs w:val="21"/>
          <w:highlight w:val="none"/>
          <w:u w:val="none"/>
        </w:rPr>
        <w:t>%</w:t>
      </w:r>
      <w:r>
        <w:rPr>
          <w:rFonts w:hint="eastAsia" w:hAnsi="宋体" w:cs="宋体"/>
          <w:color w:val="auto"/>
          <w:sz w:val="21"/>
          <w:szCs w:val="21"/>
          <w:highlight w:val="none"/>
          <w:u w:val="none"/>
        </w:rPr>
        <w:t>）。</w:t>
      </w:r>
    </w:p>
    <w:p w14:paraId="518D8234">
      <w:pPr>
        <w:spacing w:line="400" w:lineRule="exact"/>
        <w:ind w:firstLine="420" w:firstLineChars="200"/>
        <w:jc w:val="left"/>
        <w:rPr>
          <w:color w:val="auto"/>
          <w:sz w:val="21"/>
          <w:szCs w:val="21"/>
          <w:highlight w:val="none"/>
        </w:rPr>
      </w:pPr>
      <w:r>
        <w:rPr>
          <w:rFonts w:ascii="宋体" w:hAnsi="宋体" w:eastAsia="宋体" w:cs="宋体"/>
          <w:color w:val="auto"/>
          <w:kern w:val="0"/>
          <w:sz w:val="21"/>
          <w:szCs w:val="21"/>
          <w:highlight w:val="none"/>
          <w:lang w:val="en-US" w:eastAsia="zh-CN" w:bidi="ar"/>
        </w:rPr>
        <w:t xml:space="preserve">12.4.2 </w:t>
      </w:r>
      <w:r>
        <w:rPr>
          <w:rFonts w:hint="eastAsia" w:ascii="宋体" w:hAnsi="宋体" w:eastAsia="宋体" w:cs="宋体"/>
          <w:color w:val="auto"/>
          <w:kern w:val="0"/>
          <w:sz w:val="21"/>
          <w:szCs w:val="21"/>
          <w:highlight w:val="none"/>
          <w:lang w:val="en-US" w:eastAsia="zh-CN" w:bidi="ar"/>
        </w:rPr>
        <w:t>进度付款申请单的编制</w:t>
      </w:r>
    </w:p>
    <w:p w14:paraId="61DB7761">
      <w:pPr>
        <w:spacing w:line="360" w:lineRule="auto"/>
        <w:ind w:firstLine="420" w:firstLineChars="200"/>
        <w:jc w:val="left"/>
        <w:rPr>
          <w:rFonts w:hint="eastAsia" w:ascii="宋体" w:hAnsi="宋体"/>
          <w:color w:val="auto"/>
          <w:kern w:val="0"/>
          <w:szCs w:val="21"/>
          <w:u w:val="single" w:color="000000"/>
        </w:rPr>
      </w:pPr>
      <w:r>
        <w:rPr>
          <w:rFonts w:hint="eastAsia" w:hAnsi="宋体" w:cs="宋体"/>
          <w:color w:val="auto"/>
          <w:highlight w:val="none"/>
        </w:rPr>
        <w:t>关于进度付款申请单编制的约定：</w:t>
      </w:r>
      <w:r>
        <w:rPr>
          <w:color w:val="auto"/>
          <w:highlight w:val="none"/>
          <w:u w:val="single"/>
        </w:rPr>
        <w:t xml:space="preserve"> </w:t>
      </w:r>
      <w:r>
        <w:rPr>
          <w:rFonts w:hint="eastAsia"/>
          <w:color w:val="auto"/>
          <w:highlight w:val="none"/>
          <w:u w:val="single"/>
          <w:lang w:val="en-US" w:eastAsia="zh-CN"/>
        </w:rPr>
        <w:t>1. 工程形象付款进度分为（1）合同内工程项目完成75%时，支付至合同价60%的工程款。（2）合同内工程项目完工，且工程项目按质量要求施工完毕并验收合格后</w:t>
      </w:r>
      <w:r>
        <w:rPr>
          <w:rFonts w:hint="eastAsia" w:ascii="宋体" w:hAnsi="宋体"/>
          <w:color w:val="auto"/>
          <w:kern w:val="0"/>
          <w:szCs w:val="21"/>
          <w:highlight w:val="none"/>
          <w:u w:val="single" w:color="000000"/>
        </w:rPr>
        <w:t>，支付工程款至合同总价的80%。</w:t>
      </w:r>
      <w:r>
        <w:rPr>
          <w:rFonts w:hint="eastAsia"/>
          <w:color w:val="auto"/>
          <w:highlight w:val="none"/>
          <w:u w:val="single"/>
          <w:lang w:val="en-US" w:eastAsia="zh-CN"/>
        </w:rPr>
        <w:t>（3）</w:t>
      </w:r>
      <w:r>
        <w:rPr>
          <w:rFonts w:hint="eastAsia" w:ascii="宋体" w:hAnsi="宋体"/>
          <w:color w:val="auto"/>
          <w:kern w:val="0"/>
          <w:szCs w:val="21"/>
          <w:highlight w:val="none"/>
          <w:u w:val="single" w:color="000000"/>
        </w:rPr>
        <w:t>工程完工验收达到质量要求，结算经业主及合同约定的财政或审计部门（如有）审定后，工程款支付至结算总价的97%（不得低</w:t>
      </w:r>
      <w:r>
        <w:rPr>
          <w:rFonts w:hint="eastAsia" w:ascii="宋体" w:hAnsi="宋体"/>
          <w:color w:val="auto"/>
          <w:kern w:val="0"/>
          <w:szCs w:val="21"/>
          <w:u w:val="single" w:color="000000"/>
        </w:rPr>
        <w:t>于97%）。发包人按工程价款结算总额的3%（最高不超过3%）预留工程质量保证金。</w:t>
      </w:r>
      <w:r>
        <w:rPr>
          <w:rFonts w:hint="eastAsia"/>
          <w:color w:val="auto"/>
          <w:highlight w:val="none"/>
          <w:u w:val="single"/>
          <w:lang w:val="en-US" w:eastAsia="zh-CN"/>
        </w:rPr>
        <w:t>（4）</w:t>
      </w:r>
      <w:r>
        <w:rPr>
          <w:rFonts w:hint="eastAsia" w:ascii="宋体" w:hAnsi="宋体"/>
          <w:color w:val="auto"/>
          <w:kern w:val="0"/>
          <w:szCs w:val="21"/>
          <w:u w:val="single" w:color="000000"/>
        </w:rPr>
        <w:t>合同约定的工程质量缺陷责任期（最长不超过2年）满后由承包人向发包人提出返还保证金的申请，发包人在接到承包人返还保证金申请后，于14天内会同承包人按照合同约定的内容进行核实。如无异议，发包人在核实后14天内将保证金返还承包人，逾期未返还的，依法承担违约责任。发包人在接到承包人返还保证金申请后14天内不予答复，经催告后14天内仍不予答复，视同认可承包人的返还保证金申请。</w:t>
      </w:r>
    </w:p>
    <w:p w14:paraId="293F31EE">
      <w:pPr>
        <w:spacing w:line="360" w:lineRule="auto"/>
        <w:ind w:firstLine="420" w:firstLineChars="200"/>
        <w:jc w:val="left"/>
        <w:rPr>
          <w:color w:val="auto"/>
          <w:highlight w:val="none"/>
        </w:rPr>
      </w:pPr>
      <w:r>
        <w:rPr>
          <w:color w:val="auto"/>
          <w:highlight w:val="none"/>
        </w:rPr>
        <w:t xml:space="preserve">12.4.3 </w:t>
      </w:r>
      <w:r>
        <w:rPr>
          <w:rFonts w:hint="eastAsia" w:hAnsi="宋体" w:cs="宋体"/>
          <w:color w:val="auto"/>
          <w:highlight w:val="none"/>
        </w:rPr>
        <w:t>进度付款申请单的提交</w:t>
      </w:r>
    </w:p>
    <w:p w14:paraId="67E7E35C">
      <w:pPr>
        <w:spacing w:line="360" w:lineRule="auto"/>
        <w:ind w:firstLine="420" w:firstLineChars="200"/>
        <w:jc w:val="left"/>
        <w:rPr>
          <w:b/>
          <w:bCs/>
          <w:color w:val="auto"/>
          <w:highlight w:val="none"/>
          <w:u w:val="single"/>
        </w:rPr>
      </w:pPr>
      <w:r>
        <w:rPr>
          <w:rFonts w:hint="eastAsia" w:hAnsi="宋体" w:cs="宋体"/>
          <w:color w:val="auto"/>
          <w:highlight w:val="none"/>
        </w:rPr>
        <w:t>（</w:t>
      </w:r>
      <w:r>
        <w:rPr>
          <w:color w:val="auto"/>
          <w:highlight w:val="none"/>
        </w:rPr>
        <w:t>1</w:t>
      </w:r>
      <w:r>
        <w:rPr>
          <w:rFonts w:hint="eastAsia" w:hAnsi="宋体" w:cs="宋体"/>
          <w:color w:val="auto"/>
          <w:highlight w:val="none"/>
        </w:rPr>
        <w:t>）单价合同进度付款申请单提交的约定：</w:t>
      </w:r>
    </w:p>
    <w:p w14:paraId="665D599D">
      <w:pPr>
        <w:spacing w:line="360" w:lineRule="auto"/>
        <w:ind w:firstLine="420" w:firstLineChars="200"/>
        <w:jc w:val="left"/>
        <w:rPr>
          <w:rFonts w:hint="eastAsia" w:ascii="宋体" w:hAnsi="宋体" w:cs="宋体"/>
          <w:color w:val="auto"/>
          <w:szCs w:val="21"/>
          <w:highlight w:val="none"/>
          <w:lang w:val="zh-TW" w:eastAsia="zh-CN"/>
        </w:rPr>
      </w:pPr>
      <w:r>
        <w:rPr>
          <w:rFonts w:hint="eastAsia"/>
          <w:color w:val="auto"/>
          <w:highlight w:val="none"/>
          <w:u w:val="none"/>
          <w:lang w:val="en-US" w:eastAsia="zh-CN"/>
        </w:rPr>
        <w:t>1）</w:t>
      </w:r>
      <w:r>
        <w:rPr>
          <w:rFonts w:hint="eastAsia" w:ascii="宋体" w:hAnsi="宋体" w:cs="宋体"/>
          <w:color w:val="auto"/>
          <w:szCs w:val="21"/>
          <w:highlight w:val="none"/>
          <w:lang w:val="zh-TW"/>
        </w:rPr>
        <w:t>分部分项工程清单进度款</w:t>
      </w:r>
      <w:r>
        <w:rPr>
          <w:rFonts w:hint="eastAsia" w:ascii="宋体" w:hAnsi="宋体" w:cs="宋体"/>
          <w:color w:val="auto"/>
          <w:szCs w:val="21"/>
          <w:highlight w:val="none"/>
          <w:lang w:val="zh-TW" w:eastAsia="zh-CN"/>
        </w:rPr>
        <w:t>计算：</w:t>
      </w:r>
      <w:r>
        <w:rPr>
          <w:rFonts w:hint="eastAsia" w:ascii="宋体" w:hAnsi="宋体" w:cs="宋体"/>
          <w:color w:val="auto"/>
          <w:szCs w:val="21"/>
          <w:highlight w:val="none"/>
          <w:lang w:val="zh-TW"/>
        </w:rPr>
        <w:t>应按发包人提供的施工图纸、工程变更指令、合同约定</w:t>
      </w:r>
      <w:r>
        <w:rPr>
          <w:rFonts w:hint="eastAsia" w:ascii="宋体" w:hAnsi="宋体" w:cs="宋体"/>
          <w:color w:val="auto"/>
          <w:szCs w:val="21"/>
          <w:highlight w:val="none"/>
        </w:rPr>
        <w:t>的</w:t>
      </w:r>
      <w:r>
        <w:rPr>
          <w:rFonts w:hint="eastAsia" w:ascii="宋体" w:hAnsi="宋体" w:cs="宋体"/>
          <w:color w:val="auto"/>
          <w:szCs w:val="21"/>
          <w:highlight w:val="none"/>
          <w:lang w:eastAsia="zh-CN"/>
        </w:rPr>
        <w:t>计算规范</w:t>
      </w:r>
      <w:r>
        <w:rPr>
          <w:rFonts w:hint="eastAsia" w:ascii="宋体" w:hAnsi="宋体" w:cs="宋体"/>
          <w:color w:val="auto"/>
          <w:szCs w:val="21"/>
          <w:highlight w:val="none"/>
          <w:lang w:val="zh-TW"/>
        </w:rPr>
        <w:t>和</w:t>
      </w:r>
      <w:r>
        <w:rPr>
          <w:rFonts w:hint="eastAsia" w:ascii="宋体" w:hAnsi="宋体" w:cs="宋体"/>
          <w:color w:val="auto"/>
          <w:szCs w:val="21"/>
          <w:highlight w:val="none"/>
          <w:lang w:val="zh-TW" w:eastAsia="zh-CN"/>
        </w:rPr>
        <w:t>计价规范</w:t>
      </w:r>
      <w:r>
        <w:rPr>
          <w:rFonts w:hint="eastAsia" w:ascii="宋体" w:hAnsi="宋体" w:cs="宋体"/>
          <w:color w:val="auto"/>
          <w:szCs w:val="21"/>
          <w:highlight w:val="none"/>
          <w:lang w:val="zh-TW"/>
        </w:rPr>
        <w:t>规定，</w:t>
      </w:r>
      <w:r>
        <w:rPr>
          <w:rFonts w:hint="eastAsia" w:ascii="宋体" w:hAnsi="宋体" w:cs="宋体"/>
          <w:color w:val="auto"/>
          <w:szCs w:val="21"/>
          <w:highlight w:val="none"/>
          <w:lang w:val="zh-TW" w:eastAsia="zh-CN"/>
        </w:rPr>
        <w:t>计算</w:t>
      </w:r>
      <w:r>
        <w:rPr>
          <w:rFonts w:hint="default" w:ascii="宋体" w:hAnsi="宋体" w:cs="宋体"/>
          <w:color w:val="auto"/>
          <w:szCs w:val="21"/>
          <w:highlight w:val="none"/>
          <w:lang w:val="en" w:eastAsia="zh-CN"/>
        </w:rPr>
        <w:t>本</w:t>
      </w:r>
      <w:r>
        <w:rPr>
          <w:rFonts w:hint="eastAsia" w:ascii="宋体" w:hAnsi="宋体" w:cs="宋体"/>
          <w:color w:val="auto"/>
          <w:szCs w:val="21"/>
          <w:highlight w:val="none"/>
          <w:lang w:val="zh-TW" w:eastAsia="zh-CN"/>
        </w:rPr>
        <w:t>期实际</w:t>
      </w:r>
      <w:r>
        <w:rPr>
          <w:rFonts w:hint="eastAsia" w:ascii="宋体" w:hAnsi="宋体" w:cs="宋体"/>
          <w:color w:val="auto"/>
          <w:szCs w:val="21"/>
          <w:highlight w:val="none"/>
          <w:lang w:val="zh-TW"/>
        </w:rPr>
        <w:t>完成的相应清单项目工程量，乘以合同单价（合同单价发生调整的，</w:t>
      </w:r>
      <w:r>
        <w:rPr>
          <w:rFonts w:hint="eastAsia" w:ascii="宋体" w:hAnsi="宋体" w:cs="宋体"/>
          <w:color w:val="auto"/>
          <w:szCs w:val="21"/>
          <w:highlight w:val="none"/>
          <w:lang w:val="zh-TW" w:eastAsia="zh-CN"/>
        </w:rPr>
        <w:t>按调整后的</w:t>
      </w:r>
      <w:r>
        <w:rPr>
          <w:rFonts w:hint="eastAsia" w:ascii="宋体" w:hAnsi="宋体" w:cs="宋体"/>
          <w:color w:val="auto"/>
          <w:szCs w:val="21"/>
          <w:highlight w:val="none"/>
          <w:lang w:val="zh-TW"/>
        </w:rPr>
        <w:t>单价）</w:t>
      </w:r>
      <w:r>
        <w:rPr>
          <w:rFonts w:hint="eastAsia" w:ascii="宋体" w:hAnsi="宋体" w:cs="宋体"/>
          <w:color w:val="auto"/>
          <w:szCs w:val="21"/>
          <w:highlight w:val="none"/>
          <w:lang w:val="zh-TW" w:eastAsia="zh-CN"/>
        </w:rPr>
        <w:t>。</w:t>
      </w:r>
    </w:p>
    <w:p w14:paraId="3535A286">
      <w:pPr>
        <w:spacing w:line="360" w:lineRule="auto"/>
        <w:ind w:firstLine="420" w:firstLineChars="200"/>
        <w:jc w:val="left"/>
        <w:rPr>
          <w:rFonts w:hint="eastAsia" w:ascii="宋体" w:hAnsi="宋体" w:cs="宋体"/>
          <w:bCs/>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bCs/>
          <w:color w:val="auto"/>
          <w:szCs w:val="21"/>
          <w:highlight w:val="none"/>
        </w:rPr>
        <w:t>措施项目进度款</w:t>
      </w:r>
      <w:r>
        <w:rPr>
          <w:rFonts w:hint="eastAsia" w:ascii="宋体" w:hAnsi="宋体" w:cs="宋体"/>
          <w:bCs/>
          <w:color w:val="auto"/>
          <w:szCs w:val="21"/>
          <w:highlight w:val="none"/>
          <w:lang w:eastAsia="zh-CN"/>
        </w:rPr>
        <w:t>计算：技术措施按照当期完成的技术措施项目工程量乘以承包人《技术措施项目清单综合单价分析表》中各子项技术措施项目综合单价计算，当该项技术措施项目累计进度款达到该项技术措施项目费合计金额时，不再计算该项技术措施项目进度款。综合</w:t>
      </w:r>
      <w:r>
        <w:rPr>
          <w:rFonts w:hint="eastAsia" w:ascii="宋体" w:hAnsi="宋体" w:cs="宋体"/>
          <w:bCs/>
          <w:color w:val="auto"/>
          <w:szCs w:val="21"/>
          <w:highlight w:val="none"/>
        </w:rPr>
        <w:t>措施项目</w:t>
      </w:r>
      <w:r>
        <w:rPr>
          <w:rFonts w:hint="eastAsia" w:ascii="宋体" w:hAnsi="宋体" w:cs="宋体"/>
          <w:bCs/>
          <w:color w:val="auto"/>
          <w:szCs w:val="21"/>
          <w:highlight w:val="none"/>
          <w:lang w:eastAsia="zh-CN"/>
        </w:rPr>
        <w:t>中的</w:t>
      </w:r>
      <w:r>
        <w:rPr>
          <w:rFonts w:hint="eastAsia" w:ascii="宋体" w:hAnsi="宋体" w:cs="宋体"/>
          <w:bCs/>
          <w:color w:val="auto"/>
          <w:szCs w:val="21"/>
          <w:highlight w:val="none"/>
        </w:rPr>
        <w:t>文明临设环保费</w:t>
      </w:r>
      <w:r>
        <w:rPr>
          <w:rFonts w:hint="eastAsia" w:ascii="宋体" w:hAnsi="宋体" w:cs="宋体"/>
          <w:bCs/>
          <w:color w:val="auto"/>
          <w:szCs w:val="21"/>
          <w:highlight w:val="none"/>
          <w:lang w:eastAsia="zh-CN"/>
        </w:rPr>
        <w:t>按合同附件</w:t>
      </w:r>
      <w:r>
        <w:rPr>
          <w:rFonts w:hint="eastAsia" w:ascii="宋体" w:hAnsi="宋体" w:cs="宋体"/>
          <w:bCs/>
          <w:color w:val="auto"/>
          <w:szCs w:val="21"/>
          <w:highlight w:val="none"/>
          <w:lang w:val="en-US" w:eastAsia="zh-CN"/>
        </w:rPr>
        <w:t>15《</w:t>
      </w:r>
      <w:r>
        <w:rPr>
          <w:rFonts w:hint="eastAsia" w:ascii="宋体" w:hAnsi="宋体" w:cs="宋体"/>
          <w:bCs/>
          <w:color w:val="auto"/>
          <w:szCs w:val="21"/>
          <w:highlight w:val="none"/>
          <w:lang w:eastAsia="zh-CN"/>
        </w:rPr>
        <w:t>措施项目分拆表</w:t>
      </w:r>
      <w:r>
        <w:rPr>
          <w:rFonts w:hint="eastAsia" w:ascii="宋体" w:hAnsi="宋体" w:cs="宋体"/>
          <w:bCs/>
          <w:color w:val="auto"/>
          <w:szCs w:val="21"/>
          <w:highlight w:val="none"/>
          <w:lang w:val="en-US" w:eastAsia="zh-CN"/>
        </w:rPr>
        <w:t>》</w:t>
      </w:r>
      <w:r>
        <w:rPr>
          <w:rFonts w:hint="eastAsia" w:ascii="宋体" w:hAnsi="宋体" w:cs="宋体"/>
          <w:bCs/>
          <w:color w:val="auto"/>
          <w:szCs w:val="21"/>
          <w:highlight w:val="none"/>
          <w:lang w:eastAsia="zh-CN"/>
        </w:rPr>
        <w:t>支付该部分进度款，其他综合措施项目按该项措施项目占签约合同价中分部分项及技术措施项目费比例乘以当期完成的分部分项及技术措施项目费计算，该项措施费用支付完毕后不再计取</w:t>
      </w:r>
      <w:r>
        <w:rPr>
          <w:rFonts w:hint="eastAsia" w:ascii="宋体" w:hAnsi="宋体" w:cs="宋体"/>
          <w:bCs/>
          <w:color w:val="auto"/>
          <w:szCs w:val="21"/>
          <w:highlight w:val="none"/>
        </w:rPr>
        <w:t>。</w:t>
      </w:r>
    </w:p>
    <w:p w14:paraId="4868FAD3">
      <w:pPr>
        <w:spacing w:after="0" w:line="360" w:lineRule="auto"/>
        <w:ind w:firstLine="420" w:firstLineChars="200"/>
        <w:jc w:val="left"/>
        <w:rPr>
          <w:rFonts w:hint="eastAsia" w:ascii="宋体" w:hAnsi="宋体" w:cs="宋体"/>
          <w:bCs w:val="0"/>
          <w:color w:val="auto"/>
          <w:szCs w:val="21"/>
          <w:highlight w:val="none"/>
        </w:rPr>
      </w:pPr>
      <w:r>
        <w:rPr>
          <w:rFonts w:hint="eastAsia" w:ascii="宋体" w:hAnsi="宋体" w:cs="宋体"/>
          <w:bCs w:val="0"/>
          <w:color w:val="auto"/>
          <w:szCs w:val="21"/>
          <w:highlight w:val="none"/>
          <w:lang w:val="en-US" w:eastAsia="zh-CN"/>
        </w:rPr>
        <w:t>3）</w:t>
      </w:r>
      <w:r>
        <w:rPr>
          <w:rFonts w:hint="eastAsia" w:ascii="宋体" w:hAnsi="宋体" w:cs="宋体"/>
          <w:bCs w:val="0"/>
          <w:color w:val="auto"/>
          <w:szCs w:val="21"/>
          <w:highlight w:val="none"/>
        </w:rPr>
        <w:t>其他项目</w:t>
      </w:r>
      <w:r>
        <w:rPr>
          <w:rFonts w:hint="eastAsia" w:ascii="宋体" w:hAnsi="宋体" w:cs="宋体"/>
          <w:bCs w:val="0"/>
          <w:color w:val="auto"/>
          <w:szCs w:val="21"/>
          <w:highlight w:val="none"/>
          <w:lang w:eastAsia="zh-CN"/>
        </w:rPr>
        <w:t>费</w:t>
      </w:r>
      <w:r>
        <w:rPr>
          <w:rFonts w:hint="eastAsia" w:ascii="宋体" w:hAnsi="宋体" w:cs="宋体"/>
          <w:bCs w:val="0"/>
          <w:color w:val="auto"/>
          <w:szCs w:val="21"/>
          <w:highlight w:val="none"/>
        </w:rPr>
        <w:t>进度款计算：总承包服务费</w:t>
      </w:r>
      <w:r>
        <w:rPr>
          <w:rFonts w:hint="eastAsia" w:ascii="宋体" w:hAnsi="宋体" w:cs="宋体"/>
          <w:bCs w:val="0"/>
          <w:color w:val="auto"/>
          <w:szCs w:val="21"/>
          <w:highlight w:val="none"/>
          <w:lang w:eastAsia="zh-CN"/>
        </w:rPr>
        <w:t>中的专业工程配合费</w:t>
      </w:r>
      <w:r>
        <w:rPr>
          <w:rFonts w:hint="eastAsia" w:ascii="宋体" w:hAnsi="宋体" w:cs="宋体"/>
          <w:bCs w:val="0"/>
          <w:color w:val="auto"/>
          <w:szCs w:val="21"/>
          <w:highlight w:val="none"/>
        </w:rPr>
        <w:t>应按当期发包人确认的专业分包工程进度款与专业分包合同价的比例乘以相应的服务费计算各分包工程</w:t>
      </w:r>
      <w:r>
        <w:rPr>
          <w:rFonts w:hint="eastAsia" w:ascii="宋体" w:hAnsi="宋体" w:cs="宋体"/>
          <w:bCs w:val="0"/>
          <w:color w:val="auto"/>
          <w:szCs w:val="21"/>
          <w:highlight w:val="none"/>
          <w:lang w:eastAsia="zh-CN"/>
        </w:rPr>
        <w:t>当期</w:t>
      </w:r>
      <w:r>
        <w:rPr>
          <w:rFonts w:hint="eastAsia" w:ascii="宋体" w:hAnsi="宋体" w:cs="宋体"/>
          <w:bCs w:val="0"/>
          <w:color w:val="auto"/>
          <w:szCs w:val="21"/>
          <w:highlight w:val="none"/>
        </w:rPr>
        <w:t>完成的总承包服务费</w:t>
      </w:r>
      <w:r>
        <w:rPr>
          <w:rFonts w:hint="eastAsia" w:ascii="宋体" w:hAnsi="宋体" w:cs="宋体"/>
          <w:bCs w:val="0"/>
          <w:color w:val="auto"/>
          <w:szCs w:val="21"/>
          <w:highlight w:val="none"/>
          <w:lang w:eastAsia="zh-CN"/>
        </w:rPr>
        <w:t>；</w:t>
      </w:r>
      <w:r>
        <w:rPr>
          <w:rFonts w:hint="eastAsia" w:ascii="宋体" w:hAnsi="宋体" w:cs="宋体"/>
          <w:bCs w:val="0"/>
          <w:color w:val="auto"/>
          <w:szCs w:val="21"/>
          <w:highlight w:val="none"/>
          <w:lang w:val="en-US" w:eastAsia="zh-CN"/>
        </w:rPr>
        <w:t>总承包服务费中的</w:t>
      </w:r>
      <w:r>
        <w:rPr>
          <w:rFonts w:hint="eastAsia" w:ascii="宋体" w:hAnsi="宋体" w:cs="宋体"/>
          <w:bCs w:val="0"/>
          <w:color w:val="auto"/>
          <w:szCs w:val="21"/>
          <w:highlight w:val="none"/>
        </w:rPr>
        <w:t>发包人提供材料</w:t>
      </w:r>
      <w:r>
        <w:rPr>
          <w:rFonts w:hint="eastAsia" w:ascii="宋体" w:hAnsi="宋体" w:cs="宋体"/>
          <w:bCs w:val="0"/>
          <w:color w:val="auto"/>
          <w:szCs w:val="21"/>
          <w:highlight w:val="none"/>
          <w:lang w:eastAsia="zh-CN"/>
        </w:rPr>
        <w:t>的保管费应在最后一期进度款一次性支付；</w:t>
      </w:r>
      <w:r>
        <w:rPr>
          <w:rFonts w:hint="eastAsia" w:ascii="宋体" w:hAnsi="宋体" w:cs="宋体"/>
          <w:bCs w:val="0"/>
          <w:color w:val="auto"/>
          <w:szCs w:val="21"/>
          <w:highlight w:val="none"/>
        </w:rPr>
        <w:t>专业工程暂估价项目应按当期发包人确认的专业工程项目完成的进度款计算</w:t>
      </w:r>
      <w:r>
        <w:rPr>
          <w:rFonts w:hint="eastAsia" w:ascii="宋体" w:hAnsi="宋体" w:cs="宋体"/>
          <w:bCs w:val="0"/>
          <w:color w:val="auto"/>
          <w:szCs w:val="21"/>
          <w:highlight w:val="none"/>
          <w:lang w:eastAsia="zh-CN"/>
        </w:rPr>
        <w:t>；</w:t>
      </w:r>
      <w:r>
        <w:rPr>
          <w:rFonts w:hint="eastAsia" w:ascii="宋体" w:hAnsi="宋体" w:cs="宋体"/>
          <w:bCs w:val="0"/>
          <w:color w:val="auto"/>
          <w:szCs w:val="21"/>
          <w:highlight w:val="none"/>
          <w:lang w:val="en-US"/>
        </w:rPr>
        <w:t>零星签证</w:t>
      </w:r>
      <w:r>
        <w:rPr>
          <w:rFonts w:hint="eastAsia" w:ascii="宋体" w:hAnsi="宋体" w:cs="宋体"/>
          <w:bCs w:val="0"/>
          <w:color w:val="auto"/>
          <w:szCs w:val="21"/>
          <w:highlight w:val="none"/>
        </w:rPr>
        <w:t>应按</w:t>
      </w:r>
      <w:r>
        <w:rPr>
          <w:rFonts w:hint="eastAsia" w:ascii="宋体" w:hAnsi="宋体" w:cs="宋体"/>
          <w:bCs w:val="0"/>
          <w:color w:val="auto"/>
          <w:szCs w:val="21"/>
          <w:highlight w:val="none"/>
          <w:lang w:eastAsia="zh-CN"/>
        </w:rPr>
        <w:t>当</w:t>
      </w:r>
      <w:r>
        <w:rPr>
          <w:rFonts w:hint="eastAsia" w:ascii="宋体" w:hAnsi="宋体" w:cs="宋体"/>
          <w:bCs w:val="0"/>
          <w:color w:val="auto"/>
          <w:szCs w:val="21"/>
          <w:highlight w:val="none"/>
        </w:rPr>
        <w:t>期完成的进度款进行计算</w:t>
      </w:r>
      <w:r>
        <w:rPr>
          <w:rFonts w:hint="eastAsia" w:ascii="宋体" w:hAnsi="宋体" w:cs="宋体"/>
          <w:bCs w:val="0"/>
          <w:color w:val="auto"/>
          <w:szCs w:val="21"/>
          <w:highlight w:val="none"/>
          <w:lang w:eastAsia="zh-CN"/>
        </w:rPr>
        <w:t>；</w:t>
      </w:r>
      <w:r>
        <w:rPr>
          <w:rFonts w:hint="eastAsia" w:ascii="宋体" w:hAnsi="宋体" w:cs="宋体"/>
          <w:color w:val="auto"/>
          <w:szCs w:val="21"/>
          <w:highlight w:val="none"/>
          <w:lang w:eastAsia="zh-CN"/>
        </w:rPr>
        <w:t>安全生产费按照</w:t>
      </w:r>
      <w:r>
        <w:rPr>
          <w:rFonts w:hint="default" w:ascii="宋体" w:hAnsi="宋体" w:cs="宋体"/>
          <w:color w:val="auto"/>
          <w:szCs w:val="21"/>
          <w:highlight w:val="none"/>
          <w:lang w:val="en" w:eastAsia="zh-CN"/>
        </w:rPr>
        <w:t>本合同6.1.6规定计算。</w:t>
      </w:r>
    </w:p>
    <w:p w14:paraId="09BCABF9">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）总价合同进度付款申请单提交的约定</w:t>
      </w:r>
      <w:r>
        <w:rPr>
          <w:rFonts w:hint="eastAsia" w:hAnsi="宋体" w:cs="宋体"/>
          <w:color w:val="auto"/>
          <w:highlight w:val="none"/>
          <w:lang w:eastAsia="zh-CN"/>
        </w:rPr>
        <w:t>：</w:t>
      </w:r>
      <w:r>
        <w:rPr>
          <w:rFonts w:hint="eastAsia" w:ascii="宋体" w:hAnsi="宋体" w:cs="宋体"/>
          <w:strike w:val="0"/>
          <w:color w:val="auto"/>
          <w:kern w:val="2"/>
          <w:sz w:val="21"/>
          <w:szCs w:val="21"/>
          <w:highlight w:val="none"/>
          <w:lang w:val="en-US" w:eastAsia="zh-CN" w:bidi="ar"/>
        </w:rPr>
        <w:t>承包人</w:t>
      </w:r>
      <w:r>
        <w:rPr>
          <w:rFonts w:hint="eastAsia" w:hAnsi="宋体" w:cs="宋体"/>
          <w:color w:val="auto"/>
          <w:highlight w:val="none"/>
          <w:lang w:eastAsia="zh-CN"/>
        </w:rPr>
        <w:t>按照</w:t>
      </w:r>
      <w:r>
        <w:rPr>
          <w:rFonts w:hint="eastAsia" w:ascii="宋体" w:hAnsi="宋体" w:cs="宋体"/>
          <w:color w:val="auto"/>
          <w:szCs w:val="21"/>
          <w:highlight w:val="none"/>
          <w:lang w:eastAsia="zh-CN"/>
        </w:rPr>
        <w:t>本合同附件</w:t>
      </w:r>
      <w:r>
        <w:rPr>
          <w:rFonts w:hint="eastAsia" w:ascii="宋体" w:hAnsi="宋体" w:cs="宋体"/>
          <w:color w:val="auto"/>
          <w:szCs w:val="21"/>
          <w:highlight w:val="none"/>
          <w:lang w:val="en-US" w:eastAsia="zh-CN"/>
        </w:rPr>
        <w:t>14《进度款</w:t>
      </w:r>
      <w:r>
        <w:rPr>
          <w:rFonts w:hint="eastAsia" w:hAnsi="宋体" w:cs="宋体"/>
          <w:color w:val="auto"/>
          <w:highlight w:val="none"/>
          <w:lang w:eastAsia="zh-CN"/>
        </w:rPr>
        <w:t>支付分解表》要求的工程形象进度目标任务完成后，</w:t>
      </w:r>
      <w:r>
        <w:rPr>
          <w:rFonts w:hint="eastAsia" w:hAnsi="宋体" w:cs="宋体"/>
          <w:color w:val="auto"/>
          <w:highlight w:val="none"/>
        </w:rPr>
        <w:t>向发包人书面报送</w:t>
      </w:r>
      <w:r>
        <w:rPr>
          <w:rFonts w:hint="eastAsia" w:hAnsi="宋体" w:cs="宋体"/>
          <w:color w:val="auto"/>
          <w:highlight w:val="none"/>
          <w:lang w:eastAsia="zh-CN"/>
        </w:rPr>
        <w:t>《</w:t>
      </w:r>
      <w:r>
        <w:rPr>
          <w:rFonts w:hint="eastAsia" w:hAnsi="宋体" w:cs="宋体"/>
          <w:color w:val="auto"/>
          <w:highlight w:val="none"/>
        </w:rPr>
        <w:t>进度款支付申请（核准）表</w:t>
      </w:r>
      <w:r>
        <w:rPr>
          <w:rFonts w:hint="eastAsia" w:hAnsi="宋体" w:cs="宋体"/>
          <w:color w:val="auto"/>
          <w:highlight w:val="none"/>
          <w:lang w:eastAsia="zh-CN"/>
        </w:rPr>
        <w:t>》</w:t>
      </w:r>
      <w:r>
        <w:rPr>
          <w:rFonts w:hint="eastAsia" w:hAnsi="宋体" w:cs="宋体"/>
          <w:color w:val="auto"/>
          <w:highlight w:val="none"/>
        </w:rPr>
        <w:t>和有关资料</w:t>
      </w:r>
      <w:r>
        <w:rPr>
          <w:rFonts w:hint="eastAsia" w:ascii="宋体" w:hAnsi="宋体" w:cs="宋体"/>
          <w:color w:val="auto"/>
          <w:szCs w:val="21"/>
          <w:highlight w:val="none"/>
          <w:lang w:eastAsia="zh-CN"/>
        </w:rPr>
        <w:t>。固定部分按照支付分解表金额，暂定工程量、暂估价按照实际完成的工程量计算，安全生产费按照</w:t>
      </w:r>
      <w:r>
        <w:rPr>
          <w:rFonts w:hint="default" w:ascii="宋体" w:hAnsi="宋体" w:cs="宋体"/>
          <w:color w:val="auto"/>
          <w:szCs w:val="21"/>
          <w:highlight w:val="none"/>
          <w:lang w:val="en" w:eastAsia="zh-CN"/>
        </w:rPr>
        <w:t>本合同6.1.6规定计算。</w:t>
      </w:r>
    </w:p>
    <w:p w14:paraId="4595FD66">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3</w:t>
      </w:r>
      <w:r>
        <w:rPr>
          <w:rFonts w:hint="eastAsia" w:hAnsi="宋体" w:cs="宋体"/>
          <w:color w:val="auto"/>
          <w:highlight w:val="none"/>
        </w:rPr>
        <w:t>）</w:t>
      </w:r>
      <w:r>
        <w:rPr>
          <w:rFonts w:hint="eastAsia" w:ascii="宋体" w:hAnsi="宋体" w:cs="宋体"/>
          <w:b w:val="0"/>
          <w:bCs w:val="0"/>
          <w:color w:val="auto"/>
          <w:szCs w:val="21"/>
          <w:highlight w:val="none"/>
        </w:rPr>
        <w:t>发承包双方确认的按本规范规定计算的合同价款调整金额应列入</w:t>
      </w:r>
      <w:r>
        <w:rPr>
          <w:rFonts w:hint="eastAsia" w:ascii="宋体" w:hAnsi="宋体" w:cs="宋体"/>
          <w:b w:val="0"/>
          <w:bCs w:val="0"/>
          <w:color w:val="auto"/>
          <w:szCs w:val="21"/>
          <w:highlight w:val="none"/>
          <w:lang w:eastAsia="zh-CN"/>
        </w:rPr>
        <w:t>当</w:t>
      </w:r>
      <w:r>
        <w:rPr>
          <w:rFonts w:hint="eastAsia" w:ascii="宋体" w:hAnsi="宋体" w:cs="宋体"/>
          <w:b w:val="0"/>
          <w:bCs w:val="0"/>
          <w:color w:val="auto"/>
          <w:szCs w:val="21"/>
          <w:highlight w:val="none"/>
        </w:rPr>
        <w:t>期完成的进度款中。</w:t>
      </w:r>
    </w:p>
    <w:p w14:paraId="44C2F7F7">
      <w:pPr>
        <w:spacing w:line="360" w:lineRule="auto"/>
        <w:ind w:firstLine="420" w:firstLineChars="200"/>
        <w:jc w:val="left"/>
        <w:rPr>
          <w:color w:val="auto"/>
          <w:highlight w:val="none"/>
        </w:rPr>
      </w:pPr>
      <w:r>
        <w:rPr>
          <w:color w:val="auto"/>
          <w:highlight w:val="none"/>
        </w:rPr>
        <w:t xml:space="preserve">12.4.4 </w:t>
      </w:r>
      <w:r>
        <w:rPr>
          <w:rFonts w:hint="eastAsia" w:hAnsi="宋体" w:cs="宋体"/>
          <w:color w:val="auto"/>
          <w:highlight w:val="none"/>
        </w:rPr>
        <w:t>进度款审核和支付</w:t>
      </w:r>
    </w:p>
    <w:p w14:paraId="4B13A86F">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1</w:t>
      </w:r>
      <w:r>
        <w:rPr>
          <w:rFonts w:hint="eastAsia" w:hAnsi="宋体" w:cs="宋体"/>
          <w:color w:val="auto"/>
          <w:highlight w:val="none"/>
        </w:rPr>
        <w:t>）监理人审查并报送发包人的期限：</w:t>
      </w:r>
      <w:r>
        <w:rPr>
          <w:color w:val="auto"/>
          <w:highlight w:val="none"/>
          <w:u w:val="single"/>
        </w:rPr>
        <w:t xml:space="preserve">   </w:t>
      </w:r>
      <w:r>
        <w:rPr>
          <w:rFonts w:hint="eastAsia" w:ascii="宋体" w:hAnsi="宋体"/>
          <w:color w:val="auto"/>
          <w:kern w:val="0"/>
          <w:szCs w:val="21"/>
          <w:u w:val="single" w:color="000000"/>
        </w:rPr>
        <w:t>承包人每月</w:t>
      </w:r>
      <w:r>
        <w:rPr>
          <w:rFonts w:ascii="Times New Roman" w:hAnsi="Times New Roman" w:eastAsia="Times New Roman"/>
          <w:color w:val="auto"/>
          <w:kern w:val="0"/>
          <w:szCs w:val="21"/>
          <w:u w:val="single" w:color="000000"/>
        </w:rPr>
        <w:t>25</w:t>
      </w:r>
      <w:r>
        <w:rPr>
          <w:rFonts w:hint="eastAsia" w:ascii="宋体" w:hAnsi="宋体"/>
          <w:color w:val="auto"/>
          <w:kern w:val="0"/>
          <w:szCs w:val="21"/>
          <w:u w:val="single" w:color="000000"/>
        </w:rPr>
        <w:t>日前报送当月完成工程量给监理人，收到承包人提交的资料后</w:t>
      </w:r>
      <w:r>
        <w:rPr>
          <w:rFonts w:ascii="Times New Roman" w:hAnsi="Times New Roman" w:eastAsia="Times New Roman"/>
          <w:color w:val="auto"/>
          <w:kern w:val="0"/>
          <w:szCs w:val="21"/>
          <w:u w:val="single" w:color="000000"/>
        </w:rPr>
        <w:t>3</w:t>
      </w:r>
      <w:r>
        <w:rPr>
          <w:rFonts w:hint="eastAsia" w:ascii="宋体" w:hAnsi="宋体"/>
          <w:color w:val="auto"/>
          <w:kern w:val="0"/>
          <w:szCs w:val="21"/>
          <w:u w:val="single" w:color="000000"/>
        </w:rPr>
        <w:t>天内完成审查并报送发包人</w:t>
      </w:r>
      <w:r>
        <w:rPr>
          <w:color w:val="auto"/>
          <w:highlight w:val="none"/>
          <w:u w:val="single"/>
        </w:rPr>
        <w:t xml:space="preserve">   </w:t>
      </w:r>
      <w:r>
        <w:rPr>
          <w:rFonts w:hint="eastAsia" w:hAnsi="宋体" w:cs="宋体"/>
          <w:color w:val="auto"/>
          <w:highlight w:val="none"/>
        </w:rPr>
        <w:t>。</w:t>
      </w:r>
    </w:p>
    <w:p w14:paraId="71D88265">
      <w:pPr>
        <w:spacing w:line="360" w:lineRule="auto"/>
        <w:ind w:firstLine="420" w:firstLineChars="200"/>
        <w:jc w:val="left"/>
        <w:rPr>
          <w:color w:val="auto"/>
          <w:highlight w:val="none"/>
          <w:u w:val="single"/>
        </w:rPr>
      </w:pPr>
      <w:r>
        <w:rPr>
          <w:rFonts w:hint="eastAsia" w:hAnsi="宋体" w:cs="宋体"/>
          <w:color w:val="auto"/>
          <w:highlight w:val="none"/>
        </w:rPr>
        <w:t>发包人完成审批并签发进度款支付证书的期限：</w:t>
      </w:r>
      <w:r>
        <w:rPr>
          <w:color w:val="auto"/>
          <w:highlight w:val="none"/>
          <w:u w:val="single"/>
        </w:rPr>
        <w:t xml:space="preserve">   </w:t>
      </w:r>
      <w:r>
        <w:rPr>
          <w:rFonts w:hint="eastAsia" w:ascii="宋体" w:hAnsi="宋体"/>
          <w:color w:val="auto"/>
          <w:kern w:val="0"/>
          <w:szCs w:val="21"/>
          <w:u w:val="single" w:color="000000"/>
        </w:rPr>
        <w:t>收到资料后</w:t>
      </w:r>
      <w:r>
        <w:rPr>
          <w:rFonts w:ascii="Times New Roman" w:hAnsi="Times New Roman" w:eastAsia="Times New Roman"/>
          <w:color w:val="auto"/>
          <w:kern w:val="0"/>
          <w:szCs w:val="21"/>
          <w:u w:val="single" w:color="000000"/>
        </w:rPr>
        <w:t>7</w:t>
      </w:r>
      <w:r>
        <w:rPr>
          <w:rFonts w:hint="eastAsia" w:ascii="宋体" w:hAnsi="宋体"/>
          <w:color w:val="auto"/>
          <w:kern w:val="0"/>
          <w:szCs w:val="21"/>
          <w:u w:val="single" w:color="000000"/>
        </w:rPr>
        <w:t>天内完成审批并签发进度</w:t>
      </w:r>
      <w:r>
        <w:rPr>
          <w:rFonts w:hint="eastAsia" w:ascii="宋体" w:hAnsi="宋体"/>
          <w:color w:val="auto"/>
          <w:spacing w:val="-2"/>
          <w:kern w:val="0"/>
          <w:szCs w:val="21"/>
          <w:u w:val="single" w:color="000000"/>
        </w:rPr>
        <w:t>款支付证书；发包人逾期未完成审批且未提出异议的，视为已签发进度款支付证书</w:t>
      </w:r>
      <w:r>
        <w:rPr>
          <w:color w:val="auto"/>
          <w:highlight w:val="none"/>
          <w:u w:val="single"/>
        </w:rPr>
        <w:t xml:space="preserve">     </w:t>
      </w:r>
      <w:r>
        <w:rPr>
          <w:rFonts w:hint="eastAsia" w:hAnsi="宋体" w:cs="宋体"/>
          <w:color w:val="auto"/>
          <w:highlight w:val="none"/>
        </w:rPr>
        <w:t>。</w:t>
      </w:r>
    </w:p>
    <w:p w14:paraId="433BFE8A">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）发包人支付进度款的期限：</w:t>
      </w:r>
      <w:r>
        <w:rPr>
          <w:color w:val="auto"/>
          <w:highlight w:val="none"/>
          <w:u w:val="single"/>
        </w:rPr>
        <w:t xml:space="preserve">     </w:t>
      </w:r>
      <w:r>
        <w:rPr>
          <w:rFonts w:hint="eastAsia"/>
          <w:color w:val="auto"/>
          <w:highlight w:val="none"/>
          <w:u w:val="single"/>
          <w:lang w:val="en-US" w:eastAsia="zh-CN"/>
        </w:rPr>
        <w:t>无</w:t>
      </w:r>
      <w:r>
        <w:rPr>
          <w:color w:val="auto"/>
          <w:highlight w:val="none"/>
          <w:u w:val="single"/>
        </w:rPr>
        <w:t xml:space="preserve">                   </w:t>
      </w:r>
      <w:r>
        <w:rPr>
          <w:rFonts w:hint="eastAsia" w:hAnsi="宋体" w:cs="宋体"/>
          <w:color w:val="auto"/>
          <w:highlight w:val="none"/>
        </w:rPr>
        <w:t>。</w:t>
      </w:r>
    </w:p>
    <w:p w14:paraId="0C0EB9AA">
      <w:pPr>
        <w:spacing w:line="360" w:lineRule="auto"/>
        <w:ind w:firstLine="525" w:firstLineChars="250"/>
        <w:jc w:val="left"/>
        <w:rPr>
          <w:color w:val="auto"/>
          <w:highlight w:val="none"/>
        </w:rPr>
      </w:pPr>
      <w:r>
        <w:rPr>
          <w:rFonts w:hint="eastAsia" w:hAnsi="宋体" w:cs="宋体"/>
          <w:color w:val="auto"/>
          <w:highlight w:val="none"/>
        </w:rPr>
        <w:t>发包人逾期支付进度款的违约金的计算方式：</w:t>
      </w:r>
      <w:r>
        <w:rPr>
          <w:color w:val="auto"/>
          <w:highlight w:val="none"/>
          <w:u w:val="single"/>
        </w:rPr>
        <w:t xml:space="preserve">        </w:t>
      </w:r>
      <w:r>
        <w:rPr>
          <w:rFonts w:hint="eastAsia"/>
          <w:color w:val="auto"/>
          <w:highlight w:val="none"/>
          <w:u w:val="single"/>
          <w:lang w:val="en-US" w:eastAsia="zh-CN"/>
        </w:rPr>
        <w:t>无</w:t>
      </w:r>
      <w:r>
        <w:rPr>
          <w:color w:val="auto"/>
          <w:highlight w:val="none"/>
          <w:u w:val="single"/>
        </w:rPr>
        <w:t xml:space="preserve">                           </w:t>
      </w:r>
      <w:r>
        <w:rPr>
          <w:rFonts w:hint="eastAsia" w:hAnsi="宋体" w:cs="宋体"/>
          <w:color w:val="auto"/>
          <w:highlight w:val="none"/>
        </w:rPr>
        <w:t>。</w:t>
      </w:r>
    </w:p>
    <w:p w14:paraId="706C116B">
      <w:pPr>
        <w:spacing w:line="360" w:lineRule="auto"/>
        <w:ind w:firstLine="630" w:firstLineChars="300"/>
        <w:rPr>
          <w:rFonts w:hAnsi="宋体" w:cs="宋体"/>
          <w:color w:val="auto"/>
          <w:highlight w:val="none"/>
        </w:rPr>
      </w:pPr>
      <w:r>
        <w:rPr>
          <w:rFonts w:hint="eastAsia" w:hAnsi="宋体" w:cs="宋体"/>
          <w:color w:val="auto"/>
          <w:highlight w:val="none"/>
        </w:rPr>
        <w:t>进度款支付方式：</w:t>
      </w:r>
      <w:r>
        <w:rPr>
          <w:rFonts w:hint="eastAsia" w:hAnsi="宋体" w:cs="宋体"/>
          <w:color w:val="auto"/>
          <w:highlight w:val="none"/>
          <w:u w:val="single"/>
        </w:rPr>
        <w:t>银行转账</w:t>
      </w:r>
      <w:r>
        <w:rPr>
          <w:rFonts w:hint="eastAsia" w:hAnsi="宋体" w:cs="宋体"/>
          <w:color w:val="auto"/>
          <w:highlight w:val="none"/>
        </w:rPr>
        <w:t>。</w:t>
      </w:r>
      <w:r>
        <w:rPr>
          <w:rFonts w:hint="eastAsia"/>
          <w:color w:val="auto"/>
          <w:highlight w:val="none"/>
        </w:rPr>
        <w:t>进度款支付申请（核准）表见合同附件11。</w:t>
      </w:r>
    </w:p>
    <w:p w14:paraId="19E7DCAC">
      <w:pPr>
        <w:spacing w:line="360" w:lineRule="auto"/>
        <w:ind w:firstLine="525" w:firstLineChars="250"/>
        <w:jc w:val="left"/>
        <w:rPr>
          <w:rFonts w:hint="eastAsia" w:hAnsi="宋体" w:cs="宋体"/>
          <w:color w:val="auto"/>
          <w:kern w:val="0"/>
          <w:highlight w:val="none"/>
        </w:rPr>
      </w:pPr>
      <w:r>
        <w:rPr>
          <w:rFonts w:hint="eastAsia" w:hAnsi="宋体"/>
          <w:color w:val="auto"/>
          <w:highlight w:val="none"/>
        </w:rPr>
        <w:t xml:space="preserve">（3） </w:t>
      </w:r>
      <w:r>
        <w:rPr>
          <w:rFonts w:hint="eastAsia" w:hAnsi="宋体"/>
          <w:color w:val="auto"/>
          <w:highlight w:val="none"/>
          <w:lang w:eastAsia="zh-CN"/>
        </w:rPr>
        <w:t>人工费</w:t>
      </w:r>
      <w:r>
        <w:rPr>
          <w:rFonts w:hint="eastAsia" w:hAnsi="宋体"/>
          <w:color w:val="auto"/>
          <w:highlight w:val="none"/>
        </w:rPr>
        <w:t>支付</w:t>
      </w:r>
    </w:p>
    <w:p w14:paraId="2816BE3B">
      <w:pPr>
        <w:spacing w:line="360" w:lineRule="auto"/>
        <w:ind w:firstLine="525" w:firstLineChars="250"/>
        <w:jc w:val="left"/>
        <w:rPr>
          <w:rFonts w:hint="eastAsia" w:hAnsi="宋体" w:cs="宋体"/>
          <w:color w:val="auto"/>
          <w:kern w:val="0"/>
          <w:highlight w:val="none"/>
        </w:rPr>
      </w:pPr>
      <w:r>
        <w:rPr>
          <w:rFonts w:hint="eastAsia" w:hAnsi="宋体" w:cs="宋体"/>
          <w:color w:val="auto"/>
          <w:kern w:val="0"/>
          <w:highlight w:val="none"/>
          <w:lang w:val="en-US" w:eastAsia="zh-CN"/>
        </w:rPr>
        <w:t>1</w:t>
      </w:r>
      <w:r>
        <w:rPr>
          <w:rFonts w:hint="eastAsia" w:hAnsi="宋体" w:cs="宋体"/>
          <w:color w:val="auto"/>
          <w:kern w:val="0"/>
          <w:highlight w:val="none"/>
        </w:rPr>
        <w:t>）人工费专款专用</w:t>
      </w:r>
      <w:r>
        <w:rPr>
          <w:rFonts w:hint="eastAsia" w:hAnsi="宋体" w:cs="宋体"/>
          <w:color w:val="auto"/>
          <w:kern w:val="0"/>
          <w:highlight w:val="none"/>
          <w:lang w:eastAsia="zh-CN"/>
        </w:rPr>
        <w:t>，</w:t>
      </w:r>
      <w:r>
        <w:rPr>
          <w:rFonts w:hint="eastAsia" w:hAnsi="宋体" w:cs="宋体"/>
          <w:color w:val="auto"/>
          <w:kern w:val="0"/>
          <w:highlight w:val="none"/>
        </w:rPr>
        <w:t>用于支付农民工工资</w:t>
      </w:r>
      <w:r>
        <w:rPr>
          <w:rFonts w:hint="eastAsia" w:hAnsi="宋体" w:cs="宋体"/>
          <w:color w:val="auto"/>
          <w:kern w:val="0"/>
          <w:highlight w:val="none"/>
          <w:lang w:eastAsia="zh-CN"/>
        </w:rPr>
        <w:t>，应</w:t>
      </w:r>
      <w:r>
        <w:rPr>
          <w:rFonts w:hint="eastAsia" w:hAnsi="宋体" w:cs="宋体"/>
          <w:color w:val="auto"/>
          <w:kern w:val="0"/>
          <w:highlight w:val="none"/>
        </w:rPr>
        <w:t>与工程进度款分</w:t>
      </w:r>
      <w:r>
        <w:rPr>
          <w:rFonts w:hint="eastAsia" w:hAnsi="宋体" w:cs="宋体"/>
          <w:color w:val="auto"/>
          <w:kern w:val="0"/>
          <w:highlight w:val="none"/>
          <w:lang w:eastAsia="zh-CN"/>
        </w:rPr>
        <w:t>账</w:t>
      </w:r>
      <w:r>
        <w:rPr>
          <w:rFonts w:hint="eastAsia" w:hAnsi="宋体" w:cs="宋体"/>
          <w:color w:val="auto"/>
          <w:kern w:val="0"/>
          <w:highlight w:val="none"/>
        </w:rPr>
        <w:t>管理。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每月</w:t>
      </w:r>
      <w:r>
        <w:rPr>
          <w:rFonts w:hint="eastAsia" w:hAnsi="宋体" w:cs="宋体"/>
          <w:color w:val="auto"/>
          <w:kern w:val="0"/>
          <w:highlight w:val="none"/>
          <w:u w:val="single"/>
        </w:rPr>
        <w:t xml:space="preserve">   </w:t>
      </w:r>
      <w:r>
        <w:rPr>
          <w:rFonts w:hint="eastAsia" w:hAnsi="宋体" w:cs="宋体"/>
          <w:color w:val="auto"/>
          <w:kern w:val="0"/>
          <w:highlight w:val="none"/>
        </w:rPr>
        <w:t>日前将当月应付人工费转入承包人为本项目开立的农民工工资专用账户。</w:t>
      </w:r>
    </w:p>
    <w:p w14:paraId="3ACD2A92">
      <w:pPr>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lang w:val="en-US" w:eastAsia="zh-CN"/>
        </w:rPr>
        <w:t>2</w:t>
      </w:r>
      <w:r>
        <w:rPr>
          <w:rFonts w:hint="eastAsia" w:hAnsi="宋体" w:cs="宋体"/>
          <w:color w:val="auto"/>
          <w:kern w:val="0"/>
          <w:highlight w:val="none"/>
        </w:rPr>
        <w:t>）农民工工资专用账户：</w:t>
      </w:r>
      <w:r>
        <w:rPr>
          <w:rFonts w:hint="eastAsia" w:hAnsi="宋体" w:cs="宋体"/>
          <w:color w:val="auto"/>
          <w:kern w:val="0"/>
          <w:highlight w:val="none"/>
          <w:u w:val="single"/>
        </w:rPr>
        <w:t xml:space="preserve">  </w:t>
      </w:r>
      <w:r>
        <w:rPr>
          <w:rFonts w:hint="eastAsia" w:hAnsi="宋体" w:cs="宋体"/>
          <w:color w:val="auto"/>
          <w:kern w:val="0"/>
          <w:highlight w:val="none"/>
          <w:u w:val="single"/>
          <w:lang w:val="en-US" w:eastAsia="zh-CN"/>
        </w:rPr>
        <w:t xml:space="preserve">    </w:t>
      </w:r>
      <w:r>
        <w:rPr>
          <w:rFonts w:hint="eastAsia" w:hAnsi="宋体" w:cs="宋体"/>
          <w:color w:val="auto"/>
          <w:kern w:val="0"/>
          <w:highlight w:val="none"/>
          <w:u w:val="single"/>
        </w:rPr>
        <w:t xml:space="preserve"> </w:t>
      </w:r>
      <w:r>
        <w:rPr>
          <w:rFonts w:hint="eastAsia" w:hAnsi="宋体" w:cs="宋体"/>
          <w:color w:val="auto"/>
          <w:kern w:val="0"/>
          <w:highlight w:val="none"/>
        </w:rPr>
        <w:t>公司</w:t>
      </w:r>
      <w:r>
        <w:rPr>
          <w:rFonts w:hint="eastAsia" w:hAnsi="宋体" w:cs="宋体"/>
          <w:color w:val="auto"/>
          <w:kern w:val="0"/>
          <w:highlight w:val="none"/>
          <w:u w:val="single"/>
        </w:rPr>
        <w:t xml:space="preserve">  </w:t>
      </w:r>
      <w:r>
        <w:rPr>
          <w:rFonts w:hint="eastAsia" w:hAnsi="宋体" w:cs="宋体"/>
          <w:color w:val="auto"/>
          <w:kern w:val="0"/>
          <w:highlight w:val="none"/>
          <w:u w:val="single"/>
          <w:lang w:val="en-US" w:eastAsia="zh-CN"/>
        </w:rPr>
        <w:t xml:space="preserve">    </w:t>
      </w:r>
      <w:r>
        <w:rPr>
          <w:rFonts w:hint="eastAsia" w:hAnsi="宋体" w:cs="宋体"/>
          <w:color w:val="auto"/>
          <w:kern w:val="0"/>
          <w:highlight w:val="none"/>
          <w:u w:val="single"/>
        </w:rPr>
        <w:t xml:space="preserve"> </w:t>
      </w:r>
      <w:r>
        <w:rPr>
          <w:rFonts w:hint="eastAsia" w:hAnsi="宋体" w:cs="宋体"/>
          <w:color w:val="auto"/>
          <w:kern w:val="0"/>
          <w:highlight w:val="none"/>
        </w:rPr>
        <w:t>项目农民工工资专用账户。账号：</w:t>
      </w:r>
      <w:r>
        <w:rPr>
          <w:rFonts w:hint="eastAsia" w:hAnsi="宋体" w:cs="宋体"/>
          <w:color w:val="auto"/>
          <w:kern w:val="0"/>
          <w:highlight w:val="none"/>
          <w:u w:val="single"/>
        </w:rPr>
        <w:t xml:space="preserve"> </w:t>
      </w:r>
      <w:r>
        <w:rPr>
          <w:rFonts w:hint="eastAsia" w:hAnsi="宋体" w:cs="宋体"/>
          <w:color w:val="auto"/>
          <w:kern w:val="0"/>
          <w:highlight w:val="none"/>
          <w:u w:val="single"/>
          <w:lang w:val="en-US" w:eastAsia="zh-CN"/>
        </w:rPr>
        <w:t xml:space="preserve">      </w:t>
      </w:r>
      <w:r>
        <w:rPr>
          <w:rFonts w:hint="eastAsia" w:hAnsi="宋体" w:cs="宋体"/>
          <w:color w:val="auto"/>
          <w:kern w:val="0"/>
          <w:highlight w:val="none"/>
          <w:u w:val="single"/>
        </w:rPr>
        <w:t xml:space="preserve">  </w:t>
      </w:r>
      <w:r>
        <w:rPr>
          <w:rFonts w:hint="eastAsia" w:hAnsi="宋体" w:cs="宋体"/>
          <w:color w:val="auto"/>
          <w:kern w:val="0"/>
          <w:highlight w:val="none"/>
        </w:rPr>
        <w:t>。</w:t>
      </w:r>
    </w:p>
    <w:p w14:paraId="540156D4">
      <w:pPr>
        <w:spacing w:line="360" w:lineRule="auto"/>
        <w:ind w:firstLine="525" w:firstLineChars="250"/>
        <w:jc w:val="left"/>
        <w:rPr>
          <w:rFonts w:hAnsi="宋体"/>
          <w:color w:val="auto"/>
          <w:highlight w:val="none"/>
        </w:rPr>
      </w:pPr>
      <w:r>
        <w:rPr>
          <w:color w:val="auto"/>
          <w:highlight w:val="none"/>
        </w:rPr>
        <w:t xml:space="preserve">12.4.6 </w:t>
      </w:r>
      <w:r>
        <w:rPr>
          <w:rFonts w:hint="eastAsia" w:hAnsi="宋体" w:cs="宋体"/>
          <w:color w:val="auto"/>
          <w:highlight w:val="none"/>
        </w:rPr>
        <w:t>支付分解表的编制</w:t>
      </w:r>
    </w:p>
    <w:p w14:paraId="1EF4690E">
      <w:pPr>
        <w:spacing w:line="360" w:lineRule="auto"/>
        <w:ind w:firstLine="420" w:firstLineChars="200"/>
        <w:jc w:val="left"/>
        <w:rPr>
          <w:color w:val="auto"/>
          <w:highlight w:val="none"/>
          <w:u w:val="single"/>
        </w:rPr>
      </w:pPr>
      <w:r>
        <w:rPr>
          <w:rFonts w:hint="eastAsia"/>
          <w:color w:val="auto"/>
          <w:highlight w:val="none"/>
        </w:rPr>
        <w:t>（</w:t>
      </w:r>
      <w:r>
        <w:rPr>
          <w:color w:val="auto"/>
          <w:highlight w:val="none"/>
        </w:rPr>
        <w:t>1</w:t>
      </w:r>
      <w:r>
        <w:rPr>
          <w:rFonts w:hint="eastAsia"/>
          <w:color w:val="auto"/>
          <w:highlight w:val="none"/>
        </w:rPr>
        <w:t>）</w:t>
      </w:r>
      <w:r>
        <w:rPr>
          <w:rFonts w:hint="eastAsia" w:hAnsi="宋体" w:cs="宋体"/>
          <w:color w:val="auto"/>
          <w:highlight w:val="none"/>
        </w:rPr>
        <w:t>总价合同支付分解表的编制与审批：</w:t>
      </w:r>
      <w:r>
        <w:rPr>
          <w:rFonts w:hint="eastAsia"/>
          <w:color w:val="auto"/>
          <w:highlight w:val="none"/>
          <w:u w:val="none"/>
        </w:rPr>
        <w:t>总价合同支付</w:t>
      </w:r>
      <w:r>
        <w:rPr>
          <w:rFonts w:hint="eastAsia"/>
          <w:color w:val="auto"/>
          <w:highlight w:val="none"/>
          <w:u w:val="none"/>
          <w:lang w:eastAsia="zh-CN"/>
        </w:rPr>
        <w:t>分</w:t>
      </w:r>
      <w:r>
        <w:rPr>
          <w:rFonts w:hint="eastAsia"/>
          <w:color w:val="auto"/>
          <w:highlight w:val="none"/>
          <w:u w:val="none"/>
        </w:rPr>
        <w:t>解表在招标完成后由发包人和承包人共同编制</w:t>
      </w:r>
      <w:r>
        <w:rPr>
          <w:rFonts w:hint="eastAsia"/>
          <w:color w:val="auto"/>
          <w:highlight w:val="none"/>
          <w:u w:val="none"/>
          <w:lang w:eastAsia="zh-CN"/>
        </w:rPr>
        <w:t>，由</w:t>
      </w:r>
      <w:r>
        <w:rPr>
          <w:rFonts w:hint="eastAsia"/>
          <w:color w:val="auto"/>
          <w:highlight w:val="none"/>
          <w:u w:val="none"/>
        </w:rPr>
        <w:t>发包人审批，并作为本合同内容，具体详见合同附件14。</w:t>
      </w:r>
    </w:p>
    <w:p w14:paraId="53F5A135">
      <w:pPr>
        <w:spacing w:line="360" w:lineRule="auto"/>
        <w:ind w:firstLine="420" w:firstLineChars="200"/>
        <w:jc w:val="left"/>
        <w:rPr>
          <w:rFonts w:hint="eastAsia" w:hAnsi="宋体" w:cs="宋体"/>
          <w:color w:val="auto"/>
          <w:highlight w:val="none"/>
        </w:rPr>
      </w:pPr>
      <w:r>
        <w:rPr>
          <w:rFonts w:hint="eastAsia"/>
          <w:color w:val="auto"/>
          <w:highlight w:val="none"/>
        </w:rPr>
        <w:t>（2）</w:t>
      </w:r>
      <w:r>
        <w:rPr>
          <w:rFonts w:hint="eastAsia" w:hAnsi="宋体" w:cs="宋体"/>
          <w:color w:val="auto"/>
          <w:highlight w:val="none"/>
        </w:rPr>
        <w:t>单价合同的总价项目支付分解表的编制与审批：</w:t>
      </w:r>
      <w:r>
        <w:rPr>
          <w:rFonts w:hint="eastAsia" w:hAnsi="宋体" w:cs="宋体"/>
          <w:color w:val="auto"/>
          <w:highlight w:val="none"/>
          <w:lang w:eastAsia="zh-CN"/>
        </w:rPr>
        <w:t>单价合同的</w:t>
      </w:r>
      <w:r>
        <w:rPr>
          <w:rFonts w:hint="eastAsia" w:hAnsi="宋体" w:cs="宋体"/>
          <w:color w:val="auto"/>
          <w:highlight w:val="none"/>
        </w:rPr>
        <w:t>总价项目不采用支付分解表的方式计算</w:t>
      </w:r>
      <w:r>
        <w:rPr>
          <w:rFonts w:hint="eastAsia" w:hAnsi="宋体" w:cs="宋体"/>
          <w:color w:val="auto"/>
          <w:highlight w:val="none"/>
          <w:lang w:eastAsia="zh-CN"/>
        </w:rPr>
        <w:t>的，具体按</w:t>
      </w:r>
      <w:r>
        <w:rPr>
          <w:rFonts w:hint="eastAsia" w:hAnsi="宋体" w:cs="宋体"/>
          <w:color w:val="auto"/>
          <w:highlight w:val="none"/>
          <w:lang w:val="en-US" w:eastAsia="zh-CN"/>
        </w:rPr>
        <w:t>12.4.3约定计算</w:t>
      </w:r>
      <w:r>
        <w:rPr>
          <w:rFonts w:hint="eastAsia" w:hAnsi="宋体" w:cs="宋体"/>
          <w:color w:val="auto"/>
          <w:highlight w:val="none"/>
        </w:rPr>
        <w:t>。</w:t>
      </w:r>
    </w:p>
    <w:p w14:paraId="70CF2DC7">
      <w:pPr>
        <w:spacing w:line="360" w:lineRule="auto"/>
        <w:ind w:firstLine="420" w:firstLineChars="200"/>
        <w:jc w:val="left"/>
        <w:rPr>
          <w:rFonts w:hint="eastAsia" w:hAnsi="宋体" w:cs="宋体"/>
          <w:color w:val="auto"/>
          <w:highlight w:val="none"/>
        </w:rPr>
      </w:pPr>
      <w:r>
        <w:rPr>
          <w:rFonts w:hint="eastAsia" w:hAnsi="宋体" w:cs="宋体"/>
          <w:color w:val="auto"/>
          <w:highlight w:val="none"/>
          <w:lang w:val="en-US" w:eastAsia="zh-CN"/>
        </w:rPr>
        <w:t>12.4.7</w:t>
      </w:r>
      <w:r>
        <w:rPr>
          <w:rFonts w:hint="eastAsia" w:hAnsi="宋体" w:cs="宋体"/>
          <w:color w:val="auto"/>
          <w:highlight w:val="none"/>
        </w:rPr>
        <w:t>发承包双方签署确认的进度款工程计量成果不作为工程结算依据。</w:t>
      </w:r>
    </w:p>
    <w:p w14:paraId="2D736DE9">
      <w:pPr>
        <w:spacing w:line="360" w:lineRule="auto"/>
        <w:ind w:firstLine="525" w:firstLineChars="250"/>
        <w:jc w:val="left"/>
        <w:rPr>
          <w:rFonts w:hint="eastAsia" w:hAnsi="宋体" w:cs="宋体"/>
          <w:color w:val="auto"/>
          <w:highlight w:val="none"/>
        </w:rPr>
      </w:pPr>
    </w:p>
    <w:p w14:paraId="34D84D66">
      <w:pPr>
        <w:spacing w:line="360" w:lineRule="auto"/>
        <w:ind w:firstLine="643" w:firstLineChars="200"/>
        <w:jc w:val="left"/>
        <w:outlineLvl w:val="2"/>
        <w:rPr>
          <w:rFonts w:hint="eastAsia" w:hAnsi="宋体" w:cs="宋体"/>
          <w:color w:val="auto"/>
          <w:highlight w:val="none"/>
        </w:rPr>
      </w:pPr>
      <w:r>
        <w:rPr>
          <w:rFonts w:hint="default" w:ascii="Times New Roman" w:hAnsi="Times New Roman" w:eastAsia="黑体" w:cs="Times New Roman"/>
          <w:b/>
          <w:bCs/>
          <w:color w:val="auto"/>
          <w:sz w:val="32"/>
          <w:szCs w:val="32"/>
          <w:highlight w:val="none"/>
          <w:lang w:val="zh-CN" w:eastAsia="zh-CN"/>
        </w:rPr>
        <w:t>1</w:t>
      </w:r>
      <w:r>
        <w:rPr>
          <w:rFonts w:hint="default" w:ascii="Times New Roman" w:hAnsi="Times New Roman" w:eastAsia="黑体" w:cs="Times New Roman"/>
          <w:b/>
          <w:bCs/>
          <w:color w:val="auto"/>
          <w:sz w:val="32"/>
          <w:szCs w:val="32"/>
          <w:highlight w:val="none"/>
          <w:lang w:val="zh-CN"/>
        </w:rPr>
        <w:t>2.5过程结算</w:t>
      </w:r>
    </w:p>
    <w:p w14:paraId="69CBF5B0">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 xml:space="preserve">本工程是否实施过程结算：□是       </w:t>
      </w:r>
      <w:r>
        <w:rPr>
          <w:rFonts w:hint="eastAsia" w:hAnsi="宋体" w:cs="宋体"/>
          <w:color w:val="auto"/>
          <w:highlight w:val="none"/>
          <w:lang w:eastAsia="zh-CN"/>
        </w:rPr>
        <w:t>☑</w:t>
      </w:r>
      <w:r>
        <w:rPr>
          <w:rFonts w:hint="eastAsia" w:hAnsi="宋体" w:cs="宋体"/>
          <w:color w:val="auto"/>
          <w:highlight w:val="none"/>
        </w:rPr>
        <w:t>否。</w:t>
      </w:r>
    </w:p>
    <w:p w14:paraId="4E923232">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 xml:space="preserve">12.5.1过程结算节点划分：                      </w:t>
      </w:r>
    </w:p>
    <w:p w14:paraId="7C2E6231">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发承包双方对项目工程过程结算节点的划分如下：</w:t>
      </w:r>
    </w:p>
    <w:p w14:paraId="05637808">
      <w:pPr>
        <w:numPr>
          <w:ilvl w:val="0"/>
          <w:numId w:val="4"/>
        </w:numPr>
        <w:spacing w:line="360" w:lineRule="auto"/>
        <w:ind w:firstLine="525" w:firstLineChars="250"/>
        <w:jc w:val="left"/>
        <w:rPr>
          <w:rFonts w:hint="eastAsia" w:hAnsi="宋体" w:cs="宋体"/>
          <w:color w:val="auto"/>
          <w:highlight w:val="none"/>
          <w:u w:val="single"/>
        </w:rPr>
      </w:pPr>
      <w:r>
        <w:rPr>
          <w:rFonts w:hint="eastAsia" w:hAnsi="宋体" w:cs="宋体"/>
          <w:color w:val="auto"/>
          <w:highlight w:val="none"/>
          <w:u w:val="single"/>
          <w:lang w:val="en-US" w:eastAsia="zh-CN"/>
        </w:rPr>
        <w:t xml:space="preserve">                                    </w:t>
      </w:r>
    </w:p>
    <w:p w14:paraId="2D0D5BC4">
      <w:pPr>
        <w:numPr>
          <w:ilvl w:val="0"/>
          <w:numId w:val="4"/>
        </w:numPr>
        <w:spacing w:line="360" w:lineRule="auto"/>
        <w:ind w:firstLine="525" w:firstLineChars="250"/>
        <w:jc w:val="left"/>
        <w:rPr>
          <w:rFonts w:hint="eastAsia" w:hAnsi="宋体" w:cs="宋体"/>
          <w:color w:val="auto"/>
          <w:highlight w:val="none"/>
        </w:rPr>
      </w:pPr>
      <w:r>
        <w:rPr>
          <w:rFonts w:hint="eastAsia" w:hAnsi="宋体" w:cs="宋体"/>
          <w:color w:val="auto"/>
          <w:highlight w:val="none"/>
          <w:u w:val="single"/>
          <w:lang w:val="en-US" w:eastAsia="zh-CN"/>
        </w:rPr>
        <w:t xml:space="preserve">                                    </w:t>
      </w:r>
    </w:p>
    <w:p w14:paraId="3D46B734">
      <w:pPr>
        <w:numPr>
          <w:ilvl w:val="0"/>
          <w:numId w:val="4"/>
        </w:numPr>
        <w:spacing w:line="360" w:lineRule="auto"/>
        <w:ind w:firstLine="525" w:firstLineChars="250"/>
        <w:jc w:val="left"/>
        <w:rPr>
          <w:rFonts w:hint="eastAsia" w:hAnsi="宋体" w:cs="宋体"/>
          <w:color w:val="auto"/>
          <w:highlight w:val="none"/>
          <w:u w:val="single"/>
        </w:rPr>
      </w:pPr>
      <w:r>
        <w:rPr>
          <w:rFonts w:hint="eastAsia" w:hAnsi="宋体" w:cs="宋体"/>
          <w:color w:val="auto"/>
          <w:highlight w:val="none"/>
          <w:u w:val="single"/>
          <w:lang w:val="en-US" w:eastAsia="zh-CN"/>
        </w:rPr>
        <w:t xml:space="preserve">                                    </w:t>
      </w:r>
    </w:p>
    <w:p w14:paraId="0D9206F6">
      <w:pPr>
        <w:numPr>
          <w:ilvl w:val="0"/>
          <w:numId w:val="4"/>
        </w:numPr>
        <w:spacing w:line="360" w:lineRule="auto"/>
        <w:ind w:firstLine="525" w:firstLineChars="250"/>
        <w:jc w:val="left"/>
        <w:rPr>
          <w:rFonts w:hint="eastAsia" w:hAnsi="宋体" w:cs="宋体"/>
          <w:color w:val="auto"/>
          <w:highlight w:val="none"/>
          <w:u w:val="single"/>
        </w:rPr>
      </w:pPr>
      <w:r>
        <w:rPr>
          <w:rFonts w:hint="eastAsia" w:hAnsi="宋体" w:cs="宋体"/>
          <w:color w:val="auto"/>
          <w:highlight w:val="none"/>
          <w:u w:val="single"/>
          <w:lang w:val="en-US" w:eastAsia="zh-CN"/>
        </w:rPr>
        <w:t xml:space="preserve">                                    </w:t>
      </w:r>
    </w:p>
    <w:p w14:paraId="5229D431">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划分提示</w:t>
      </w:r>
      <w:r>
        <w:rPr>
          <w:rFonts w:hint="eastAsia" w:hAnsi="宋体" w:cs="宋体"/>
          <w:color w:val="auto"/>
          <w:highlight w:val="none"/>
          <w:lang w:eastAsia="zh-CN"/>
        </w:rPr>
        <w:t>：</w:t>
      </w:r>
      <w:r>
        <w:rPr>
          <w:rFonts w:hint="eastAsia" w:hAnsi="宋体" w:cs="宋体"/>
          <w:color w:val="auto"/>
          <w:highlight w:val="none"/>
        </w:rPr>
        <w:t>发承包双方可根据项目大小合理划分，房屋建筑工程施工过程结算节点可分为土方开挖及基坑支护、桩基工程、地下室工程、地上主体结构工程（可分段）和装饰装修及安装工程（可分专业）等。市政基础设施建筑工程施工过程结算节点可采用分段、分单项或分专业合理划分。</w:t>
      </w:r>
    </w:p>
    <w:p w14:paraId="2FE27070">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12.5.2过程结算程序</w:t>
      </w:r>
    </w:p>
    <w:p w14:paraId="797505E1">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12.5.2.1过程结算应在结算节点工程质量验收合格后进行。</w:t>
      </w:r>
    </w:p>
    <w:p w14:paraId="10A2666D">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12.5.2.2发承包双方选择以下第</w:t>
      </w:r>
      <w:r>
        <w:rPr>
          <w:rFonts w:hint="eastAsia" w:hAnsi="宋体" w:cs="宋体"/>
          <w:color w:val="auto"/>
          <w:highlight w:val="none"/>
          <w:u w:val="single"/>
        </w:rPr>
        <w:t xml:space="preserve">    </w:t>
      </w:r>
      <w:r>
        <w:rPr>
          <w:rFonts w:hint="eastAsia" w:hAnsi="宋体" w:cs="宋体"/>
          <w:color w:val="auto"/>
          <w:highlight w:val="none"/>
        </w:rPr>
        <w:t>种方式完成工程项目的过程结算：</w:t>
      </w:r>
    </w:p>
    <w:p w14:paraId="4AB6F5EF">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（1</w:t>
      </w:r>
      <w:r>
        <w:rPr>
          <w:rFonts w:hint="eastAsia" w:hAnsi="宋体" w:cs="宋体"/>
          <w:color w:val="auto"/>
          <w:highlight w:val="none"/>
          <w:lang w:eastAsia="zh-CN"/>
        </w:rPr>
        <w:t>）</w:t>
      </w:r>
      <w:r>
        <w:rPr>
          <w:rFonts w:hint="eastAsia" w:hAnsi="宋体" w:cs="宋体"/>
          <w:color w:val="auto"/>
          <w:highlight w:val="none"/>
        </w:rPr>
        <w:t>合同未约定竣工结算以财政部门意见为准时，承包方应在施工过程结算节点工程验收合格的</w:t>
      </w:r>
      <w:r>
        <w:rPr>
          <w:rFonts w:hint="eastAsia" w:hAnsi="宋体" w:cs="宋体"/>
          <w:color w:val="auto"/>
          <w:highlight w:val="none"/>
          <w:u w:val="single"/>
        </w:rPr>
        <w:t xml:space="preserve">    </w:t>
      </w:r>
      <w:r>
        <w:rPr>
          <w:rFonts w:hint="eastAsia" w:hAnsi="宋体" w:cs="宋体"/>
          <w:color w:val="auto"/>
          <w:highlight w:val="none"/>
        </w:rPr>
        <w:t>日内（根据过程结算节点工程量约定，但不得超过50天）向发包方递交完整的施工过程结算文件及相应结算资料；发包方收到上述文件资料后应在</w:t>
      </w:r>
      <w:r>
        <w:rPr>
          <w:rFonts w:hint="eastAsia" w:hAnsi="宋体" w:cs="宋体"/>
          <w:color w:val="auto"/>
          <w:highlight w:val="none"/>
          <w:u w:val="single"/>
        </w:rPr>
        <w:t xml:space="preserve">   </w:t>
      </w:r>
      <w:r>
        <w:rPr>
          <w:rFonts w:hint="eastAsia" w:hAnsi="宋体" w:cs="宋体"/>
          <w:color w:val="auto"/>
          <w:highlight w:val="none"/>
        </w:rPr>
        <w:t>日内（根据过程结算节点工程量约定，但审核时限不得超过附表规定的时间）完成施工过程结算的核对、确认。因发包方原因逾期未完成审核或已完成审核但是逾期向承包方提出异议的，可视同发包方认可承包方报送的施工过程结算文件。因承包方原因未在约定期限内 提交施工过程结算文件，发包方可以依据已有资料自行开展施工过程结算活动。</w:t>
      </w:r>
    </w:p>
    <w:p w14:paraId="1AB56479">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施工过程结算发包方审核时限：</w:t>
      </w:r>
    </w:p>
    <w:tbl>
      <w:tblPr>
        <w:tblStyle w:val="41"/>
        <w:tblW w:w="94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3"/>
        <w:gridCol w:w="3049"/>
      </w:tblGrid>
      <w:tr w14:paraId="6063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3" w:type="dxa"/>
            <w:noWrap w:val="0"/>
            <w:vAlign w:val="center"/>
          </w:tcPr>
          <w:p w14:paraId="59CBB4FF">
            <w:pPr>
              <w:pStyle w:val="138"/>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过程结算金额</w:t>
            </w:r>
          </w:p>
        </w:tc>
        <w:tc>
          <w:tcPr>
            <w:tcW w:w="3049" w:type="dxa"/>
            <w:noWrap w:val="0"/>
            <w:vAlign w:val="center"/>
          </w:tcPr>
          <w:p w14:paraId="6A498BA7">
            <w:pPr>
              <w:pStyle w:val="138"/>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审核时间</w:t>
            </w:r>
          </w:p>
        </w:tc>
      </w:tr>
      <w:tr w14:paraId="4ADF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3" w:type="dxa"/>
            <w:noWrap w:val="0"/>
            <w:vAlign w:val="center"/>
          </w:tcPr>
          <w:p w14:paraId="73CC18D5">
            <w:pPr>
              <w:pStyle w:val="138"/>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500</w:t>
            </w:r>
            <w:r>
              <w:rPr>
                <w:rFonts w:hint="eastAsia" w:ascii="Times New Roman" w:cs="Times New Roman"/>
                <w:color w:val="auto"/>
                <w:kern w:val="2"/>
                <w:sz w:val="21"/>
                <w:szCs w:val="21"/>
                <w:highlight w:val="none"/>
                <w:lang w:val="en-US" w:eastAsia="zh-CN" w:bidi="ar-SA"/>
              </w:rPr>
              <w:t>万元以下</w:t>
            </w:r>
          </w:p>
        </w:tc>
        <w:tc>
          <w:tcPr>
            <w:tcW w:w="3049" w:type="dxa"/>
            <w:noWrap w:val="0"/>
            <w:vAlign w:val="center"/>
          </w:tcPr>
          <w:p w14:paraId="356D02F0">
            <w:pPr>
              <w:pStyle w:val="138"/>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20</w:t>
            </w:r>
            <w:r>
              <w:rPr>
                <w:rFonts w:hint="eastAsia" w:ascii="Times New Roman" w:cs="Times New Roman"/>
                <w:color w:val="auto"/>
                <w:kern w:val="2"/>
                <w:sz w:val="21"/>
                <w:szCs w:val="21"/>
                <w:highlight w:val="none"/>
                <w:lang w:val="en-US" w:eastAsia="zh-CN" w:bidi="ar-SA"/>
              </w:rPr>
              <w:t>天</w:t>
            </w:r>
          </w:p>
        </w:tc>
      </w:tr>
      <w:tr w14:paraId="35F0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3" w:type="dxa"/>
            <w:noWrap w:val="0"/>
            <w:vAlign w:val="center"/>
          </w:tcPr>
          <w:p w14:paraId="5C9093D0">
            <w:pPr>
              <w:pStyle w:val="138"/>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500</w:t>
            </w:r>
            <w:r>
              <w:rPr>
                <w:rFonts w:hint="eastAsia" w:ascii="Times New Roman" w:cs="Times New Roman"/>
                <w:color w:val="auto"/>
                <w:kern w:val="2"/>
                <w:sz w:val="21"/>
                <w:szCs w:val="21"/>
                <w:highlight w:val="none"/>
                <w:lang w:val="en-US" w:eastAsia="zh-CN" w:bidi="ar-SA"/>
              </w:rPr>
              <w:t>万元</w:t>
            </w:r>
            <w:r>
              <w:rPr>
                <w:rFonts w:hint="default" w:ascii="Times New Roman" w:cs="Times New Roman"/>
                <w:color w:val="auto"/>
                <w:kern w:val="2"/>
                <w:sz w:val="21"/>
                <w:szCs w:val="21"/>
                <w:highlight w:val="none"/>
                <w:lang w:val="en-US" w:eastAsia="zh-CN" w:bidi="ar-SA"/>
              </w:rPr>
              <w:t>-2000</w:t>
            </w:r>
            <w:r>
              <w:rPr>
                <w:rFonts w:hint="eastAsia" w:ascii="Times New Roman" w:cs="Times New Roman"/>
                <w:color w:val="auto"/>
                <w:kern w:val="2"/>
                <w:sz w:val="21"/>
                <w:szCs w:val="21"/>
                <w:highlight w:val="none"/>
                <w:lang w:val="en-US" w:eastAsia="zh-CN" w:bidi="ar-SA"/>
              </w:rPr>
              <w:t>万元</w:t>
            </w:r>
          </w:p>
        </w:tc>
        <w:tc>
          <w:tcPr>
            <w:tcW w:w="3049" w:type="dxa"/>
            <w:noWrap w:val="0"/>
            <w:vAlign w:val="center"/>
          </w:tcPr>
          <w:p w14:paraId="621A723A">
            <w:pPr>
              <w:pStyle w:val="138"/>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30</w:t>
            </w:r>
            <w:r>
              <w:rPr>
                <w:rFonts w:hint="eastAsia" w:ascii="Times New Roman" w:cs="Times New Roman"/>
                <w:color w:val="auto"/>
                <w:kern w:val="2"/>
                <w:sz w:val="21"/>
                <w:szCs w:val="21"/>
                <w:highlight w:val="none"/>
                <w:lang w:val="en-US" w:eastAsia="zh-CN" w:bidi="ar-SA"/>
              </w:rPr>
              <w:t>天</w:t>
            </w:r>
          </w:p>
        </w:tc>
      </w:tr>
      <w:tr w14:paraId="6460B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3" w:type="dxa"/>
            <w:noWrap w:val="0"/>
            <w:vAlign w:val="center"/>
          </w:tcPr>
          <w:p w14:paraId="106F9968">
            <w:pPr>
              <w:pStyle w:val="138"/>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2000</w:t>
            </w:r>
            <w:r>
              <w:rPr>
                <w:rFonts w:hint="eastAsia" w:ascii="Times New Roman" w:cs="Times New Roman"/>
                <w:color w:val="auto"/>
                <w:kern w:val="2"/>
                <w:sz w:val="21"/>
                <w:szCs w:val="21"/>
                <w:highlight w:val="none"/>
                <w:lang w:val="en-US" w:eastAsia="zh-CN" w:bidi="ar-SA"/>
              </w:rPr>
              <w:t>万元</w:t>
            </w:r>
            <w:r>
              <w:rPr>
                <w:rFonts w:hint="default" w:ascii="Times New Roman" w:cs="Times New Roman"/>
                <w:color w:val="auto"/>
                <w:kern w:val="2"/>
                <w:sz w:val="21"/>
                <w:szCs w:val="21"/>
                <w:highlight w:val="none"/>
                <w:lang w:val="en-US" w:eastAsia="zh-CN" w:bidi="ar-SA"/>
              </w:rPr>
              <w:t>-5000</w:t>
            </w:r>
            <w:r>
              <w:rPr>
                <w:rFonts w:hint="eastAsia" w:ascii="Times New Roman" w:cs="Times New Roman"/>
                <w:color w:val="auto"/>
                <w:kern w:val="2"/>
                <w:sz w:val="21"/>
                <w:szCs w:val="21"/>
                <w:highlight w:val="none"/>
                <w:lang w:val="en-US" w:eastAsia="zh-CN" w:bidi="ar-SA"/>
              </w:rPr>
              <w:t>万元</w:t>
            </w:r>
          </w:p>
        </w:tc>
        <w:tc>
          <w:tcPr>
            <w:tcW w:w="3049" w:type="dxa"/>
            <w:noWrap w:val="0"/>
            <w:vAlign w:val="center"/>
          </w:tcPr>
          <w:p w14:paraId="67AA8618">
            <w:pPr>
              <w:pStyle w:val="138"/>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45</w:t>
            </w:r>
            <w:r>
              <w:rPr>
                <w:rFonts w:hint="eastAsia" w:ascii="Times New Roman" w:cs="Times New Roman"/>
                <w:color w:val="auto"/>
                <w:kern w:val="2"/>
                <w:sz w:val="21"/>
                <w:szCs w:val="21"/>
                <w:highlight w:val="none"/>
                <w:lang w:val="en-US" w:eastAsia="zh-CN" w:bidi="ar-SA"/>
              </w:rPr>
              <w:t>天</w:t>
            </w:r>
          </w:p>
        </w:tc>
      </w:tr>
      <w:tr w14:paraId="56D6E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3" w:type="dxa"/>
            <w:noWrap w:val="0"/>
            <w:vAlign w:val="center"/>
          </w:tcPr>
          <w:p w14:paraId="0C0EE4CA">
            <w:pPr>
              <w:pStyle w:val="138"/>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5000</w:t>
            </w:r>
            <w:r>
              <w:rPr>
                <w:rFonts w:hint="eastAsia" w:ascii="Times New Roman" w:cs="Times New Roman"/>
                <w:color w:val="auto"/>
                <w:kern w:val="2"/>
                <w:sz w:val="21"/>
                <w:szCs w:val="21"/>
                <w:highlight w:val="none"/>
                <w:lang w:val="en-US" w:eastAsia="zh-CN" w:bidi="ar-SA"/>
              </w:rPr>
              <w:t>万元以上</w:t>
            </w:r>
          </w:p>
        </w:tc>
        <w:tc>
          <w:tcPr>
            <w:tcW w:w="3049" w:type="dxa"/>
            <w:noWrap w:val="0"/>
            <w:vAlign w:val="center"/>
          </w:tcPr>
          <w:p w14:paraId="31A9EFCD">
            <w:pPr>
              <w:pStyle w:val="138"/>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60</w:t>
            </w:r>
            <w:r>
              <w:rPr>
                <w:rFonts w:hint="eastAsia" w:ascii="Times New Roman" w:cs="Times New Roman"/>
                <w:color w:val="auto"/>
                <w:kern w:val="2"/>
                <w:sz w:val="21"/>
                <w:szCs w:val="21"/>
                <w:highlight w:val="none"/>
                <w:lang w:val="en-US" w:eastAsia="zh-CN" w:bidi="ar-SA"/>
              </w:rPr>
              <w:t>天</w:t>
            </w:r>
          </w:p>
        </w:tc>
      </w:tr>
      <w:tr w14:paraId="0B72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3" w:type="dxa"/>
            <w:noWrap w:val="0"/>
            <w:vAlign w:val="center"/>
          </w:tcPr>
          <w:p w14:paraId="20C96696">
            <w:pPr>
              <w:pStyle w:val="138"/>
              <w:keepNext w:val="0"/>
              <w:keepLines w:val="0"/>
              <w:suppressLineNumbers w:val="0"/>
              <w:spacing w:before="0" w:beforeAutospacing="0" w:after="0" w:afterAutospacing="0" w:line="360" w:lineRule="auto"/>
              <w:ind w:left="420" w:leftChars="200" w:right="0" w:firstLine="0"/>
              <w:jc w:val="both"/>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5000万以上每增加</w:t>
            </w:r>
            <w:r>
              <w:rPr>
                <w:rFonts w:hint="default" w:ascii="Times New Roman" w:cs="Times New Roman"/>
                <w:color w:val="auto"/>
                <w:kern w:val="2"/>
                <w:sz w:val="21"/>
                <w:szCs w:val="21"/>
                <w:highlight w:val="none"/>
                <w:lang w:val="en-US" w:eastAsia="zh-CN" w:bidi="ar-SA"/>
              </w:rPr>
              <w:t>0.5</w:t>
            </w:r>
            <w:r>
              <w:rPr>
                <w:rFonts w:hint="eastAsia" w:ascii="Times New Roman" w:cs="Times New Roman"/>
                <w:color w:val="auto"/>
                <w:kern w:val="2"/>
                <w:sz w:val="21"/>
                <w:szCs w:val="21"/>
                <w:highlight w:val="none"/>
                <w:lang w:val="en-US" w:eastAsia="zh-CN" w:bidi="ar-SA"/>
              </w:rPr>
              <w:t>亿（不足0.5亿不增加）</w:t>
            </w:r>
          </w:p>
        </w:tc>
        <w:tc>
          <w:tcPr>
            <w:tcW w:w="3049" w:type="dxa"/>
            <w:noWrap w:val="0"/>
            <w:vAlign w:val="center"/>
          </w:tcPr>
          <w:p w14:paraId="2273EEFD">
            <w:pPr>
              <w:pStyle w:val="138"/>
              <w:keepNext w:val="0"/>
              <w:keepLines w:val="0"/>
              <w:suppressLineNumbers w:val="0"/>
              <w:spacing w:before="0" w:beforeAutospacing="0" w:after="0" w:afterAutospacing="0" w:line="360" w:lineRule="auto"/>
              <w:ind w:left="420" w:leftChars="200" w:right="0" w:firstLine="0"/>
              <w:jc w:val="both"/>
              <w:rPr>
                <w:rFonts w:hint="eastAsia"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增加10天</w:t>
            </w:r>
          </w:p>
        </w:tc>
      </w:tr>
    </w:tbl>
    <w:p w14:paraId="3052B0C3">
      <w:pPr>
        <w:spacing w:line="360" w:lineRule="auto"/>
        <w:ind w:firstLine="525" w:firstLineChars="250"/>
        <w:jc w:val="left"/>
        <w:rPr>
          <w:rFonts w:hint="eastAsia" w:hAnsi="宋体" w:cs="宋体"/>
          <w:color w:val="auto"/>
          <w:highlight w:val="none"/>
        </w:rPr>
      </w:pPr>
    </w:p>
    <w:p w14:paraId="7052F6EB">
      <w:pPr>
        <w:spacing w:line="360" w:lineRule="auto"/>
        <w:ind w:firstLine="0" w:firstLineChars="0"/>
        <w:jc w:val="left"/>
        <w:rPr>
          <w:rFonts w:hint="eastAsia" w:hAnsi="宋体" w:cs="宋体"/>
          <w:color w:val="auto"/>
          <w:highlight w:val="none"/>
        </w:rPr>
      </w:pPr>
      <w:r>
        <w:rPr>
          <w:rFonts w:hint="default" w:hAnsi="宋体" w:cs="宋体"/>
          <w:color w:val="auto"/>
          <w:highlight w:val="none"/>
          <w:lang w:val="en"/>
        </w:rPr>
        <w:t xml:space="preserve">    </w:t>
      </w:r>
      <w:r>
        <w:rPr>
          <w:rFonts w:hint="eastAsia" w:hAnsi="宋体" w:cs="宋体"/>
          <w:color w:val="auto"/>
          <w:highlight w:val="none"/>
        </w:rPr>
        <w:t>（2）合同约定竣工结算以财政部门意见为准时，承包方应在施工过程结算节点工程验收合格后的</w:t>
      </w:r>
      <w:r>
        <w:rPr>
          <w:rFonts w:hint="eastAsia" w:hAnsi="宋体" w:cs="宋体"/>
          <w:color w:val="auto"/>
          <w:highlight w:val="none"/>
          <w:u w:val="single"/>
        </w:rPr>
        <w:t xml:space="preserve">    </w:t>
      </w:r>
      <w:r>
        <w:rPr>
          <w:rFonts w:hint="eastAsia" w:hAnsi="宋体" w:cs="宋体"/>
          <w:color w:val="auto"/>
          <w:highlight w:val="none"/>
        </w:rPr>
        <w:t>天内（根据过程结算节点工程量约定，但不得超过50天）向发包方递交完整的施工过程结算文件及相应结算资料；发包方和财政部门收到上述文件资料后应在</w:t>
      </w:r>
      <w:r>
        <w:rPr>
          <w:rFonts w:hint="eastAsia" w:hAnsi="宋体" w:cs="宋体"/>
          <w:color w:val="auto"/>
          <w:highlight w:val="none"/>
          <w:u w:val="single"/>
        </w:rPr>
        <w:t xml:space="preserve">   </w:t>
      </w:r>
      <w:r>
        <w:rPr>
          <w:rFonts w:hint="eastAsia" w:hAnsi="宋体" w:cs="宋体"/>
          <w:color w:val="auto"/>
          <w:highlight w:val="none"/>
        </w:rPr>
        <w:t>天内（根据过程结算节点工程量约定，但共同审核时限不得超过附表规定的时间）完成施工过程结算的核对、确认。因发包方和财政部门原因逾期未完成审核或已完成审核但是逾期向承包方提出异议的，应当视同发包方认可承包方报送的施工过程结算文件。因承包方原因未在约定期限内 提交施工过程结算文件，发包方可以依据已有资料自行开展施工过程结算活动。</w:t>
      </w:r>
    </w:p>
    <w:p w14:paraId="48579DC2">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施工过程结算发包方与财政部门共同审核时限</w:t>
      </w:r>
    </w:p>
    <w:tbl>
      <w:tblPr>
        <w:tblStyle w:val="41"/>
        <w:tblW w:w="9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1"/>
        <w:gridCol w:w="2918"/>
      </w:tblGrid>
      <w:tr w14:paraId="3157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1" w:type="dxa"/>
            <w:noWrap w:val="0"/>
            <w:vAlign w:val="center"/>
          </w:tcPr>
          <w:p w14:paraId="4C052D27">
            <w:pPr>
              <w:pStyle w:val="138"/>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过程结算金额</w:t>
            </w:r>
          </w:p>
        </w:tc>
        <w:tc>
          <w:tcPr>
            <w:tcW w:w="2918" w:type="dxa"/>
            <w:noWrap w:val="0"/>
            <w:vAlign w:val="center"/>
          </w:tcPr>
          <w:p w14:paraId="7BD848CE">
            <w:pPr>
              <w:pStyle w:val="138"/>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审核时间</w:t>
            </w:r>
          </w:p>
        </w:tc>
      </w:tr>
      <w:tr w14:paraId="49E3E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1" w:type="dxa"/>
            <w:noWrap w:val="0"/>
            <w:vAlign w:val="center"/>
          </w:tcPr>
          <w:p w14:paraId="22452097">
            <w:pPr>
              <w:pStyle w:val="138"/>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500</w:t>
            </w:r>
            <w:r>
              <w:rPr>
                <w:rFonts w:hint="eastAsia" w:ascii="Times New Roman" w:cs="Times New Roman"/>
                <w:color w:val="auto"/>
                <w:kern w:val="2"/>
                <w:sz w:val="21"/>
                <w:szCs w:val="21"/>
                <w:highlight w:val="none"/>
                <w:lang w:val="en-US" w:eastAsia="zh-CN" w:bidi="ar-SA"/>
              </w:rPr>
              <w:t>万元以下</w:t>
            </w:r>
          </w:p>
        </w:tc>
        <w:tc>
          <w:tcPr>
            <w:tcW w:w="2918" w:type="dxa"/>
            <w:noWrap w:val="0"/>
            <w:vAlign w:val="center"/>
          </w:tcPr>
          <w:p w14:paraId="024E3E44">
            <w:pPr>
              <w:pStyle w:val="138"/>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40天</w:t>
            </w:r>
          </w:p>
        </w:tc>
      </w:tr>
      <w:tr w14:paraId="455EA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1" w:type="dxa"/>
            <w:noWrap w:val="0"/>
            <w:vAlign w:val="center"/>
          </w:tcPr>
          <w:p w14:paraId="32320E42">
            <w:pPr>
              <w:pStyle w:val="138"/>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500</w:t>
            </w:r>
            <w:r>
              <w:rPr>
                <w:rFonts w:hint="eastAsia" w:ascii="Times New Roman" w:cs="Times New Roman"/>
                <w:color w:val="auto"/>
                <w:kern w:val="2"/>
                <w:sz w:val="21"/>
                <w:szCs w:val="21"/>
                <w:highlight w:val="none"/>
                <w:lang w:val="en-US" w:eastAsia="zh-CN" w:bidi="ar-SA"/>
              </w:rPr>
              <w:t>万元</w:t>
            </w:r>
            <w:r>
              <w:rPr>
                <w:rFonts w:hint="default" w:ascii="Times New Roman" w:cs="Times New Roman"/>
                <w:color w:val="auto"/>
                <w:kern w:val="2"/>
                <w:sz w:val="21"/>
                <w:szCs w:val="21"/>
                <w:highlight w:val="none"/>
                <w:lang w:val="en-US" w:eastAsia="zh-CN" w:bidi="ar-SA"/>
              </w:rPr>
              <w:t>-2000</w:t>
            </w:r>
            <w:r>
              <w:rPr>
                <w:rFonts w:hint="eastAsia" w:ascii="Times New Roman" w:cs="Times New Roman"/>
                <w:color w:val="auto"/>
                <w:kern w:val="2"/>
                <w:sz w:val="21"/>
                <w:szCs w:val="21"/>
                <w:highlight w:val="none"/>
                <w:lang w:val="en-US" w:eastAsia="zh-CN" w:bidi="ar-SA"/>
              </w:rPr>
              <w:t>万元</w:t>
            </w:r>
          </w:p>
        </w:tc>
        <w:tc>
          <w:tcPr>
            <w:tcW w:w="2918" w:type="dxa"/>
            <w:noWrap w:val="0"/>
            <w:vAlign w:val="center"/>
          </w:tcPr>
          <w:p w14:paraId="692493E7">
            <w:pPr>
              <w:pStyle w:val="138"/>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60天</w:t>
            </w:r>
          </w:p>
        </w:tc>
      </w:tr>
      <w:tr w14:paraId="02E5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1" w:type="dxa"/>
            <w:noWrap w:val="0"/>
            <w:vAlign w:val="center"/>
          </w:tcPr>
          <w:p w14:paraId="3DA5DECF">
            <w:pPr>
              <w:pStyle w:val="138"/>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2000</w:t>
            </w:r>
            <w:r>
              <w:rPr>
                <w:rFonts w:hint="eastAsia" w:ascii="Times New Roman" w:cs="Times New Roman"/>
                <w:color w:val="auto"/>
                <w:kern w:val="2"/>
                <w:sz w:val="21"/>
                <w:szCs w:val="21"/>
                <w:highlight w:val="none"/>
                <w:lang w:val="en-US" w:eastAsia="zh-CN" w:bidi="ar-SA"/>
              </w:rPr>
              <w:t>万元</w:t>
            </w:r>
            <w:r>
              <w:rPr>
                <w:rFonts w:hint="default" w:ascii="Times New Roman" w:cs="Times New Roman"/>
                <w:color w:val="auto"/>
                <w:kern w:val="2"/>
                <w:sz w:val="21"/>
                <w:szCs w:val="21"/>
                <w:highlight w:val="none"/>
                <w:lang w:val="en-US" w:eastAsia="zh-CN" w:bidi="ar-SA"/>
              </w:rPr>
              <w:t>-5000</w:t>
            </w:r>
            <w:r>
              <w:rPr>
                <w:rFonts w:hint="eastAsia" w:ascii="Times New Roman" w:cs="Times New Roman"/>
                <w:color w:val="auto"/>
                <w:kern w:val="2"/>
                <w:sz w:val="21"/>
                <w:szCs w:val="21"/>
                <w:highlight w:val="none"/>
                <w:lang w:val="en-US" w:eastAsia="zh-CN" w:bidi="ar-SA"/>
              </w:rPr>
              <w:t>万元</w:t>
            </w:r>
          </w:p>
        </w:tc>
        <w:tc>
          <w:tcPr>
            <w:tcW w:w="2918" w:type="dxa"/>
            <w:noWrap w:val="0"/>
            <w:vAlign w:val="center"/>
          </w:tcPr>
          <w:p w14:paraId="617A6CF7">
            <w:pPr>
              <w:pStyle w:val="138"/>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90天</w:t>
            </w:r>
          </w:p>
        </w:tc>
      </w:tr>
      <w:tr w14:paraId="33AC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1" w:type="dxa"/>
            <w:noWrap w:val="0"/>
            <w:vAlign w:val="center"/>
          </w:tcPr>
          <w:p w14:paraId="04425514">
            <w:pPr>
              <w:pStyle w:val="138"/>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default" w:ascii="Times New Roman" w:cs="Times New Roman"/>
                <w:color w:val="auto"/>
                <w:kern w:val="2"/>
                <w:sz w:val="21"/>
                <w:szCs w:val="21"/>
                <w:highlight w:val="none"/>
                <w:lang w:val="en-US" w:eastAsia="zh-CN" w:bidi="ar-SA"/>
              </w:rPr>
              <w:t>5000</w:t>
            </w:r>
            <w:r>
              <w:rPr>
                <w:rFonts w:hint="eastAsia" w:ascii="Times New Roman" w:cs="Times New Roman"/>
                <w:color w:val="auto"/>
                <w:kern w:val="2"/>
                <w:sz w:val="21"/>
                <w:szCs w:val="21"/>
                <w:highlight w:val="none"/>
                <w:lang w:val="en-US" w:eastAsia="zh-CN" w:bidi="ar-SA"/>
              </w:rPr>
              <w:t>万元以上</w:t>
            </w:r>
          </w:p>
        </w:tc>
        <w:tc>
          <w:tcPr>
            <w:tcW w:w="2918" w:type="dxa"/>
            <w:noWrap w:val="0"/>
            <w:vAlign w:val="center"/>
          </w:tcPr>
          <w:p w14:paraId="109088E8">
            <w:pPr>
              <w:pStyle w:val="138"/>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120天</w:t>
            </w:r>
          </w:p>
        </w:tc>
      </w:tr>
      <w:tr w14:paraId="3149F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101" w:type="dxa"/>
            <w:noWrap w:val="0"/>
            <w:vAlign w:val="center"/>
          </w:tcPr>
          <w:p w14:paraId="3A5C6A0C">
            <w:pPr>
              <w:pStyle w:val="138"/>
              <w:keepNext w:val="0"/>
              <w:keepLines w:val="0"/>
              <w:suppressLineNumbers w:val="0"/>
              <w:spacing w:before="0" w:beforeAutospacing="0" w:after="0" w:afterAutospacing="0" w:line="360" w:lineRule="auto"/>
              <w:ind w:left="0" w:right="0" w:firstLine="620"/>
              <w:rPr>
                <w:rFonts w:hint="default"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5000万以上每增加</w:t>
            </w:r>
            <w:r>
              <w:rPr>
                <w:rFonts w:hint="default" w:ascii="Times New Roman" w:cs="Times New Roman"/>
                <w:color w:val="auto"/>
                <w:kern w:val="2"/>
                <w:sz w:val="21"/>
                <w:szCs w:val="21"/>
                <w:highlight w:val="none"/>
                <w:lang w:val="en-US" w:eastAsia="zh-CN" w:bidi="ar-SA"/>
              </w:rPr>
              <w:t>0.5</w:t>
            </w:r>
            <w:r>
              <w:rPr>
                <w:rFonts w:hint="eastAsia" w:ascii="Times New Roman" w:cs="Times New Roman"/>
                <w:color w:val="auto"/>
                <w:kern w:val="2"/>
                <w:sz w:val="21"/>
                <w:szCs w:val="21"/>
                <w:highlight w:val="none"/>
                <w:lang w:val="en-US" w:eastAsia="zh-CN" w:bidi="ar-SA"/>
              </w:rPr>
              <w:t>亿（不足0.5亿不增加）</w:t>
            </w:r>
          </w:p>
        </w:tc>
        <w:tc>
          <w:tcPr>
            <w:tcW w:w="2918" w:type="dxa"/>
            <w:noWrap w:val="0"/>
            <w:vAlign w:val="center"/>
          </w:tcPr>
          <w:p w14:paraId="7550398C">
            <w:pPr>
              <w:pStyle w:val="138"/>
              <w:keepNext w:val="0"/>
              <w:keepLines w:val="0"/>
              <w:suppressLineNumbers w:val="0"/>
              <w:spacing w:before="0" w:beforeAutospacing="0" w:after="0" w:afterAutospacing="0" w:line="360" w:lineRule="auto"/>
              <w:ind w:left="0" w:right="0" w:firstLine="620"/>
              <w:rPr>
                <w:rFonts w:hint="eastAsia" w:asci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增加20天</w:t>
            </w:r>
          </w:p>
        </w:tc>
      </w:tr>
    </w:tbl>
    <w:p w14:paraId="519CB9FA">
      <w:pPr>
        <w:spacing w:line="360" w:lineRule="auto"/>
        <w:ind w:firstLine="525" w:firstLineChars="250"/>
        <w:jc w:val="left"/>
        <w:rPr>
          <w:rFonts w:hint="eastAsia" w:hAnsi="宋体" w:cs="宋体"/>
          <w:color w:val="auto"/>
          <w:highlight w:val="none"/>
        </w:rPr>
      </w:pPr>
    </w:p>
    <w:p w14:paraId="7161A461">
      <w:pPr>
        <w:spacing w:line="360" w:lineRule="auto"/>
        <w:ind w:firstLine="525" w:firstLineChars="250"/>
        <w:jc w:val="left"/>
        <w:rPr>
          <w:rFonts w:hint="eastAsia" w:hAnsi="宋体" w:cs="宋体"/>
          <w:color w:val="auto"/>
          <w:highlight w:val="none"/>
        </w:rPr>
      </w:pPr>
    </w:p>
    <w:p w14:paraId="5A60A558">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 xml:space="preserve">12.5.3过程结算文件要求 </w:t>
      </w:r>
    </w:p>
    <w:p w14:paraId="1846DB72">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过程结算文件应按竣工结算文件要求进行编制，若合同约定竣工结算以财政部门意见为准，过程结算文件应当按照财政部门的要求进行编制。资料包括施工合同、补充协议、中标通知书、施工图纸、工程招标 投标文件、施工方案、工程量及其相应单价以及各项费用计算、经确认的工程变更、现场签证、工程索赔、扣款扣费文件等。过程结算文件经发承包双方签字认可或符合</w:t>
      </w:r>
      <w:r>
        <w:rPr>
          <w:rFonts w:hint="eastAsia" w:hAnsi="宋体" w:cs="宋体"/>
          <w:color w:val="auto"/>
          <w:highlight w:val="none"/>
          <w:lang w:eastAsia="zh-CN"/>
        </w:rPr>
        <w:t>“</w:t>
      </w:r>
      <w:r>
        <w:rPr>
          <w:rFonts w:hint="eastAsia" w:hAnsi="宋体" w:cs="宋体"/>
          <w:color w:val="auto"/>
          <w:highlight w:val="none"/>
        </w:rPr>
        <w:t>视同认可</w:t>
      </w:r>
      <w:r>
        <w:rPr>
          <w:rFonts w:hint="eastAsia" w:hAnsi="宋体" w:cs="宋体"/>
          <w:color w:val="auto"/>
          <w:highlight w:val="none"/>
          <w:lang w:eastAsia="zh-CN"/>
        </w:rPr>
        <w:t>”</w:t>
      </w:r>
      <w:r>
        <w:rPr>
          <w:rFonts w:hint="eastAsia" w:hAnsi="宋体" w:cs="宋体"/>
          <w:color w:val="auto"/>
          <w:highlight w:val="none"/>
        </w:rPr>
        <w:t>的条件后，直接作为编制竣工结算文件的依据，结算时发包人不得对上述过程结算文件重复审核。过程结算款</w:t>
      </w:r>
      <w:r>
        <w:rPr>
          <w:rFonts w:hint="eastAsia" w:ascii="宋体" w:hAnsi="宋体" w:cs="宋体"/>
          <w:color w:val="auto"/>
          <w:szCs w:val="21"/>
          <w:highlight w:val="none"/>
          <w:lang w:val="zh-TW"/>
        </w:rPr>
        <w:t>支付申请应</w:t>
      </w:r>
      <w:r>
        <w:rPr>
          <w:rFonts w:hint="eastAsia" w:ascii="宋体" w:hAnsi="宋体" w:cs="宋体"/>
          <w:color w:val="auto"/>
          <w:szCs w:val="21"/>
          <w:highlight w:val="none"/>
          <w:lang w:val="zh-TW" w:eastAsia="zh-CN"/>
        </w:rPr>
        <w:t>按</w:t>
      </w:r>
      <w:r>
        <w:rPr>
          <w:rFonts w:hint="default" w:ascii="宋体" w:hAnsi="宋体" w:cs="宋体"/>
          <w:color w:val="auto"/>
          <w:szCs w:val="21"/>
          <w:highlight w:val="none"/>
          <w:lang w:val="en" w:eastAsia="zh-CN"/>
        </w:rPr>
        <w:t>附</w:t>
      </w:r>
      <w:r>
        <w:rPr>
          <w:rFonts w:hint="eastAsia" w:ascii="宋体" w:hAnsi="宋体" w:cs="宋体"/>
          <w:color w:val="auto"/>
          <w:szCs w:val="21"/>
          <w:highlight w:val="none"/>
          <w:lang w:val="en" w:eastAsia="zh-CN"/>
        </w:rPr>
        <w:t>件</w:t>
      </w:r>
      <w:r>
        <w:rPr>
          <w:rFonts w:hint="eastAsia" w:ascii="宋体" w:hAnsi="宋体" w:cs="宋体"/>
          <w:color w:val="auto"/>
          <w:szCs w:val="21"/>
          <w:highlight w:val="none"/>
          <w:lang w:val="en-US" w:eastAsia="zh-CN"/>
        </w:rPr>
        <w:t>11进度款支付申请（核准）表填写</w:t>
      </w:r>
      <w:r>
        <w:rPr>
          <w:rFonts w:hint="eastAsia" w:hAnsi="宋体" w:cs="宋体"/>
          <w:color w:val="auto"/>
          <w:highlight w:val="none"/>
        </w:rPr>
        <w:t>。</w:t>
      </w:r>
    </w:p>
    <w:p w14:paraId="2DDEC23B">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12.5.4过程结算支付时间及支付比例</w:t>
      </w:r>
    </w:p>
    <w:p w14:paraId="7F0B79EE">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（1）支付时间：在发承包双方签字确认过程结算文件后</w:t>
      </w:r>
      <w:r>
        <w:rPr>
          <w:rFonts w:hint="eastAsia" w:hAnsi="宋体" w:cs="宋体"/>
          <w:color w:val="auto"/>
          <w:highlight w:val="none"/>
          <w:u w:val="single"/>
        </w:rPr>
        <w:t xml:space="preserve">  </w:t>
      </w:r>
      <w:r>
        <w:rPr>
          <w:rFonts w:hint="eastAsia" w:hAnsi="宋体" w:cs="宋体"/>
          <w:color w:val="auto"/>
          <w:highlight w:val="none"/>
        </w:rPr>
        <w:t>天内按照合同约定的付款比例支付；</w:t>
      </w:r>
    </w:p>
    <w:p w14:paraId="495136A8">
      <w:pPr>
        <w:spacing w:line="360" w:lineRule="auto"/>
        <w:ind w:firstLine="525" w:firstLineChars="250"/>
        <w:jc w:val="left"/>
        <w:rPr>
          <w:rFonts w:hint="eastAsia" w:hAnsi="宋体" w:cs="宋体"/>
          <w:color w:val="auto"/>
          <w:highlight w:val="none"/>
        </w:rPr>
      </w:pPr>
      <w:r>
        <w:rPr>
          <w:rFonts w:hint="eastAsia" w:hAnsi="宋体" w:cs="宋体"/>
          <w:color w:val="auto"/>
          <w:highlight w:val="none"/>
        </w:rPr>
        <w:t>（2）支付比例：按过程结算工程造价的</w:t>
      </w:r>
      <w:r>
        <w:rPr>
          <w:rFonts w:hint="eastAsia" w:hAnsi="宋体" w:cs="宋体"/>
          <w:color w:val="auto"/>
          <w:highlight w:val="none"/>
          <w:u w:val="single"/>
        </w:rPr>
        <w:t xml:space="preserve">   </w:t>
      </w:r>
      <w:r>
        <w:rPr>
          <w:rFonts w:hint="eastAsia" w:hAnsi="宋体" w:cs="宋体"/>
          <w:color w:val="auto"/>
          <w:highlight w:val="none"/>
        </w:rPr>
        <w:t>%（取值区间</w:t>
      </w:r>
      <w:r>
        <w:rPr>
          <w:rFonts w:hint="eastAsia" w:hAnsi="宋体" w:cs="宋体"/>
          <w:color w:val="auto"/>
          <w:highlight w:val="none"/>
          <w:lang w:eastAsia="zh-CN"/>
        </w:rPr>
        <w:t>90%—97%</w:t>
      </w:r>
      <w:r>
        <w:rPr>
          <w:rFonts w:hint="eastAsia" w:hAnsi="宋体" w:cs="宋体"/>
          <w:color w:val="auto"/>
          <w:highlight w:val="none"/>
        </w:rPr>
        <w:t>）</w:t>
      </w:r>
    </w:p>
    <w:bookmarkEnd w:id="1340"/>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14:paraId="6C210F90">
      <w:pPr>
        <w:pStyle w:val="4"/>
        <w:rPr>
          <w:color w:val="auto"/>
          <w:highlight w:val="none"/>
        </w:rPr>
      </w:pPr>
      <w:bookmarkStart w:id="1607" w:name="_Toc407135256"/>
      <w:bookmarkStart w:id="1608" w:name="_Toc78449842"/>
      <w:bookmarkStart w:id="1609" w:name="_Toc389065318"/>
      <w:bookmarkStart w:id="1610" w:name="_Toc351203645"/>
      <w:bookmarkStart w:id="1611" w:name="_Toc728899116"/>
      <w:bookmarkStart w:id="1612" w:name="_Toc373478400"/>
      <w:bookmarkStart w:id="1613" w:name="_Toc29308"/>
      <w:bookmarkStart w:id="1614" w:name="_Toc373227753"/>
      <w:bookmarkStart w:id="1615" w:name="_Toc297123564"/>
      <w:bookmarkStart w:id="1616" w:name="_Toc300935015"/>
      <w:bookmarkStart w:id="1617" w:name="_Toc297216223"/>
      <w:bookmarkStart w:id="1618" w:name="_Toc292559424"/>
      <w:bookmarkStart w:id="1619" w:name="_Toc292559929"/>
      <w:bookmarkStart w:id="1620" w:name="_Toc296346720"/>
      <w:bookmarkStart w:id="1621" w:name="_Toc296944558"/>
      <w:bookmarkStart w:id="1622" w:name="_Toc296891259"/>
      <w:bookmarkStart w:id="1623" w:name="_Toc296891047"/>
      <w:bookmarkStart w:id="1624" w:name="_Toc296503219"/>
      <w:bookmarkStart w:id="1625" w:name="_Toc297048405"/>
      <w:bookmarkStart w:id="1626" w:name="_Toc312678053"/>
      <w:bookmarkStart w:id="1627" w:name="_Toc296347218"/>
      <w:bookmarkStart w:id="1628" w:name="_Toc304295593"/>
      <w:bookmarkStart w:id="1629" w:name="_Toc297120519"/>
      <w:bookmarkStart w:id="1630" w:name="_Toc303539172"/>
      <w:r>
        <w:rPr>
          <w:color w:val="auto"/>
          <w:highlight w:val="none"/>
        </w:rPr>
        <w:t xml:space="preserve">13. </w:t>
      </w:r>
      <w:r>
        <w:rPr>
          <w:rFonts w:hint="eastAsia" w:cs="黑体"/>
          <w:color w:val="auto"/>
          <w:highlight w:val="none"/>
        </w:rPr>
        <w:t>验收和工程试车</w:t>
      </w:r>
      <w:bookmarkEnd w:id="1607"/>
      <w:bookmarkEnd w:id="1608"/>
      <w:bookmarkEnd w:id="1609"/>
      <w:bookmarkEnd w:id="1610"/>
      <w:bookmarkEnd w:id="1611"/>
      <w:bookmarkEnd w:id="1612"/>
      <w:bookmarkEnd w:id="1613"/>
      <w:bookmarkEnd w:id="1614"/>
    </w:p>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14:paraId="6E35BC41">
      <w:pPr>
        <w:pStyle w:val="5"/>
        <w:rPr>
          <w:color w:val="auto"/>
          <w:highlight w:val="none"/>
        </w:rPr>
      </w:pPr>
      <w:bookmarkStart w:id="1631" w:name="_Toc389065319"/>
      <w:bookmarkStart w:id="1632" w:name="_Toc740353520"/>
      <w:bookmarkStart w:id="1633" w:name="_Toc26423"/>
      <w:bookmarkStart w:id="1634" w:name="_Toc373227754"/>
      <w:bookmarkStart w:id="1635" w:name="_Toc373478401"/>
      <w:bookmarkStart w:id="1636" w:name="_Toc78449843"/>
      <w:bookmarkStart w:id="1637" w:name="_Toc23263"/>
      <w:bookmarkStart w:id="1638" w:name="_Toc407135257"/>
      <w:r>
        <w:rPr>
          <w:color w:val="auto"/>
          <w:highlight w:val="none"/>
        </w:rPr>
        <w:t xml:space="preserve">13.1 </w:t>
      </w:r>
      <w:r>
        <w:rPr>
          <w:rFonts w:hint="eastAsia" w:cs="黑体"/>
          <w:color w:val="auto"/>
          <w:highlight w:val="none"/>
        </w:rPr>
        <w:t>分部分项工程验收</w:t>
      </w:r>
      <w:bookmarkEnd w:id="1631"/>
      <w:bookmarkEnd w:id="1632"/>
      <w:bookmarkEnd w:id="1633"/>
      <w:bookmarkEnd w:id="1634"/>
      <w:bookmarkEnd w:id="1635"/>
      <w:bookmarkEnd w:id="1636"/>
      <w:bookmarkEnd w:id="1637"/>
      <w:bookmarkEnd w:id="1638"/>
    </w:p>
    <w:p w14:paraId="6DB671F7">
      <w:pPr>
        <w:spacing w:line="360" w:lineRule="auto"/>
        <w:ind w:firstLine="420" w:firstLineChars="200"/>
        <w:jc w:val="left"/>
        <w:rPr>
          <w:color w:val="auto"/>
          <w:highlight w:val="none"/>
        </w:rPr>
      </w:pPr>
      <w:r>
        <w:rPr>
          <w:color w:val="auto"/>
          <w:highlight w:val="none"/>
        </w:rPr>
        <w:t>13.1.2</w:t>
      </w:r>
      <w:r>
        <w:rPr>
          <w:rFonts w:hint="eastAsia" w:hAnsi="宋体" w:cs="宋体"/>
          <w:color w:val="auto"/>
          <w:highlight w:val="none"/>
        </w:rPr>
        <w:t>监理人不能按时进行验收时，应提前</w:t>
      </w:r>
      <w:r>
        <w:rPr>
          <w:color w:val="auto"/>
          <w:highlight w:val="none"/>
          <w:u w:val="single"/>
        </w:rPr>
        <w:t xml:space="preserve">   </w:t>
      </w:r>
      <w:r>
        <w:rPr>
          <w:rFonts w:hint="eastAsia"/>
          <w:color w:val="auto"/>
          <w:highlight w:val="none"/>
          <w:u w:val="single"/>
          <w:lang w:val="en-US" w:eastAsia="zh-CN"/>
        </w:rPr>
        <w:t>12</w:t>
      </w:r>
      <w:r>
        <w:rPr>
          <w:color w:val="auto"/>
          <w:highlight w:val="none"/>
          <w:u w:val="single"/>
        </w:rPr>
        <w:t xml:space="preserve">    </w:t>
      </w:r>
      <w:r>
        <w:rPr>
          <w:rFonts w:hint="eastAsia" w:hAnsi="宋体" w:cs="宋体"/>
          <w:color w:val="auto"/>
          <w:highlight w:val="none"/>
        </w:rPr>
        <w:t>小时提交书面延期要求。</w:t>
      </w:r>
    </w:p>
    <w:p w14:paraId="5809A150">
      <w:pPr>
        <w:spacing w:line="360" w:lineRule="auto"/>
        <w:ind w:firstLine="420" w:firstLineChars="200"/>
        <w:jc w:val="left"/>
        <w:rPr>
          <w:b/>
          <w:bCs/>
          <w:color w:val="auto"/>
          <w:highlight w:val="none"/>
        </w:rPr>
      </w:pPr>
      <w:r>
        <w:rPr>
          <w:rFonts w:hint="eastAsia" w:hAnsi="宋体" w:cs="宋体"/>
          <w:color w:val="auto"/>
          <w:highlight w:val="none"/>
        </w:rPr>
        <w:t>关于延期最长不得超过：</w:t>
      </w:r>
      <w:r>
        <w:rPr>
          <w:color w:val="auto"/>
          <w:highlight w:val="none"/>
          <w:u w:val="single"/>
        </w:rPr>
        <w:t xml:space="preserve">     </w:t>
      </w:r>
      <w:r>
        <w:rPr>
          <w:rFonts w:hint="eastAsia"/>
          <w:color w:val="auto"/>
          <w:highlight w:val="none"/>
          <w:u w:val="single"/>
          <w:lang w:val="en-US" w:eastAsia="zh-CN"/>
        </w:rPr>
        <w:t>24</w:t>
      </w:r>
      <w:r>
        <w:rPr>
          <w:color w:val="auto"/>
          <w:highlight w:val="none"/>
          <w:u w:val="single"/>
        </w:rPr>
        <w:t xml:space="preserve">    </w:t>
      </w:r>
      <w:r>
        <w:rPr>
          <w:rFonts w:hint="eastAsia" w:hAnsi="宋体" w:cs="宋体"/>
          <w:color w:val="auto"/>
          <w:highlight w:val="none"/>
        </w:rPr>
        <w:t>小时。</w:t>
      </w:r>
    </w:p>
    <w:p w14:paraId="65D29B24">
      <w:pPr>
        <w:pStyle w:val="5"/>
        <w:rPr>
          <w:color w:val="auto"/>
          <w:highlight w:val="none"/>
        </w:rPr>
      </w:pPr>
      <w:bookmarkStart w:id="1639" w:name="_Toc78449844"/>
      <w:bookmarkStart w:id="1640" w:name="_Toc373227755"/>
      <w:bookmarkStart w:id="1641" w:name="_Toc24981"/>
      <w:bookmarkStart w:id="1642" w:name="_Toc389065320"/>
      <w:bookmarkStart w:id="1643" w:name="_Toc373478402"/>
      <w:bookmarkStart w:id="1644" w:name="_Toc1578431234"/>
      <w:bookmarkStart w:id="1645" w:name="_Toc407135258"/>
      <w:bookmarkStart w:id="1646" w:name="_Toc8842"/>
      <w:bookmarkStart w:id="1647" w:name="_Toc292559428"/>
      <w:bookmarkStart w:id="1648" w:name="_Toc296944562"/>
      <w:bookmarkStart w:id="1649" w:name="_Toc297216224"/>
      <w:bookmarkStart w:id="1650" w:name="_Toc312678056"/>
      <w:bookmarkStart w:id="1651" w:name="_Toc296347222"/>
      <w:bookmarkStart w:id="1652" w:name="_Toc296891263"/>
      <w:bookmarkStart w:id="1653" w:name="_Toc304295596"/>
      <w:bookmarkStart w:id="1654" w:name="_Toc296503223"/>
      <w:bookmarkStart w:id="1655" w:name="_Toc297048409"/>
      <w:bookmarkStart w:id="1656" w:name="_Toc300935016"/>
      <w:bookmarkStart w:id="1657" w:name="_Toc296346724"/>
      <w:bookmarkStart w:id="1658" w:name="_Toc296891051"/>
      <w:bookmarkStart w:id="1659" w:name="_Toc297123565"/>
      <w:bookmarkStart w:id="1660" w:name="_Toc297120523"/>
      <w:bookmarkStart w:id="1661" w:name="_Toc292559933"/>
      <w:bookmarkStart w:id="1662" w:name="_Toc303539173"/>
      <w:bookmarkStart w:id="1663" w:name="_Toc267251470"/>
      <w:bookmarkStart w:id="1664" w:name="_Toc267251473"/>
      <w:bookmarkStart w:id="1665" w:name="_Toc267251476"/>
      <w:bookmarkStart w:id="1666" w:name="_Toc267251471"/>
      <w:bookmarkStart w:id="1667" w:name="_Toc267251475"/>
      <w:bookmarkStart w:id="1668" w:name="_Toc267251474"/>
      <w:bookmarkStart w:id="1669" w:name="_Toc267251472"/>
      <w:r>
        <w:rPr>
          <w:color w:val="auto"/>
          <w:highlight w:val="none"/>
        </w:rPr>
        <w:t xml:space="preserve">13.2 </w:t>
      </w:r>
      <w:r>
        <w:rPr>
          <w:rFonts w:hint="eastAsia" w:hAnsi="宋体" w:cs="黑体"/>
          <w:color w:val="auto"/>
          <w:highlight w:val="none"/>
        </w:rPr>
        <w:t>竣工验收</w:t>
      </w:r>
      <w:bookmarkEnd w:id="1639"/>
      <w:bookmarkEnd w:id="1640"/>
      <w:bookmarkEnd w:id="1641"/>
      <w:bookmarkEnd w:id="1642"/>
      <w:bookmarkEnd w:id="1643"/>
      <w:bookmarkEnd w:id="1644"/>
      <w:bookmarkEnd w:id="1645"/>
      <w:bookmarkEnd w:id="1646"/>
    </w:p>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14:paraId="7B9B71AB">
      <w:pPr>
        <w:spacing w:line="360" w:lineRule="auto"/>
        <w:ind w:firstLine="420" w:firstLineChars="200"/>
        <w:jc w:val="left"/>
        <w:rPr>
          <w:color w:val="auto"/>
          <w:highlight w:val="none"/>
        </w:rPr>
      </w:pPr>
      <w:bookmarkStart w:id="1670" w:name="_Toc280868704"/>
      <w:bookmarkStart w:id="1671" w:name="_Toc280868705"/>
      <w:bookmarkStart w:id="1672" w:name="_Toc280868706"/>
      <w:bookmarkStart w:id="1673" w:name="_Toc280868707"/>
      <w:bookmarkStart w:id="1674" w:name="_Toc280868708"/>
      <w:bookmarkStart w:id="1675" w:name="_Toc280868709"/>
      <w:r>
        <w:rPr>
          <w:color w:val="auto"/>
          <w:highlight w:val="none"/>
        </w:rPr>
        <w:t>13.2.1</w:t>
      </w:r>
      <w:r>
        <w:rPr>
          <w:rFonts w:hint="eastAsia" w:hAnsi="宋体" w:cs="宋体"/>
          <w:color w:val="auto"/>
          <w:highlight w:val="none"/>
        </w:rPr>
        <w:t>竣工验收条件</w:t>
      </w:r>
    </w:p>
    <w:p w14:paraId="2838C803">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r>
        <w:rPr>
          <w:rFonts w:hint="eastAsia" w:hAnsi="宋体" w:cs="宋体"/>
          <w:color w:val="auto"/>
          <w:highlight w:val="none"/>
        </w:rPr>
        <w:t>承包人负责整理和提交的竣工验收资料应当符合工程所在地建设行政主管部门和</w:t>
      </w:r>
      <w:r>
        <w:rPr>
          <w:rFonts w:hint="eastAsia" w:hAnsi="宋体" w:cs="宋体"/>
          <w:color w:val="auto"/>
          <w:highlight w:val="none"/>
          <w:lang w:eastAsia="zh-CN"/>
        </w:rPr>
        <w:t>（</w:t>
      </w:r>
      <w:r>
        <w:rPr>
          <w:rFonts w:hint="eastAsia" w:hAnsi="宋体" w:cs="宋体"/>
          <w:color w:val="auto"/>
          <w:highlight w:val="none"/>
        </w:rPr>
        <w:t>或</w:t>
      </w:r>
      <w:r>
        <w:rPr>
          <w:rFonts w:hint="eastAsia" w:hAnsi="宋体" w:cs="宋体"/>
          <w:color w:val="auto"/>
          <w:highlight w:val="none"/>
          <w:lang w:eastAsia="zh-CN"/>
        </w:rPr>
        <w:t>）</w:t>
      </w:r>
      <w:r>
        <w:rPr>
          <w:rFonts w:hint="eastAsia" w:hAnsi="宋体" w:cs="宋体"/>
          <w:color w:val="auto"/>
          <w:highlight w:val="none"/>
        </w:rPr>
        <w:t>城市建设档案管理机构有关施工资料的要求，具体内容包括：</w:t>
      </w:r>
      <w:r>
        <w:rPr>
          <w:color w:val="auto"/>
          <w:highlight w:val="none"/>
          <w:u w:val="single"/>
        </w:rPr>
        <w:t xml:space="preserve"> </w:t>
      </w:r>
      <w:r>
        <w:rPr>
          <w:rFonts w:hint="eastAsia" w:ascii="宋体" w:hAnsi="宋体"/>
          <w:color w:val="auto"/>
          <w:spacing w:val="-3"/>
          <w:kern w:val="0"/>
          <w:szCs w:val="21"/>
          <w:u w:val="single" w:color="000000"/>
        </w:rPr>
        <w:t>施工管理资料、建筑材料及工</w:t>
      </w:r>
      <w:r>
        <w:rPr>
          <w:rFonts w:hint="eastAsia" w:ascii="宋体" w:hAnsi="宋体"/>
          <w:color w:val="auto"/>
          <w:kern w:val="0"/>
          <w:szCs w:val="21"/>
          <w:u w:val="single" w:color="000000"/>
        </w:rPr>
        <w:t>程质量检测报告、单项验收报告、竣工图等</w:t>
      </w:r>
      <w:r>
        <w:rPr>
          <w:color w:val="auto"/>
          <w:highlight w:val="none"/>
          <w:u w:val="single"/>
        </w:rPr>
        <w:t xml:space="preserve">                        </w:t>
      </w:r>
      <w:r>
        <w:rPr>
          <w:rFonts w:hint="eastAsia" w:hAnsi="宋体" w:cs="宋体"/>
          <w:color w:val="auto"/>
          <w:highlight w:val="none"/>
        </w:rPr>
        <w:t>。</w:t>
      </w:r>
    </w:p>
    <w:p w14:paraId="16613FDE">
      <w:pPr>
        <w:spacing w:line="360" w:lineRule="auto"/>
        <w:ind w:firstLine="420" w:firstLineChars="200"/>
        <w:rPr>
          <w:color w:val="auto"/>
          <w:highlight w:val="none"/>
        </w:rPr>
      </w:pPr>
      <w:r>
        <w:rPr>
          <w:rFonts w:hint="eastAsia" w:hAnsi="宋体" w:cs="宋体"/>
          <w:color w:val="auto"/>
          <w:highlight w:val="none"/>
        </w:rPr>
        <w:t>竣工验收资料的份数：</w:t>
      </w:r>
      <w:r>
        <w:rPr>
          <w:color w:val="auto"/>
          <w:highlight w:val="none"/>
          <w:u w:val="single"/>
        </w:rPr>
        <w:t xml:space="preserve">   </w:t>
      </w:r>
      <w:r>
        <w:rPr>
          <w:rFonts w:hint="eastAsia" w:ascii="宋体" w:hAnsi="宋体"/>
          <w:color w:val="auto"/>
          <w:kern w:val="0"/>
          <w:szCs w:val="21"/>
          <w:u w:val="single" w:color="000000"/>
        </w:rPr>
        <w:t>肆份</w:t>
      </w:r>
      <w:r>
        <w:rPr>
          <w:color w:val="auto"/>
          <w:highlight w:val="none"/>
          <w:u w:val="single"/>
        </w:rPr>
        <w:t xml:space="preserve">     </w:t>
      </w:r>
      <w:r>
        <w:rPr>
          <w:rFonts w:hint="eastAsia" w:hAnsi="宋体" w:cs="宋体"/>
          <w:color w:val="auto"/>
          <w:highlight w:val="none"/>
        </w:rPr>
        <w:t>。</w:t>
      </w:r>
    </w:p>
    <w:p w14:paraId="3BCB1762">
      <w:pPr>
        <w:spacing w:line="360" w:lineRule="auto"/>
        <w:ind w:firstLine="420" w:firstLineChars="200"/>
        <w:jc w:val="left"/>
        <w:rPr>
          <w:color w:val="auto"/>
          <w:highlight w:val="none"/>
        </w:rPr>
      </w:pPr>
      <w:r>
        <w:rPr>
          <w:rFonts w:hint="eastAsia" w:hAnsi="宋体" w:cs="宋体"/>
          <w:color w:val="auto"/>
          <w:highlight w:val="none"/>
        </w:rPr>
        <w:t>承包人提供竣工图的约定：</w:t>
      </w:r>
      <w:r>
        <w:rPr>
          <w:rFonts w:hint="eastAsia" w:hAnsi="宋体" w:cs="宋体"/>
          <w:color w:val="auto"/>
          <w:highlight w:val="none"/>
          <w:u w:val="single"/>
        </w:rPr>
        <w:t>竣工验收正式通过后</w:t>
      </w:r>
      <w:r>
        <w:rPr>
          <w:color w:val="auto"/>
          <w:highlight w:val="none"/>
          <w:u w:val="single"/>
        </w:rPr>
        <w:t>5</w:t>
      </w:r>
      <w:r>
        <w:rPr>
          <w:rFonts w:hint="eastAsia" w:hAnsi="宋体" w:cs="宋体"/>
          <w:color w:val="auto"/>
          <w:highlight w:val="none"/>
          <w:u w:val="single"/>
        </w:rPr>
        <w:t>天（工程造价在</w:t>
      </w:r>
      <w:r>
        <w:rPr>
          <w:color w:val="auto"/>
          <w:highlight w:val="none"/>
          <w:u w:val="single"/>
        </w:rPr>
        <w:t>500</w:t>
      </w:r>
      <w:r>
        <w:rPr>
          <w:rFonts w:hint="eastAsia" w:hAnsi="宋体" w:cs="宋体"/>
          <w:color w:val="auto"/>
          <w:highlight w:val="none"/>
          <w:u w:val="single"/>
        </w:rPr>
        <w:t>万元以下含</w:t>
      </w:r>
      <w:r>
        <w:rPr>
          <w:color w:val="auto"/>
          <w:highlight w:val="none"/>
          <w:u w:val="single"/>
        </w:rPr>
        <w:t>500</w:t>
      </w:r>
      <w:r>
        <w:rPr>
          <w:rFonts w:hint="eastAsia" w:hAnsi="宋体" w:cs="宋体"/>
          <w:color w:val="auto"/>
          <w:highlight w:val="none"/>
          <w:u w:val="single"/>
        </w:rPr>
        <w:t>万元）、</w:t>
      </w:r>
      <w:r>
        <w:rPr>
          <w:color w:val="auto"/>
          <w:highlight w:val="none"/>
          <w:u w:val="single"/>
        </w:rPr>
        <w:t>10</w:t>
      </w:r>
      <w:r>
        <w:rPr>
          <w:rFonts w:hint="eastAsia" w:hAnsi="宋体" w:cs="宋体"/>
          <w:color w:val="auto"/>
          <w:highlight w:val="none"/>
          <w:u w:val="single"/>
        </w:rPr>
        <w:t>天（工程造价在</w:t>
      </w:r>
      <w:r>
        <w:rPr>
          <w:color w:val="auto"/>
          <w:highlight w:val="none"/>
          <w:u w:val="single"/>
        </w:rPr>
        <w:t>500</w:t>
      </w:r>
      <w:r>
        <w:rPr>
          <w:rFonts w:hint="eastAsia" w:hAnsi="宋体" w:cs="宋体"/>
          <w:color w:val="auto"/>
          <w:highlight w:val="none"/>
          <w:u w:val="single"/>
        </w:rPr>
        <w:t>万元至</w:t>
      </w:r>
      <w:r>
        <w:rPr>
          <w:color w:val="auto"/>
          <w:highlight w:val="none"/>
          <w:u w:val="single"/>
        </w:rPr>
        <w:t>1000</w:t>
      </w:r>
      <w:r>
        <w:rPr>
          <w:rFonts w:hint="eastAsia" w:hAnsi="宋体" w:cs="宋体"/>
          <w:color w:val="auto"/>
          <w:highlight w:val="none"/>
          <w:u w:val="single"/>
        </w:rPr>
        <w:t>万元之间含</w:t>
      </w:r>
      <w:r>
        <w:rPr>
          <w:color w:val="auto"/>
          <w:highlight w:val="none"/>
          <w:u w:val="single"/>
        </w:rPr>
        <w:t>1000</w:t>
      </w:r>
      <w:r>
        <w:rPr>
          <w:rFonts w:hint="eastAsia" w:hAnsi="宋体" w:cs="宋体"/>
          <w:color w:val="auto"/>
          <w:highlight w:val="none"/>
          <w:u w:val="single"/>
        </w:rPr>
        <w:t>万元）、</w:t>
      </w:r>
      <w:r>
        <w:rPr>
          <w:color w:val="auto"/>
          <w:highlight w:val="none"/>
          <w:u w:val="single"/>
        </w:rPr>
        <w:t>15</w:t>
      </w:r>
      <w:r>
        <w:rPr>
          <w:rFonts w:hint="eastAsia" w:hAnsi="宋体" w:cs="宋体"/>
          <w:color w:val="auto"/>
          <w:highlight w:val="none"/>
          <w:u w:val="single"/>
        </w:rPr>
        <w:t>天（工程造价在</w:t>
      </w:r>
      <w:r>
        <w:rPr>
          <w:color w:val="auto"/>
          <w:highlight w:val="none"/>
          <w:u w:val="single"/>
        </w:rPr>
        <w:t>1000</w:t>
      </w:r>
      <w:r>
        <w:rPr>
          <w:rFonts w:hint="eastAsia" w:hAnsi="宋体" w:cs="宋体"/>
          <w:color w:val="auto"/>
          <w:highlight w:val="none"/>
          <w:u w:val="single"/>
        </w:rPr>
        <w:t>万元以上），提供竣工图的数量分别为</w:t>
      </w:r>
      <w:r>
        <w:rPr>
          <w:color w:val="auto"/>
          <w:highlight w:val="none"/>
          <w:u w:val="single"/>
        </w:rPr>
        <w:t>2</w:t>
      </w:r>
      <w:r>
        <w:rPr>
          <w:rFonts w:hint="eastAsia" w:hAnsi="宋体" w:cs="宋体"/>
          <w:color w:val="auto"/>
          <w:highlight w:val="none"/>
          <w:u w:val="single"/>
        </w:rPr>
        <w:t>套、</w:t>
      </w:r>
      <w:r>
        <w:rPr>
          <w:color w:val="auto"/>
          <w:highlight w:val="none"/>
          <w:u w:val="single"/>
        </w:rPr>
        <w:t>4</w:t>
      </w:r>
      <w:r>
        <w:rPr>
          <w:rFonts w:hint="eastAsia" w:hAnsi="宋体" w:cs="宋体"/>
          <w:color w:val="auto"/>
          <w:highlight w:val="none"/>
          <w:u w:val="single"/>
        </w:rPr>
        <w:t>套、</w:t>
      </w:r>
      <w:r>
        <w:rPr>
          <w:color w:val="auto"/>
          <w:highlight w:val="none"/>
          <w:u w:val="single"/>
        </w:rPr>
        <w:t>6</w:t>
      </w:r>
      <w:r>
        <w:rPr>
          <w:rFonts w:hint="eastAsia" w:hAnsi="宋体" w:cs="宋体"/>
          <w:color w:val="auto"/>
          <w:highlight w:val="none"/>
          <w:u w:val="single"/>
        </w:rPr>
        <w:t>套。</w:t>
      </w:r>
    </w:p>
    <w:p w14:paraId="795A30F3">
      <w:pPr>
        <w:spacing w:line="360" w:lineRule="auto"/>
        <w:ind w:firstLine="420" w:firstLineChars="200"/>
        <w:jc w:val="left"/>
        <w:rPr>
          <w:color w:val="auto"/>
          <w:highlight w:val="none"/>
        </w:rPr>
      </w:pPr>
      <w:r>
        <w:rPr>
          <w:color w:val="auto"/>
          <w:highlight w:val="none"/>
        </w:rPr>
        <w:t>13.2.2</w:t>
      </w:r>
      <w:r>
        <w:rPr>
          <w:rFonts w:hint="eastAsia" w:hAnsi="宋体" w:cs="宋体"/>
          <w:color w:val="auto"/>
          <w:highlight w:val="none"/>
        </w:rPr>
        <w:t>竣工验收程序</w:t>
      </w:r>
    </w:p>
    <w:bookmarkEnd w:id="1670"/>
    <w:p w14:paraId="243A32D4">
      <w:pPr>
        <w:spacing w:line="360" w:lineRule="auto"/>
        <w:ind w:firstLine="420" w:firstLineChars="200"/>
        <w:jc w:val="left"/>
        <w:rPr>
          <w:color w:val="auto"/>
          <w:highlight w:val="none"/>
          <w:u w:val="single"/>
        </w:rPr>
      </w:pPr>
      <w:r>
        <w:rPr>
          <w:rFonts w:hint="eastAsia" w:hAnsi="宋体" w:cs="宋体"/>
          <w:color w:val="auto"/>
          <w:kern w:val="0"/>
          <w:highlight w:val="none"/>
        </w:rPr>
        <w:t>关于竣工验收程序的约定：</w:t>
      </w:r>
      <w:r>
        <w:rPr>
          <w:color w:val="auto"/>
          <w:highlight w:val="none"/>
          <w:u w:val="single"/>
        </w:rPr>
        <w:t xml:space="preserve">     </w:t>
      </w:r>
      <w:r>
        <w:rPr>
          <w:rFonts w:hint="eastAsia" w:ascii="宋体" w:hAnsi="宋体"/>
          <w:color w:val="auto"/>
          <w:spacing w:val="-2"/>
          <w:kern w:val="0"/>
          <w:szCs w:val="21"/>
          <w:u w:val="single" w:color="000000"/>
        </w:rPr>
        <w:t>按建设行政主管部门有关规定执行</w:t>
      </w:r>
      <w:r>
        <w:rPr>
          <w:color w:val="auto"/>
          <w:highlight w:val="none"/>
          <w:u w:val="single"/>
        </w:rPr>
        <w:t xml:space="preserve">      </w:t>
      </w:r>
      <w:r>
        <w:rPr>
          <w:rFonts w:hint="eastAsia" w:hAnsi="宋体" w:cs="宋体"/>
          <w:color w:val="auto"/>
          <w:highlight w:val="none"/>
        </w:rPr>
        <w:t>。</w:t>
      </w:r>
    </w:p>
    <w:p w14:paraId="472DB2BA">
      <w:pPr>
        <w:spacing w:line="360" w:lineRule="auto"/>
        <w:jc w:val="left"/>
        <w:rPr>
          <w:color w:val="auto"/>
          <w:highlight w:val="none"/>
        </w:rPr>
      </w:pPr>
      <w:r>
        <w:rPr>
          <w:rFonts w:hint="eastAsia" w:hAnsi="宋体" w:cs="宋体"/>
          <w:color w:val="auto"/>
          <w:kern w:val="0"/>
          <w:highlight w:val="none"/>
        </w:rPr>
        <w:t>发包人不按照本项约定组织竣工验收、颁发工程接收证书的违约金的计算方法：</w:t>
      </w:r>
      <w:r>
        <w:rPr>
          <w:color w:val="auto"/>
          <w:highlight w:val="none"/>
          <w:u w:val="single"/>
        </w:rPr>
        <w:t xml:space="preserve">  </w:t>
      </w:r>
      <w:r>
        <w:rPr>
          <w:rFonts w:hint="eastAsia"/>
          <w:color w:val="auto"/>
          <w:highlight w:val="none"/>
          <w:u w:val="single"/>
          <w:lang w:val="en-US" w:eastAsia="zh-CN"/>
        </w:rPr>
        <w:t>无</w:t>
      </w:r>
      <w:r>
        <w:rPr>
          <w:color w:val="auto"/>
          <w:highlight w:val="none"/>
          <w:u w:val="single"/>
        </w:rPr>
        <w:t xml:space="preserve">         </w:t>
      </w:r>
      <w:r>
        <w:rPr>
          <w:rFonts w:hint="eastAsia" w:hAnsi="宋体" w:cs="宋体"/>
          <w:color w:val="auto"/>
          <w:highlight w:val="none"/>
        </w:rPr>
        <w:t>。</w:t>
      </w:r>
    </w:p>
    <w:bookmarkEnd w:id="1671"/>
    <w:p w14:paraId="55070F9A">
      <w:pPr>
        <w:spacing w:line="360" w:lineRule="auto"/>
        <w:ind w:firstLine="420" w:firstLineChars="200"/>
        <w:jc w:val="left"/>
        <w:rPr>
          <w:color w:val="auto"/>
          <w:highlight w:val="none"/>
        </w:rPr>
      </w:pPr>
      <w:r>
        <w:rPr>
          <w:color w:val="auto"/>
          <w:highlight w:val="none"/>
        </w:rPr>
        <w:t>13.2.5</w:t>
      </w:r>
      <w:r>
        <w:rPr>
          <w:rFonts w:hint="eastAsia" w:hAnsi="宋体" w:cs="宋体"/>
          <w:color w:val="auto"/>
          <w:highlight w:val="none"/>
        </w:rPr>
        <w:t>移交、接收全部与部分工程</w:t>
      </w:r>
    </w:p>
    <w:bookmarkEnd w:id="1672"/>
    <w:p w14:paraId="3029F92B">
      <w:pPr>
        <w:spacing w:line="360" w:lineRule="auto"/>
        <w:ind w:firstLine="420" w:firstLineChars="200"/>
        <w:jc w:val="left"/>
        <w:rPr>
          <w:color w:val="auto"/>
          <w:kern w:val="0"/>
          <w:highlight w:val="none"/>
        </w:rPr>
      </w:pPr>
      <w:r>
        <w:rPr>
          <w:rFonts w:hint="eastAsia" w:hAnsi="宋体" w:cs="宋体"/>
          <w:color w:val="auto"/>
          <w:kern w:val="0"/>
          <w:highlight w:val="none"/>
        </w:rPr>
        <w:t>承包人向发包人移交工程的期限：</w:t>
      </w:r>
      <w:r>
        <w:rPr>
          <w:color w:val="auto"/>
          <w:highlight w:val="none"/>
          <w:u w:val="single"/>
        </w:rPr>
        <w:t xml:space="preserve">     </w:t>
      </w:r>
      <w:r>
        <w:rPr>
          <w:rFonts w:hint="eastAsia" w:ascii="宋体" w:hAnsi="宋体"/>
          <w:color w:val="auto"/>
          <w:spacing w:val="-2"/>
          <w:kern w:val="0"/>
          <w:szCs w:val="21"/>
          <w:u w:val="single" w:color="000000"/>
        </w:rPr>
        <w:t>验收合格后</w:t>
      </w:r>
      <w:r>
        <w:rPr>
          <w:rFonts w:ascii="Times New Roman" w:hAnsi="Times New Roman" w:eastAsia="Times New Roman"/>
          <w:color w:val="auto"/>
          <w:spacing w:val="-3"/>
          <w:kern w:val="0"/>
          <w:szCs w:val="21"/>
          <w:u w:val="single" w:color="000000"/>
        </w:rPr>
        <w:t>15</w:t>
      </w:r>
      <w:r>
        <w:rPr>
          <w:rFonts w:hint="eastAsia" w:ascii="宋体" w:hAnsi="宋体"/>
          <w:color w:val="auto"/>
          <w:kern w:val="0"/>
          <w:szCs w:val="21"/>
          <w:u w:val="single" w:color="000000"/>
        </w:rPr>
        <w:t>日内</w:t>
      </w:r>
      <w:r>
        <w:rPr>
          <w:color w:val="auto"/>
          <w:highlight w:val="none"/>
          <w:u w:val="single"/>
        </w:rPr>
        <w:t xml:space="preserve">      </w:t>
      </w:r>
      <w:r>
        <w:rPr>
          <w:rFonts w:hint="eastAsia" w:hAnsi="宋体" w:cs="宋体"/>
          <w:color w:val="auto"/>
          <w:highlight w:val="none"/>
        </w:rPr>
        <w:t>。</w:t>
      </w:r>
    </w:p>
    <w:p w14:paraId="53DB8EFC">
      <w:pPr>
        <w:spacing w:line="360" w:lineRule="auto"/>
        <w:ind w:firstLine="420" w:firstLineChars="200"/>
        <w:jc w:val="left"/>
        <w:rPr>
          <w:color w:val="auto"/>
          <w:highlight w:val="none"/>
          <w:u w:val="single"/>
        </w:rPr>
      </w:pPr>
      <w:r>
        <w:rPr>
          <w:rFonts w:hint="eastAsia" w:hAnsi="宋体" w:cs="宋体"/>
          <w:color w:val="auto"/>
          <w:kern w:val="0"/>
          <w:highlight w:val="none"/>
        </w:rPr>
        <w:t>发包人未按本合同约定接收全部或部分工程的，违约金的计算方法为：</w:t>
      </w:r>
      <w:r>
        <w:rPr>
          <w:color w:val="auto"/>
          <w:highlight w:val="none"/>
          <w:u w:val="single"/>
        </w:rPr>
        <w:t xml:space="preserve">     </w:t>
      </w:r>
      <w:r>
        <w:rPr>
          <w:rFonts w:hint="eastAsia"/>
          <w:color w:val="auto"/>
          <w:highlight w:val="none"/>
          <w:u w:val="single"/>
          <w:lang w:val="en-US" w:eastAsia="zh-CN"/>
        </w:rPr>
        <w:t>无</w:t>
      </w:r>
      <w:r>
        <w:rPr>
          <w:color w:val="auto"/>
          <w:highlight w:val="none"/>
          <w:u w:val="single"/>
        </w:rPr>
        <w:t xml:space="preserve">         </w:t>
      </w:r>
      <w:r>
        <w:rPr>
          <w:rFonts w:hint="eastAsia" w:hAnsi="宋体" w:cs="宋体"/>
          <w:color w:val="auto"/>
          <w:highlight w:val="none"/>
        </w:rPr>
        <w:t>。</w:t>
      </w:r>
    </w:p>
    <w:bookmarkEnd w:id="1673"/>
    <w:p w14:paraId="049C9FA8">
      <w:pPr>
        <w:spacing w:line="360" w:lineRule="auto"/>
        <w:ind w:firstLine="420" w:firstLineChars="200"/>
        <w:jc w:val="left"/>
        <w:rPr>
          <w:color w:val="auto"/>
          <w:highlight w:val="none"/>
          <w:u w:val="single"/>
        </w:rPr>
      </w:pPr>
      <w:r>
        <w:rPr>
          <w:rFonts w:hint="eastAsia" w:hAnsi="宋体" w:cs="宋体"/>
          <w:color w:val="auto"/>
          <w:highlight w:val="none"/>
        </w:rPr>
        <w:t>承包人未按时移交工程的，违约金的计算方法为：</w:t>
      </w:r>
      <w:r>
        <w:rPr>
          <w:color w:val="auto"/>
          <w:highlight w:val="none"/>
          <w:u w:val="single"/>
        </w:rPr>
        <w:t xml:space="preserve">            </w:t>
      </w:r>
      <w:r>
        <w:rPr>
          <w:rFonts w:hint="eastAsia"/>
          <w:color w:val="auto"/>
          <w:highlight w:val="none"/>
          <w:u w:val="single"/>
          <w:lang w:val="en-US" w:eastAsia="zh-CN"/>
        </w:rPr>
        <w:t>无</w:t>
      </w:r>
      <w:r>
        <w:rPr>
          <w:color w:val="auto"/>
          <w:highlight w:val="none"/>
          <w:u w:val="single"/>
        </w:rPr>
        <w:t xml:space="preserve">                    </w:t>
      </w:r>
      <w:r>
        <w:rPr>
          <w:rFonts w:hint="eastAsia" w:hAnsi="宋体" w:cs="宋体"/>
          <w:color w:val="auto"/>
          <w:highlight w:val="none"/>
        </w:rPr>
        <w:t>。</w:t>
      </w:r>
    </w:p>
    <w:p w14:paraId="23F5DED0">
      <w:pPr>
        <w:pStyle w:val="5"/>
        <w:rPr>
          <w:color w:val="auto"/>
          <w:highlight w:val="none"/>
        </w:rPr>
      </w:pPr>
      <w:bookmarkStart w:id="1676" w:name="_Toc1470255881"/>
      <w:bookmarkStart w:id="1677" w:name="_Toc24630"/>
      <w:bookmarkStart w:id="1678" w:name="_Toc373227756"/>
      <w:bookmarkStart w:id="1679" w:name="_Toc373478403"/>
      <w:bookmarkStart w:id="1680" w:name="_Toc389065321"/>
      <w:bookmarkStart w:id="1681" w:name="_Toc407135259"/>
      <w:bookmarkStart w:id="1682" w:name="_Toc1727"/>
      <w:bookmarkStart w:id="1683" w:name="_Toc78449845"/>
      <w:r>
        <w:rPr>
          <w:color w:val="auto"/>
          <w:highlight w:val="none"/>
        </w:rPr>
        <w:t xml:space="preserve">13.3 </w:t>
      </w:r>
      <w:r>
        <w:rPr>
          <w:rFonts w:hint="eastAsia" w:hAnsi="宋体" w:cs="黑体"/>
          <w:color w:val="auto"/>
          <w:highlight w:val="none"/>
        </w:rPr>
        <w:t>工程试车</w:t>
      </w:r>
      <w:bookmarkEnd w:id="1676"/>
      <w:bookmarkEnd w:id="1677"/>
      <w:bookmarkEnd w:id="1678"/>
      <w:bookmarkEnd w:id="1679"/>
      <w:bookmarkEnd w:id="1680"/>
      <w:bookmarkEnd w:id="1681"/>
      <w:bookmarkEnd w:id="1682"/>
      <w:bookmarkEnd w:id="1683"/>
    </w:p>
    <w:bookmarkEnd w:id="1674"/>
    <w:p w14:paraId="41D2C7B9">
      <w:pPr>
        <w:spacing w:line="360" w:lineRule="auto"/>
        <w:ind w:firstLine="420" w:firstLineChars="200"/>
        <w:jc w:val="left"/>
        <w:rPr>
          <w:color w:val="auto"/>
          <w:kern w:val="0"/>
          <w:highlight w:val="none"/>
        </w:rPr>
      </w:pPr>
      <w:r>
        <w:rPr>
          <w:color w:val="auto"/>
          <w:kern w:val="0"/>
          <w:highlight w:val="none"/>
        </w:rPr>
        <w:t xml:space="preserve">13.3.1 </w:t>
      </w:r>
      <w:r>
        <w:rPr>
          <w:rFonts w:hint="eastAsia" w:hAnsi="宋体" w:cs="宋体"/>
          <w:color w:val="auto"/>
          <w:kern w:val="0"/>
          <w:highlight w:val="none"/>
        </w:rPr>
        <w:t>试车程序</w:t>
      </w:r>
    </w:p>
    <w:p w14:paraId="038652D6">
      <w:pPr>
        <w:spacing w:line="360" w:lineRule="auto"/>
        <w:ind w:firstLine="420" w:firstLineChars="200"/>
        <w:jc w:val="left"/>
        <w:rPr>
          <w:color w:val="auto"/>
          <w:highlight w:val="none"/>
          <w:u w:val="single"/>
        </w:rPr>
      </w:pPr>
      <w:r>
        <w:rPr>
          <w:rFonts w:hint="eastAsia" w:hAnsi="宋体" w:cs="宋体"/>
          <w:color w:val="auto"/>
          <w:kern w:val="0"/>
          <w:highlight w:val="none"/>
        </w:rPr>
        <w:t>工程试车内容：</w:t>
      </w:r>
      <w:r>
        <w:rPr>
          <w:color w:val="auto"/>
          <w:highlight w:val="none"/>
          <w:u w:val="single"/>
        </w:rPr>
        <w:t xml:space="preserve">                 </w:t>
      </w:r>
      <w:r>
        <w:rPr>
          <w:rFonts w:hint="eastAsia"/>
          <w:color w:val="auto"/>
          <w:highlight w:val="none"/>
          <w:u w:val="single"/>
          <w:lang w:val="en-US" w:eastAsia="zh-CN"/>
        </w:rPr>
        <w:t>无</w:t>
      </w:r>
      <w:r>
        <w:rPr>
          <w:color w:val="auto"/>
          <w:highlight w:val="none"/>
          <w:u w:val="single"/>
        </w:rPr>
        <w:t xml:space="preserve">                                           </w:t>
      </w:r>
      <w:r>
        <w:rPr>
          <w:rFonts w:hint="eastAsia" w:hAnsi="宋体" w:cs="宋体"/>
          <w:color w:val="auto"/>
          <w:highlight w:val="none"/>
        </w:rPr>
        <w:t>。</w:t>
      </w:r>
    </w:p>
    <w:p w14:paraId="348097B3">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）单机无负荷试车费用由</w:t>
      </w:r>
      <w:r>
        <w:rPr>
          <w:color w:val="auto"/>
          <w:highlight w:val="none"/>
          <w:u w:val="single"/>
        </w:rPr>
        <w:t xml:space="preserve">     </w:t>
      </w:r>
      <w:r>
        <w:rPr>
          <w:rFonts w:hint="eastAsia"/>
          <w:color w:val="auto"/>
          <w:highlight w:val="none"/>
          <w:u w:val="single"/>
          <w:lang w:val="en-US" w:eastAsia="zh-CN"/>
        </w:rPr>
        <w:t>无</w:t>
      </w:r>
      <w:r>
        <w:rPr>
          <w:color w:val="auto"/>
          <w:highlight w:val="none"/>
          <w:u w:val="single"/>
        </w:rPr>
        <w:t xml:space="preserve">                </w:t>
      </w:r>
      <w:r>
        <w:rPr>
          <w:rFonts w:hint="eastAsia" w:hAnsi="宋体" w:cs="宋体"/>
          <w:color w:val="auto"/>
          <w:kern w:val="0"/>
          <w:highlight w:val="none"/>
        </w:rPr>
        <w:t>承担；</w:t>
      </w:r>
    </w:p>
    <w:p w14:paraId="29550531">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）无负荷联动试车费用由</w:t>
      </w:r>
      <w:r>
        <w:rPr>
          <w:color w:val="auto"/>
          <w:highlight w:val="none"/>
          <w:u w:val="single"/>
        </w:rPr>
        <w:t xml:space="preserve">         </w:t>
      </w:r>
      <w:r>
        <w:rPr>
          <w:rFonts w:hint="eastAsia"/>
          <w:color w:val="auto"/>
          <w:highlight w:val="none"/>
          <w:u w:val="single"/>
          <w:lang w:val="en-US" w:eastAsia="zh-CN"/>
        </w:rPr>
        <w:t>无</w:t>
      </w:r>
      <w:r>
        <w:rPr>
          <w:color w:val="auto"/>
          <w:highlight w:val="none"/>
          <w:u w:val="single"/>
        </w:rPr>
        <w:t xml:space="preserve">            </w:t>
      </w:r>
      <w:r>
        <w:rPr>
          <w:rFonts w:hint="eastAsia" w:hAnsi="宋体" w:cs="宋体"/>
          <w:color w:val="auto"/>
          <w:kern w:val="0"/>
          <w:highlight w:val="none"/>
        </w:rPr>
        <w:t>承担。</w:t>
      </w:r>
    </w:p>
    <w:p w14:paraId="20744453">
      <w:pPr>
        <w:spacing w:line="360" w:lineRule="auto"/>
        <w:ind w:firstLine="420" w:firstLineChars="200"/>
        <w:jc w:val="left"/>
        <w:rPr>
          <w:color w:val="auto"/>
          <w:kern w:val="0"/>
          <w:highlight w:val="none"/>
        </w:rPr>
      </w:pPr>
      <w:r>
        <w:rPr>
          <w:color w:val="auto"/>
          <w:kern w:val="0"/>
          <w:highlight w:val="none"/>
        </w:rPr>
        <w:t xml:space="preserve">13.3.3 </w:t>
      </w:r>
      <w:r>
        <w:rPr>
          <w:rFonts w:hint="eastAsia" w:hAnsi="宋体" w:cs="宋体"/>
          <w:color w:val="auto"/>
          <w:kern w:val="0"/>
          <w:highlight w:val="none"/>
        </w:rPr>
        <w:t>投料试车</w:t>
      </w:r>
    </w:p>
    <w:p w14:paraId="6A95630B">
      <w:pPr>
        <w:spacing w:line="360" w:lineRule="auto"/>
        <w:ind w:firstLine="420" w:firstLineChars="200"/>
        <w:jc w:val="left"/>
        <w:rPr>
          <w:color w:val="auto"/>
          <w:highlight w:val="none"/>
          <w:u w:val="single"/>
        </w:rPr>
      </w:pPr>
      <w:r>
        <w:rPr>
          <w:rFonts w:hint="eastAsia" w:hAnsi="宋体" w:cs="宋体"/>
          <w:color w:val="auto"/>
          <w:kern w:val="0"/>
          <w:highlight w:val="none"/>
        </w:rPr>
        <w:t>关于投料试车相关事项的约定：</w:t>
      </w:r>
      <w:r>
        <w:rPr>
          <w:color w:val="auto"/>
          <w:highlight w:val="none"/>
          <w:u w:val="single"/>
        </w:rPr>
        <w:t xml:space="preserve">          </w:t>
      </w:r>
      <w:r>
        <w:rPr>
          <w:rFonts w:hint="eastAsia"/>
          <w:color w:val="auto"/>
          <w:highlight w:val="none"/>
          <w:u w:val="single"/>
          <w:lang w:val="en-US" w:eastAsia="zh-CN"/>
        </w:rPr>
        <w:t>无</w:t>
      </w:r>
      <w:r>
        <w:rPr>
          <w:color w:val="auto"/>
          <w:highlight w:val="none"/>
          <w:u w:val="single"/>
        </w:rPr>
        <w:t xml:space="preserve">                                    </w:t>
      </w:r>
      <w:r>
        <w:rPr>
          <w:rFonts w:hint="eastAsia" w:hAnsi="宋体" w:cs="宋体"/>
          <w:color w:val="auto"/>
          <w:highlight w:val="none"/>
        </w:rPr>
        <w:t>。</w:t>
      </w:r>
    </w:p>
    <w:p w14:paraId="1879089A">
      <w:pPr>
        <w:pStyle w:val="5"/>
        <w:rPr>
          <w:color w:val="auto"/>
          <w:highlight w:val="none"/>
        </w:rPr>
      </w:pPr>
      <w:bookmarkStart w:id="1684" w:name="_Toc78449846"/>
      <w:bookmarkStart w:id="1685" w:name="_Toc12147"/>
      <w:bookmarkStart w:id="1686" w:name="_Toc407135260"/>
      <w:bookmarkStart w:id="1687" w:name="_Toc373227757"/>
      <w:bookmarkStart w:id="1688" w:name="_Toc22225"/>
      <w:bookmarkStart w:id="1689" w:name="_Toc389065322"/>
      <w:bookmarkStart w:id="1690" w:name="_Toc373478404"/>
      <w:bookmarkStart w:id="1691" w:name="_Toc10307455"/>
      <w:r>
        <w:rPr>
          <w:color w:val="auto"/>
          <w:highlight w:val="none"/>
        </w:rPr>
        <w:t xml:space="preserve">13.6 </w:t>
      </w:r>
      <w:r>
        <w:rPr>
          <w:rFonts w:hint="eastAsia" w:hAnsi="宋体" w:cs="黑体"/>
          <w:color w:val="auto"/>
          <w:highlight w:val="none"/>
        </w:rPr>
        <w:t>竣工退场</w:t>
      </w:r>
      <w:bookmarkEnd w:id="1684"/>
      <w:bookmarkEnd w:id="1685"/>
      <w:bookmarkEnd w:id="1686"/>
      <w:bookmarkEnd w:id="1687"/>
      <w:bookmarkEnd w:id="1688"/>
      <w:bookmarkEnd w:id="1689"/>
      <w:bookmarkEnd w:id="1690"/>
      <w:bookmarkEnd w:id="1691"/>
    </w:p>
    <w:p w14:paraId="55D2966F">
      <w:pPr>
        <w:spacing w:line="360" w:lineRule="auto"/>
        <w:ind w:firstLine="420" w:firstLineChars="200"/>
        <w:jc w:val="left"/>
        <w:outlineLvl w:val="0"/>
        <w:rPr>
          <w:color w:val="auto"/>
          <w:kern w:val="0"/>
          <w:highlight w:val="none"/>
        </w:rPr>
      </w:pPr>
      <w:r>
        <w:rPr>
          <w:color w:val="auto"/>
          <w:kern w:val="0"/>
          <w:highlight w:val="none"/>
        </w:rPr>
        <w:t xml:space="preserve">13.6.1 </w:t>
      </w:r>
      <w:r>
        <w:rPr>
          <w:rFonts w:hint="eastAsia" w:hAnsi="宋体" w:cs="宋体"/>
          <w:color w:val="auto"/>
          <w:kern w:val="0"/>
          <w:highlight w:val="none"/>
        </w:rPr>
        <w:t>竣工退场</w:t>
      </w:r>
    </w:p>
    <w:p w14:paraId="76CD055C">
      <w:pPr>
        <w:spacing w:line="360" w:lineRule="auto"/>
        <w:ind w:firstLine="420" w:firstLineChars="200"/>
        <w:jc w:val="left"/>
        <w:rPr>
          <w:color w:val="auto"/>
          <w:kern w:val="0"/>
          <w:highlight w:val="none"/>
        </w:rPr>
      </w:pPr>
      <w:r>
        <w:rPr>
          <w:rFonts w:hint="eastAsia" w:hAnsi="宋体" w:cs="宋体"/>
          <w:color w:val="auto"/>
          <w:kern w:val="0"/>
          <w:highlight w:val="none"/>
        </w:rPr>
        <w:t>承包人完成竣工退场的期限：</w:t>
      </w:r>
      <w:r>
        <w:rPr>
          <w:color w:val="auto"/>
          <w:highlight w:val="none"/>
          <w:u w:val="single"/>
        </w:rPr>
        <w:t xml:space="preserve">    </w:t>
      </w:r>
      <w:r>
        <w:rPr>
          <w:rFonts w:hint="eastAsia"/>
          <w:color w:val="auto"/>
          <w:highlight w:val="none"/>
          <w:u w:val="single"/>
          <w:lang w:val="en-US" w:eastAsia="zh-CN"/>
        </w:rPr>
        <w:t>无</w:t>
      </w:r>
      <w:r>
        <w:rPr>
          <w:color w:val="auto"/>
          <w:highlight w:val="none"/>
          <w:u w:val="single"/>
        </w:rPr>
        <w:t xml:space="preserve">                        </w:t>
      </w:r>
      <w:r>
        <w:rPr>
          <w:rFonts w:hint="eastAsia" w:hAnsi="宋体" w:cs="宋体"/>
          <w:color w:val="auto"/>
          <w:kern w:val="0"/>
          <w:highlight w:val="none"/>
        </w:rPr>
        <w:t>。</w:t>
      </w:r>
    </w:p>
    <w:p w14:paraId="19F4AC12">
      <w:pPr>
        <w:pStyle w:val="4"/>
        <w:rPr>
          <w:color w:val="auto"/>
          <w:highlight w:val="none"/>
        </w:rPr>
      </w:pPr>
      <w:bookmarkStart w:id="1692" w:name="_Toc78449847"/>
      <w:bookmarkStart w:id="1693" w:name="_Toc373478405"/>
      <w:bookmarkStart w:id="1694" w:name="_Toc389065323"/>
      <w:bookmarkStart w:id="1695" w:name="_Toc373227758"/>
      <w:bookmarkStart w:id="1696" w:name="_Toc24722"/>
      <w:bookmarkStart w:id="1697" w:name="_Toc351203646"/>
      <w:bookmarkStart w:id="1698" w:name="_Toc407135261"/>
      <w:bookmarkStart w:id="1699" w:name="_Toc1385490858"/>
      <w:r>
        <w:rPr>
          <w:color w:val="auto"/>
          <w:highlight w:val="none"/>
        </w:rPr>
        <w:t xml:space="preserve">14. </w:t>
      </w:r>
      <w:r>
        <w:rPr>
          <w:rFonts w:hint="eastAsia" w:hAnsi="宋体" w:cs="黑体"/>
          <w:color w:val="auto"/>
          <w:highlight w:val="none"/>
        </w:rPr>
        <w:t>竣工结算</w:t>
      </w:r>
      <w:bookmarkEnd w:id="1692"/>
      <w:bookmarkEnd w:id="1693"/>
      <w:bookmarkEnd w:id="1694"/>
      <w:bookmarkEnd w:id="1695"/>
      <w:bookmarkEnd w:id="1696"/>
      <w:bookmarkEnd w:id="1697"/>
      <w:bookmarkEnd w:id="1698"/>
      <w:bookmarkEnd w:id="1699"/>
    </w:p>
    <w:p w14:paraId="655B3390">
      <w:pPr>
        <w:pStyle w:val="5"/>
        <w:rPr>
          <w:color w:val="auto"/>
          <w:highlight w:val="none"/>
        </w:rPr>
      </w:pPr>
      <w:bookmarkStart w:id="1700" w:name="_Toc2542"/>
      <w:bookmarkStart w:id="1701" w:name="_Toc373478406"/>
      <w:bookmarkStart w:id="1702" w:name="_Toc373227759"/>
      <w:bookmarkStart w:id="1703" w:name="_Toc174652718"/>
      <w:bookmarkStart w:id="1704" w:name="_Toc78449848"/>
      <w:bookmarkStart w:id="1705" w:name="_Toc11356"/>
      <w:bookmarkStart w:id="1706" w:name="_Toc389065324"/>
      <w:bookmarkStart w:id="1707" w:name="_Toc407135262"/>
      <w:r>
        <w:rPr>
          <w:color w:val="auto"/>
          <w:highlight w:val="none"/>
        </w:rPr>
        <w:t xml:space="preserve">14.1 </w:t>
      </w:r>
      <w:r>
        <w:rPr>
          <w:rFonts w:hint="eastAsia" w:hAnsi="宋体" w:cs="黑体"/>
          <w:color w:val="auto"/>
          <w:highlight w:val="none"/>
        </w:rPr>
        <w:t>竣工付款申请</w:t>
      </w:r>
      <w:bookmarkEnd w:id="1700"/>
      <w:bookmarkEnd w:id="1701"/>
      <w:bookmarkEnd w:id="1702"/>
      <w:bookmarkEnd w:id="1703"/>
      <w:bookmarkEnd w:id="1704"/>
      <w:bookmarkEnd w:id="1705"/>
      <w:bookmarkEnd w:id="1706"/>
      <w:bookmarkEnd w:id="1707"/>
    </w:p>
    <w:p w14:paraId="367A2911">
      <w:pPr>
        <w:spacing w:line="360" w:lineRule="auto"/>
        <w:ind w:firstLine="420" w:firstLineChars="200"/>
        <w:jc w:val="left"/>
        <w:rPr>
          <w:rFonts w:hint="default" w:eastAsia="宋体"/>
          <w:color w:val="auto"/>
          <w:highlight w:val="none"/>
          <w:lang w:val="en-US" w:eastAsia="zh-CN"/>
        </w:rPr>
      </w:pPr>
      <w:r>
        <w:rPr>
          <w:rFonts w:hint="eastAsia" w:hAnsi="宋体" w:cs="宋体"/>
          <w:color w:val="auto"/>
          <w:highlight w:val="none"/>
        </w:rPr>
        <w:t>承包人提交竣工付款申请单的期限：</w:t>
      </w:r>
      <w:r>
        <w:rPr>
          <w:color w:val="auto"/>
          <w:highlight w:val="none"/>
          <w:u w:val="single"/>
        </w:rPr>
        <w:t xml:space="preserve">  </w:t>
      </w:r>
      <w:r>
        <w:rPr>
          <w:rFonts w:hint="eastAsia" w:ascii="宋体" w:hAnsi="宋体"/>
          <w:color w:val="auto"/>
          <w:kern w:val="0"/>
          <w:szCs w:val="21"/>
          <w:u w:val="single" w:color="000000"/>
        </w:rPr>
        <w:t>承包人应在工程竣工验收合格后</w:t>
      </w:r>
      <w:r>
        <w:rPr>
          <w:rFonts w:hint="eastAsia" w:ascii="宋体" w:hAnsi="宋体" w:cs="宋体"/>
          <w:color w:val="auto"/>
          <w:kern w:val="0"/>
          <w:szCs w:val="21"/>
          <w:u w:val="single" w:color="000000"/>
        </w:rPr>
        <w:t>28</w:t>
      </w:r>
      <w:r>
        <w:rPr>
          <w:rFonts w:hint="eastAsia" w:ascii="宋体" w:hAnsi="宋体"/>
          <w:color w:val="auto"/>
          <w:kern w:val="0"/>
          <w:szCs w:val="21"/>
          <w:u w:val="single" w:color="000000"/>
        </w:rPr>
        <w:t>天内向发包人和</w:t>
      </w:r>
      <w:r>
        <w:rPr>
          <w:rFonts w:hint="eastAsia" w:ascii="宋体" w:hAnsi="宋体"/>
          <w:color w:val="auto"/>
          <w:spacing w:val="-2"/>
          <w:kern w:val="0"/>
          <w:szCs w:val="21"/>
          <w:u w:val="single" w:color="000000"/>
        </w:rPr>
        <w:t>监理人提交竣工结算申请单，并提交完整的结算资料，有关竣工结算申请单的资料清单和份数</w:t>
      </w:r>
      <w:r>
        <w:rPr>
          <w:rFonts w:hint="eastAsia" w:ascii="宋体" w:hAnsi="宋体"/>
          <w:color w:val="auto"/>
          <w:kern w:val="0"/>
          <w:szCs w:val="21"/>
          <w:u w:val="single" w:color="000000"/>
        </w:rPr>
        <w:t>等要求由合同当事人在专用合同条款中约定</w:t>
      </w:r>
      <w:r>
        <w:rPr>
          <w:rFonts w:hint="eastAsia" w:ascii="宋体" w:hAnsi="宋体"/>
          <w:color w:val="auto"/>
          <w:kern w:val="0"/>
          <w:szCs w:val="21"/>
          <w:u w:val="single" w:color="000000"/>
          <w:lang w:eastAsia="zh-CN"/>
        </w:rPr>
        <w:t>。</w:t>
      </w:r>
      <w:r>
        <w:rPr>
          <w:rFonts w:hint="eastAsia" w:ascii="宋体" w:hAnsi="宋体"/>
          <w:color w:val="auto"/>
          <w:kern w:val="0"/>
          <w:szCs w:val="21"/>
          <w:u w:val="single" w:color="000000"/>
          <w:lang w:val="en-US" w:eastAsia="zh-CN"/>
        </w:rPr>
        <w:t xml:space="preserve">  </w:t>
      </w:r>
    </w:p>
    <w:p w14:paraId="3336AA9B">
      <w:pPr>
        <w:spacing w:before="30" w:line="352" w:lineRule="auto"/>
        <w:ind w:left="378" w:firstLine="419"/>
        <w:jc w:val="left"/>
        <w:rPr>
          <w:rFonts w:hint="eastAsia" w:hAnsi="宋体" w:cs="宋体"/>
          <w:color w:val="auto"/>
          <w:highlight w:val="none"/>
        </w:rPr>
      </w:pPr>
      <w:r>
        <w:rPr>
          <w:rFonts w:hint="eastAsia" w:hAnsi="宋体" w:cs="宋体"/>
          <w:color w:val="auto"/>
          <w:highlight w:val="none"/>
        </w:rPr>
        <w:t>竣工付款申请单应包括的内容：</w:t>
      </w:r>
    </w:p>
    <w:p w14:paraId="36394C14">
      <w:pPr>
        <w:spacing w:line="360" w:lineRule="auto"/>
        <w:ind w:firstLine="420" w:firstLineChars="200"/>
        <w:jc w:val="left"/>
        <w:rPr>
          <w:rFonts w:hint="eastAsia" w:ascii="宋体" w:hAnsi="宋体" w:eastAsia="宋体"/>
          <w:color w:val="auto"/>
          <w:kern w:val="0"/>
          <w:szCs w:val="21"/>
          <w:u w:val="single" w:color="000000"/>
          <w:lang w:val="en-US" w:eastAsia="zh-CN"/>
        </w:rPr>
      </w:pPr>
      <w:r>
        <w:rPr>
          <w:rFonts w:hint="eastAsia" w:ascii="宋体" w:hAnsi="宋体" w:eastAsia="宋体"/>
          <w:color w:val="auto"/>
          <w:kern w:val="0"/>
          <w:szCs w:val="21"/>
          <w:u w:val="single" w:color="000000"/>
        </w:rPr>
        <w:t xml:space="preserve"> （1）按审计结算申报单要求提供相应材料</w:t>
      </w:r>
      <w:r>
        <w:rPr>
          <w:rFonts w:hint="eastAsia" w:ascii="宋体" w:hAnsi="宋体" w:eastAsia="宋体"/>
          <w:color w:val="auto"/>
          <w:kern w:val="0"/>
          <w:szCs w:val="21"/>
          <w:u w:val="single" w:color="000000"/>
          <w:lang w:val="en-US" w:eastAsia="zh-CN"/>
        </w:rPr>
        <w:t>；</w:t>
      </w:r>
    </w:p>
    <w:p w14:paraId="1C6E8641">
      <w:pPr>
        <w:spacing w:line="360" w:lineRule="auto"/>
        <w:ind w:firstLine="420" w:firstLineChars="200"/>
        <w:jc w:val="left"/>
        <w:rPr>
          <w:rFonts w:hint="eastAsia" w:ascii="宋体" w:hAnsi="宋体" w:eastAsia="宋体"/>
          <w:color w:val="auto"/>
          <w:kern w:val="0"/>
          <w:szCs w:val="21"/>
          <w:u w:val="single" w:color="000000"/>
        </w:rPr>
      </w:pPr>
      <w:r>
        <w:rPr>
          <w:rFonts w:hint="eastAsia" w:ascii="宋体" w:hAnsi="宋体" w:eastAsia="宋体"/>
          <w:color w:val="auto"/>
          <w:kern w:val="0"/>
          <w:szCs w:val="21"/>
          <w:u w:val="single" w:color="000000"/>
        </w:rPr>
        <w:t>（2）竣工结算合同价格；</w:t>
      </w:r>
    </w:p>
    <w:p w14:paraId="66D3D467">
      <w:pPr>
        <w:spacing w:line="360" w:lineRule="auto"/>
        <w:ind w:firstLine="420" w:firstLineChars="200"/>
        <w:jc w:val="left"/>
        <w:rPr>
          <w:rFonts w:hint="eastAsia" w:ascii="宋体" w:hAnsi="宋体" w:eastAsia="宋体"/>
          <w:color w:val="auto"/>
          <w:kern w:val="0"/>
          <w:szCs w:val="21"/>
          <w:u w:val="single" w:color="000000"/>
        </w:rPr>
      </w:pPr>
      <w:r>
        <w:rPr>
          <w:rFonts w:hint="eastAsia" w:ascii="宋体" w:hAnsi="宋体" w:eastAsia="宋体"/>
          <w:color w:val="auto"/>
          <w:kern w:val="0"/>
          <w:szCs w:val="21"/>
          <w:u w:val="single" w:color="000000"/>
        </w:rPr>
        <w:t>（3）发包人已支付承包人的款项；</w:t>
      </w:r>
    </w:p>
    <w:p w14:paraId="063E9A2D">
      <w:pPr>
        <w:spacing w:line="360" w:lineRule="auto"/>
        <w:ind w:firstLine="420" w:firstLineChars="200"/>
        <w:jc w:val="left"/>
        <w:rPr>
          <w:rFonts w:hint="eastAsia" w:ascii="宋体" w:hAnsi="宋体" w:eastAsia="宋体"/>
          <w:color w:val="auto"/>
          <w:kern w:val="0"/>
          <w:szCs w:val="21"/>
          <w:u w:val="single" w:color="000000"/>
        </w:rPr>
      </w:pPr>
      <w:r>
        <w:rPr>
          <w:rFonts w:hint="eastAsia" w:ascii="宋体" w:hAnsi="宋体" w:eastAsia="宋体"/>
          <w:color w:val="auto"/>
          <w:kern w:val="0"/>
          <w:szCs w:val="21"/>
          <w:u w:val="single" w:color="000000"/>
        </w:rPr>
        <w:t>（4）应扣留的质量保证金。已缴纳履约保证金的或提供其他工程质量担保方式的除外；</w:t>
      </w:r>
    </w:p>
    <w:p w14:paraId="1141FDC0">
      <w:pPr>
        <w:spacing w:line="360" w:lineRule="auto"/>
        <w:ind w:firstLine="420" w:firstLineChars="200"/>
        <w:jc w:val="left"/>
        <w:rPr>
          <w:color w:val="auto"/>
          <w:highlight w:val="none"/>
          <w:u w:val="single"/>
        </w:rPr>
      </w:pPr>
      <w:r>
        <w:rPr>
          <w:rFonts w:hint="eastAsia" w:ascii="宋体" w:hAnsi="宋体" w:eastAsia="宋体"/>
          <w:color w:val="auto"/>
          <w:kern w:val="0"/>
          <w:szCs w:val="21"/>
          <w:u w:val="single" w:color="000000"/>
        </w:rPr>
        <w:t>（5）发包人应支付承包人的合同价款</w:t>
      </w:r>
      <w:r>
        <w:rPr>
          <w:color w:val="auto"/>
          <w:highlight w:val="none"/>
          <w:u w:val="single"/>
        </w:rPr>
        <w:t xml:space="preserve"> </w:t>
      </w:r>
      <w:r>
        <w:rPr>
          <w:rFonts w:hint="eastAsia" w:hAnsi="宋体" w:cs="宋体"/>
          <w:color w:val="auto"/>
          <w:highlight w:val="none"/>
        </w:rPr>
        <w:t>。竣工结算款支付申请（核准）表见合同附件12。</w:t>
      </w:r>
    </w:p>
    <w:p w14:paraId="1381AD2D">
      <w:pPr>
        <w:pStyle w:val="5"/>
        <w:rPr>
          <w:color w:val="auto"/>
          <w:highlight w:val="none"/>
        </w:rPr>
      </w:pPr>
      <w:bookmarkStart w:id="1708" w:name="_Toc78449849"/>
      <w:bookmarkStart w:id="1709" w:name="_Toc373478407"/>
      <w:bookmarkStart w:id="1710" w:name="_Toc10913"/>
      <w:bookmarkStart w:id="1711" w:name="_Toc389065325"/>
      <w:bookmarkStart w:id="1712" w:name="_Toc407135263"/>
      <w:bookmarkStart w:id="1713" w:name="_Toc667492935"/>
      <w:bookmarkStart w:id="1714" w:name="_Toc23646"/>
      <w:bookmarkStart w:id="1715" w:name="_Toc373227760"/>
      <w:r>
        <w:rPr>
          <w:color w:val="auto"/>
          <w:highlight w:val="none"/>
        </w:rPr>
        <w:t xml:space="preserve">14.2 </w:t>
      </w:r>
      <w:r>
        <w:rPr>
          <w:rFonts w:hint="eastAsia" w:hAnsi="宋体" w:cs="黑体"/>
          <w:color w:val="auto"/>
          <w:highlight w:val="none"/>
        </w:rPr>
        <w:t>竣工结算审核</w:t>
      </w:r>
      <w:bookmarkEnd w:id="1708"/>
      <w:bookmarkEnd w:id="1709"/>
      <w:bookmarkEnd w:id="1710"/>
      <w:bookmarkEnd w:id="1711"/>
      <w:bookmarkEnd w:id="1712"/>
      <w:bookmarkEnd w:id="1713"/>
      <w:bookmarkEnd w:id="1714"/>
      <w:bookmarkEnd w:id="1715"/>
    </w:p>
    <w:p w14:paraId="66081CA4">
      <w:pPr>
        <w:spacing w:line="400" w:lineRule="exact"/>
        <w:ind w:firstLine="420" w:firstLineChars="200"/>
        <w:jc w:val="left"/>
        <w:rPr>
          <w:rFonts w:hint="eastAsia" w:ascii="Times New Roman" w:hAnsi="宋体" w:eastAsia="宋体" w:cs="宋体"/>
          <w:i w:val="0"/>
          <w:caps w:val="0"/>
          <w:color w:val="auto"/>
          <w:spacing w:val="0"/>
          <w:sz w:val="21"/>
          <w:szCs w:val="21"/>
          <w:highlight w:val="none"/>
          <w:lang w:val="en-US" w:eastAsia="zh-CN"/>
        </w:rPr>
      </w:pPr>
      <w:r>
        <w:rPr>
          <w:rFonts w:hint="eastAsia" w:ascii="Times New Roman" w:hAnsi="宋体" w:eastAsia="宋体" w:cs="宋体"/>
          <w:i w:val="0"/>
          <w:caps w:val="0"/>
          <w:color w:val="auto"/>
          <w:spacing w:val="0"/>
          <w:sz w:val="21"/>
          <w:szCs w:val="21"/>
          <w:highlight w:val="none"/>
          <w:lang w:val="en-US" w:eastAsia="zh-CN"/>
        </w:rPr>
        <w:t>14.2.1承包人</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 xml:space="preserve">是 </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否</w:t>
      </w:r>
      <w:r>
        <w:rPr>
          <w:rFonts w:hint="eastAsia" w:ascii="Times New Roman" w:hAnsi="宋体" w:eastAsia="宋体" w:cs="宋体"/>
          <w:i w:val="0"/>
          <w:caps w:val="0"/>
          <w:color w:val="auto"/>
          <w:spacing w:val="0"/>
          <w:sz w:val="21"/>
          <w:szCs w:val="21"/>
          <w:highlight w:val="none"/>
          <w:lang w:val="en-US" w:eastAsia="zh-CN"/>
        </w:rPr>
        <w:t>属于中小微企业。</w:t>
      </w:r>
    </w:p>
    <w:p w14:paraId="511EA48A">
      <w:pPr>
        <w:spacing w:line="400" w:lineRule="exact"/>
        <w:ind w:firstLine="420" w:firstLineChars="200"/>
        <w:jc w:val="left"/>
        <w:rPr>
          <w:rFonts w:hint="eastAsia" w:ascii="Times New Roman" w:hAnsi="宋体" w:eastAsia="宋体" w:cs="宋体"/>
          <w:i w:val="0"/>
          <w:caps w:val="0"/>
          <w:color w:val="auto"/>
          <w:spacing w:val="0"/>
          <w:sz w:val="21"/>
          <w:szCs w:val="21"/>
          <w:highlight w:val="none"/>
          <w:lang w:val="en-US" w:eastAsia="zh-CN"/>
        </w:rPr>
      </w:pPr>
      <w:r>
        <w:rPr>
          <w:rFonts w:hint="eastAsia" w:ascii="Times New Roman" w:hAnsi="宋体" w:eastAsia="宋体" w:cs="宋体"/>
          <w:i w:val="0"/>
          <w:caps w:val="0"/>
          <w:color w:val="auto"/>
          <w:spacing w:val="0"/>
          <w:sz w:val="21"/>
          <w:szCs w:val="21"/>
          <w:highlight w:val="none"/>
          <w:lang w:val="en-US" w:eastAsia="zh-CN"/>
        </w:rPr>
        <w:t>14.2.2</w:t>
      </w:r>
      <w:r>
        <w:rPr>
          <w:rFonts w:hint="eastAsia" w:ascii="宋体" w:hAnsi="宋体" w:eastAsia="宋体" w:cs="宋体"/>
          <w:color w:val="auto"/>
          <w:szCs w:val="21"/>
          <w:highlight w:val="none"/>
          <w:lang w:val="en-US" w:eastAsia="zh-CN"/>
        </w:rPr>
        <w:t>项目推行过程结算的，</w:t>
      </w:r>
      <w:r>
        <w:rPr>
          <w:rFonts w:hint="eastAsia" w:ascii="宋体" w:hAnsi="宋体" w:cs="宋体"/>
          <w:color w:val="auto"/>
          <w:szCs w:val="21"/>
          <w:highlight w:val="none"/>
          <w:lang w:val="zh-TW"/>
        </w:rPr>
        <w:t>承包人应在经发承包双方确认的施工过程结算的基础上，</w:t>
      </w:r>
      <w:r>
        <w:rPr>
          <w:rFonts w:hint="eastAsia" w:ascii="宋体" w:hAnsi="宋体" w:cs="宋体"/>
          <w:color w:val="auto"/>
          <w:szCs w:val="21"/>
          <w:highlight w:val="none"/>
        </w:rPr>
        <w:t>补充完善相关质量合格验收证明等资料，</w:t>
      </w:r>
      <w:r>
        <w:rPr>
          <w:rFonts w:hint="eastAsia" w:ascii="宋体" w:hAnsi="宋体" w:cs="宋体"/>
          <w:color w:val="auto"/>
          <w:szCs w:val="21"/>
          <w:highlight w:val="none"/>
          <w:lang w:val="zh-TW"/>
        </w:rPr>
        <w:t>按合同约定及相关规定编制并向发包人提交完整的工程竣工结算文件。</w:t>
      </w:r>
      <w:r>
        <w:rPr>
          <w:rFonts w:hint="eastAsia" w:ascii="Times New Roman" w:hAnsi="宋体" w:eastAsia="宋体" w:cs="宋体"/>
          <w:i w:val="0"/>
          <w:caps w:val="0"/>
          <w:color w:val="auto"/>
          <w:spacing w:val="0"/>
          <w:sz w:val="21"/>
          <w:szCs w:val="21"/>
          <w:highlight w:val="none"/>
        </w:rPr>
        <w:t>经发承包双方签署确认的施工过程结算文件作为竣工结算文件的组成部分。</w:t>
      </w:r>
      <w:r>
        <w:rPr>
          <w:rFonts w:hint="eastAsia" w:ascii="Times New Roman" w:hAnsi="宋体" w:eastAsia="宋体" w:cs="宋体"/>
          <w:i w:val="0"/>
          <w:caps w:val="0"/>
          <w:color w:val="auto"/>
          <w:spacing w:val="0"/>
          <w:sz w:val="21"/>
          <w:szCs w:val="21"/>
          <w:highlight w:val="none"/>
          <w:lang w:val="en-US" w:eastAsia="zh-CN"/>
        </w:rPr>
        <w:t>根据合同约定具有过程结算效力的过程结算文件作为竣工结算文件的组成部分，竣工后原则上不再重复审核。</w:t>
      </w:r>
    </w:p>
    <w:p w14:paraId="46C1E08D">
      <w:pPr>
        <w:spacing w:line="400" w:lineRule="exact"/>
        <w:ind w:firstLine="420" w:firstLineChars="200"/>
        <w:outlineLvl w:val="3"/>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14.2.3</w:t>
      </w:r>
      <w:r>
        <w:rPr>
          <w:rFonts w:hint="default" w:ascii="Times New Roman" w:hAnsi="Times New Roman" w:cs="Times New Roman"/>
          <w:color w:val="auto"/>
          <w:szCs w:val="21"/>
          <w:highlight w:val="none"/>
        </w:rPr>
        <w:t>发包</w:t>
      </w:r>
      <w:r>
        <w:rPr>
          <w:rFonts w:hint="default" w:ascii="Times New Roman" w:hAnsi="Times New Roman" w:cs="Times New Roman"/>
          <w:color w:val="auto"/>
          <w:szCs w:val="21"/>
          <w:highlight w:val="none"/>
          <w:u w:val="none"/>
        </w:rPr>
        <w:t>人</w:t>
      </w:r>
      <w:r>
        <w:rPr>
          <w:rFonts w:hint="eastAsia" w:ascii="Times New Roman" w:hAnsi="Times New Roman" w:cs="Times New Roman"/>
          <w:color w:val="auto"/>
          <w:szCs w:val="21"/>
          <w:highlight w:val="none"/>
          <w:u w:val="none"/>
          <w:lang w:val="en-US" w:eastAsia="zh-CN"/>
        </w:rPr>
        <w:t>在期限内</w:t>
      </w:r>
      <w:r>
        <w:rPr>
          <w:rFonts w:hint="eastAsia" w:ascii="Times New Roman" w:hAnsi="Times New Roman" w:cs="Times New Roman"/>
          <w:color w:val="auto"/>
          <w:szCs w:val="21"/>
          <w:highlight w:val="none"/>
          <w:lang w:val="en-US" w:eastAsia="zh-CN"/>
        </w:rPr>
        <w:t>按照第</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eastAsia="zh-CN"/>
        </w:rPr>
        <w:t>（</w:t>
      </w:r>
      <w:r>
        <w:rPr>
          <w:rFonts w:hint="eastAsia" w:cs="Times New Roman"/>
          <w:color w:val="auto"/>
          <w:szCs w:val="21"/>
          <w:highlight w:val="none"/>
          <w:u w:val="single"/>
          <w:lang w:val="en-US" w:eastAsia="zh-CN"/>
        </w:rPr>
        <w:t>1</w:t>
      </w:r>
      <w:r>
        <w:rPr>
          <w:rFonts w:hint="eastAsia" w:cs="Times New Roman"/>
          <w:color w:val="auto"/>
          <w:szCs w:val="21"/>
          <w:highlight w:val="none"/>
          <w:u w:val="single"/>
          <w:lang w:eastAsia="zh-CN"/>
        </w:rPr>
        <w:t>）</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none"/>
          <w:lang w:val="en-US" w:eastAsia="zh-CN"/>
        </w:rPr>
        <w:t>种方式</w:t>
      </w:r>
      <w:r>
        <w:rPr>
          <w:rFonts w:hint="eastAsia" w:ascii="Times New Roman" w:hAnsi="Times New Roman" w:cs="Times New Roman"/>
          <w:color w:val="auto"/>
          <w:szCs w:val="21"/>
          <w:highlight w:val="none"/>
          <w:lang w:val="en-US" w:eastAsia="zh-CN"/>
        </w:rPr>
        <w:t>进行</w:t>
      </w:r>
      <w:r>
        <w:rPr>
          <w:rFonts w:hint="default" w:ascii="Times New Roman" w:hAnsi="Times New Roman" w:cs="Times New Roman"/>
          <w:color w:val="auto"/>
          <w:szCs w:val="21"/>
          <w:highlight w:val="none"/>
        </w:rPr>
        <w:t>竣工</w:t>
      </w:r>
      <w:r>
        <w:rPr>
          <w:rFonts w:hint="eastAsia" w:ascii="Times New Roman" w:hAnsi="Times New Roman" w:cs="Times New Roman"/>
          <w:color w:val="auto"/>
          <w:szCs w:val="21"/>
          <w:highlight w:val="none"/>
          <w:lang w:val="en-US" w:eastAsia="zh-CN"/>
        </w:rPr>
        <w:t>结算文件审核</w:t>
      </w:r>
      <w:r>
        <w:rPr>
          <w:rFonts w:hint="default" w:ascii="Times New Roman" w:hAnsi="Times New Roman" w:cs="Times New Roman"/>
          <w:color w:val="auto"/>
          <w:szCs w:val="21"/>
          <w:highlight w:val="none"/>
        </w:rPr>
        <w:t>。</w:t>
      </w:r>
    </w:p>
    <w:p w14:paraId="41BBB641">
      <w:pPr>
        <w:numPr>
          <w:ilvl w:val="0"/>
          <w:numId w:val="5"/>
        </w:numPr>
        <w:spacing w:line="400" w:lineRule="exact"/>
        <w:ind w:firstLine="420" w:firstLineChars="200"/>
        <w:jc w:val="left"/>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本工程项目</w:t>
      </w:r>
      <w:r>
        <w:rPr>
          <w:rFonts w:hint="eastAsia" w:cs="Times New Roman"/>
          <w:color w:val="auto"/>
          <w:szCs w:val="21"/>
          <w:highlight w:val="none"/>
          <w:lang w:val="en-US" w:eastAsia="zh-CN"/>
        </w:rPr>
        <w:t>的</w:t>
      </w:r>
      <w:r>
        <w:rPr>
          <w:rFonts w:hint="eastAsia" w:ascii="Times New Roman" w:hAnsi="Times New Roman" w:eastAsia="宋体" w:cs="Times New Roman"/>
          <w:color w:val="auto"/>
          <w:szCs w:val="21"/>
          <w:highlight w:val="none"/>
          <w:lang w:val="en-US" w:eastAsia="zh-CN"/>
        </w:rPr>
        <w:t>竣工结算以发包人</w:t>
      </w:r>
      <w:r>
        <w:rPr>
          <w:rFonts w:hint="eastAsia" w:ascii="Times New Roman" w:hAnsi="Times New Roman" w:eastAsia="宋体" w:cs="Times New Roman"/>
          <w:b w:val="0"/>
          <w:bCs w:val="0"/>
          <w:color w:val="auto"/>
          <w:szCs w:val="21"/>
          <w:highlight w:val="none"/>
          <w:lang w:val="en-US" w:eastAsia="zh-CN"/>
        </w:rPr>
        <w:t>审核的结论为准。</w:t>
      </w:r>
    </w:p>
    <w:p w14:paraId="0690FC52">
      <w:pPr>
        <w:spacing w:line="360" w:lineRule="auto"/>
        <w:ind w:firstLine="420" w:firstLineChars="200"/>
        <w:jc w:val="left"/>
        <w:rPr>
          <w:rFonts w:hint="eastAsia" w:hAnsi="宋体" w:cs="宋体"/>
          <w:color w:val="auto"/>
          <w:highlight w:val="none"/>
        </w:rPr>
      </w:pPr>
      <w:r>
        <w:rPr>
          <w:rFonts w:hint="eastAsia" w:ascii="Times New Roman" w:hAnsi="宋体" w:eastAsia="宋体" w:cs="宋体"/>
          <w:i w:val="0"/>
          <w:caps w:val="0"/>
          <w:color w:val="auto"/>
          <w:spacing w:val="0"/>
          <w:sz w:val="21"/>
          <w:szCs w:val="21"/>
          <w:highlight w:val="none"/>
        </w:rPr>
        <w:t>发承包双方</w:t>
      </w:r>
      <w:r>
        <w:rPr>
          <w:rFonts w:hint="eastAsia" w:ascii="Times New Roman" w:hAnsi="宋体" w:eastAsia="宋体" w:cs="宋体"/>
          <w:i w:val="0"/>
          <w:caps w:val="0"/>
          <w:color w:val="auto"/>
          <w:spacing w:val="0"/>
          <w:sz w:val="21"/>
          <w:szCs w:val="21"/>
          <w:highlight w:val="none"/>
          <w:lang w:val="en-US" w:eastAsia="zh-CN"/>
        </w:rPr>
        <w:t>可参照下表，约定发包人审核竣工结算文件</w:t>
      </w:r>
      <w:r>
        <w:rPr>
          <w:rFonts w:hint="eastAsia" w:ascii="Times New Roman" w:hAnsi="宋体" w:eastAsia="宋体" w:cs="宋体"/>
          <w:i w:val="0"/>
          <w:caps w:val="0"/>
          <w:color w:val="auto"/>
          <w:spacing w:val="0"/>
          <w:sz w:val="21"/>
          <w:szCs w:val="21"/>
          <w:highlight w:val="none"/>
        </w:rPr>
        <w:t>的期限</w:t>
      </w:r>
      <w:r>
        <w:rPr>
          <w:rFonts w:hint="eastAsia" w:hAnsi="宋体" w:cs="宋体"/>
          <w:color w:val="auto"/>
          <w:highlight w:val="none"/>
          <w:lang w:val="en-US" w:eastAsia="zh-CN"/>
        </w:rPr>
        <w:t>。</w:t>
      </w:r>
    </w:p>
    <w:p w14:paraId="68BBEF30">
      <w:pPr>
        <w:spacing w:line="360" w:lineRule="auto"/>
        <w:ind w:firstLine="420" w:firstLineChars="200"/>
        <w:jc w:val="left"/>
        <w:rPr>
          <w:color w:val="auto"/>
          <w:highlight w:val="none"/>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73E7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219ED55D">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2466" w:type="dxa"/>
            <w:noWrap w:val="0"/>
            <w:vAlign w:val="center"/>
          </w:tcPr>
          <w:p w14:paraId="45973A53">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eastAsia" w:ascii="Calibri" w:hAnsi="宋体" w:eastAsia="宋体" w:cs="宋体"/>
                <w:color w:val="auto"/>
                <w:highlight w:val="none"/>
              </w:rPr>
              <w:t>工程竣工结算</w:t>
            </w:r>
            <w:r>
              <w:rPr>
                <w:rFonts w:hint="eastAsia" w:ascii="Calibri" w:hAnsi="宋体" w:eastAsia="宋体" w:cs="宋体"/>
                <w:color w:val="auto"/>
                <w:highlight w:val="none"/>
                <w:lang w:eastAsia="zh-CN"/>
              </w:rPr>
              <w:t>申请</w:t>
            </w:r>
            <w:r>
              <w:rPr>
                <w:rFonts w:hint="eastAsia" w:ascii="Calibri" w:hAnsi="宋体" w:eastAsia="宋体" w:cs="宋体"/>
                <w:color w:val="auto"/>
                <w:highlight w:val="none"/>
              </w:rPr>
              <w:t>金额</w:t>
            </w:r>
          </w:p>
        </w:tc>
        <w:tc>
          <w:tcPr>
            <w:tcW w:w="5967" w:type="dxa"/>
            <w:noWrap w:val="0"/>
            <w:vAlign w:val="center"/>
          </w:tcPr>
          <w:p w14:paraId="7CBA099B">
            <w:pPr>
              <w:keepNext w:val="0"/>
              <w:keepLines w:val="0"/>
              <w:suppressLineNumbers w:val="0"/>
              <w:spacing w:before="0" w:beforeAutospacing="0" w:after="0" w:afterAutospacing="0" w:line="360" w:lineRule="auto"/>
              <w:ind w:left="0" w:right="0" w:firstLine="441" w:firstLineChars="210"/>
              <w:jc w:val="center"/>
              <w:rPr>
                <w:rFonts w:hint="default" w:ascii="Calibri" w:hAnsi="Calibri" w:eastAsia="宋体" w:cs="Times New Roman"/>
                <w:color w:val="auto"/>
                <w:highlight w:val="none"/>
              </w:rPr>
            </w:pPr>
            <w:r>
              <w:rPr>
                <w:rFonts w:hint="eastAsia" w:ascii="Calibri" w:hAnsi="宋体" w:eastAsia="宋体" w:cs="宋体"/>
                <w:color w:val="auto"/>
                <w:highlight w:val="none"/>
              </w:rPr>
              <w:t>发包人</w:t>
            </w:r>
            <w:r>
              <w:rPr>
                <w:rFonts w:hint="eastAsia" w:ascii="Calibri" w:hAnsi="宋体" w:eastAsia="宋体" w:cs="宋体"/>
                <w:color w:val="auto"/>
                <w:highlight w:val="none"/>
                <w:lang w:val="en-US" w:eastAsia="zh-CN"/>
              </w:rPr>
              <w:t>审核</w:t>
            </w:r>
            <w:r>
              <w:rPr>
                <w:rFonts w:hint="eastAsia" w:ascii="Times New Roman" w:hAnsi="宋体" w:eastAsia="宋体" w:cs="宋体"/>
                <w:i w:val="0"/>
                <w:caps w:val="0"/>
                <w:color w:val="auto"/>
                <w:spacing w:val="0"/>
                <w:sz w:val="21"/>
                <w:szCs w:val="21"/>
                <w:highlight w:val="none"/>
                <w:lang w:val="en-US" w:eastAsia="zh-CN"/>
              </w:rPr>
              <w:t>竣工结算文件</w:t>
            </w:r>
            <w:r>
              <w:rPr>
                <w:rFonts w:hint="eastAsia" w:ascii="Times New Roman" w:hAnsi="宋体" w:eastAsia="宋体" w:cs="宋体"/>
                <w:i w:val="0"/>
                <w:caps w:val="0"/>
                <w:color w:val="auto"/>
                <w:spacing w:val="0"/>
                <w:sz w:val="21"/>
                <w:szCs w:val="21"/>
                <w:highlight w:val="none"/>
              </w:rPr>
              <w:t>的</w:t>
            </w:r>
            <w:r>
              <w:rPr>
                <w:rFonts w:hint="eastAsia" w:ascii="Calibri" w:hAnsi="宋体" w:eastAsia="宋体" w:cs="宋体"/>
                <w:color w:val="auto"/>
                <w:highlight w:val="none"/>
              </w:rPr>
              <w:t>时间</w:t>
            </w:r>
          </w:p>
        </w:tc>
      </w:tr>
      <w:tr w14:paraId="39BD1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5516BCA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w:t>
            </w:r>
          </w:p>
        </w:tc>
        <w:tc>
          <w:tcPr>
            <w:tcW w:w="2466" w:type="dxa"/>
            <w:noWrap w:val="0"/>
            <w:vAlign w:val="center"/>
          </w:tcPr>
          <w:p w14:paraId="5058DC0F">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500</w:t>
            </w:r>
            <w:r>
              <w:rPr>
                <w:rFonts w:hint="eastAsia" w:ascii="Calibri" w:hAnsi="宋体" w:eastAsia="宋体" w:cs="宋体"/>
                <w:color w:val="auto"/>
                <w:highlight w:val="none"/>
              </w:rPr>
              <w:t>万元以下</w:t>
            </w:r>
          </w:p>
        </w:tc>
        <w:tc>
          <w:tcPr>
            <w:tcW w:w="5967" w:type="dxa"/>
            <w:noWrap w:val="0"/>
            <w:vAlign w:val="center"/>
          </w:tcPr>
          <w:p w14:paraId="40410A99">
            <w:pPr>
              <w:keepNext w:val="0"/>
              <w:keepLines w:val="0"/>
              <w:suppressLineNumbers w:val="0"/>
              <w:spacing w:before="0" w:beforeAutospacing="0" w:after="0" w:afterAutospacing="0" w:line="360" w:lineRule="auto"/>
              <w:ind w:left="0" w:right="0" w:firstLine="441" w:firstLineChars="210"/>
              <w:jc w:val="center"/>
              <w:rPr>
                <w:rFonts w:hint="default" w:ascii="Calibri" w:hAnsi="Calibri" w:eastAsia="宋体" w:cs="Times New Roman"/>
                <w:color w:val="auto"/>
                <w:highlight w:val="none"/>
              </w:rPr>
            </w:pPr>
            <w:r>
              <w:rPr>
                <w:rFonts w:hint="eastAsia" w:ascii="Calibri" w:hAnsi="宋体" w:eastAsia="宋体" w:cs="宋体"/>
                <w:color w:val="auto"/>
                <w:highlight w:val="none"/>
              </w:rPr>
              <w:t>从接到竣工结算报告和完整的竣工结算资料之日起</w:t>
            </w:r>
            <w:r>
              <w:rPr>
                <w:rFonts w:hint="default" w:ascii="Calibri" w:hAnsi="Calibri" w:eastAsia="宋体" w:cs="Times New Roman"/>
                <w:color w:val="auto"/>
                <w:highlight w:val="none"/>
              </w:rPr>
              <w:t>20</w:t>
            </w:r>
            <w:r>
              <w:rPr>
                <w:rFonts w:hint="eastAsia" w:ascii="Calibri" w:hAnsi="宋体" w:eastAsia="宋体" w:cs="宋体"/>
                <w:color w:val="auto"/>
                <w:highlight w:val="none"/>
              </w:rPr>
              <w:t>天</w:t>
            </w:r>
          </w:p>
        </w:tc>
      </w:tr>
      <w:tr w14:paraId="0F3F4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5AD812B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w:t>
            </w:r>
          </w:p>
        </w:tc>
        <w:tc>
          <w:tcPr>
            <w:tcW w:w="2466" w:type="dxa"/>
            <w:noWrap w:val="0"/>
            <w:vAlign w:val="center"/>
          </w:tcPr>
          <w:p w14:paraId="1967F790">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500</w:t>
            </w:r>
            <w:r>
              <w:rPr>
                <w:rFonts w:hint="eastAsia" w:ascii="Calibri" w:hAnsi="宋体" w:eastAsia="宋体" w:cs="宋体"/>
                <w:color w:val="auto"/>
                <w:highlight w:val="none"/>
              </w:rPr>
              <w:t>万元</w:t>
            </w:r>
            <w:r>
              <w:rPr>
                <w:rFonts w:hint="default" w:ascii="Calibri" w:hAnsi="Calibri" w:eastAsia="宋体" w:cs="Times New Roman"/>
                <w:color w:val="auto"/>
                <w:highlight w:val="none"/>
              </w:rPr>
              <w:t>-2000</w:t>
            </w:r>
            <w:r>
              <w:rPr>
                <w:rFonts w:hint="eastAsia" w:ascii="Calibri" w:hAnsi="宋体" w:eastAsia="宋体" w:cs="宋体"/>
                <w:color w:val="auto"/>
                <w:highlight w:val="none"/>
              </w:rPr>
              <w:t>万元</w:t>
            </w:r>
          </w:p>
        </w:tc>
        <w:tc>
          <w:tcPr>
            <w:tcW w:w="5967" w:type="dxa"/>
            <w:noWrap w:val="0"/>
            <w:vAlign w:val="center"/>
          </w:tcPr>
          <w:p w14:paraId="0EF318C8">
            <w:pPr>
              <w:keepNext w:val="0"/>
              <w:keepLines w:val="0"/>
              <w:suppressLineNumbers w:val="0"/>
              <w:spacing w:before="0" w:beforeAutospacing="0" w:after="0" w:afterAutospacing="0" w:line="360" w:lineRule="auto"/>
              <w:ind w:left="0" w:right="0" w:firstLine="441" w:firstLineChars="210"/>
              <w:jc w:val="center"/>
              <w:rPr>
                <w:rFonts w:hint="default" w:ascii="Calibri" w:hAnsi="Calibri" w:eastAsia="宋体" w:cs="Times New Roman"/>
                <w:color w:val="auto"/>
                <w:highlight w:val="none"/>
              </w:rPr>
            </w:pPr>
            <w:r>
              <w:rPr>
                <w:rFonts w:hint="eastAsia" w:ascii="Calibri" w:hAnsi="宋体" w:eastAsia="宋体" w:cs="宋体"/>
                <w:color w:val="auto"/>
                <w:highlight w:val="none"/>
              </w:rPr>
              <w:t>从接到竣工结算报告和完整的竣工结算资料之日起</w:t>
            </w:r>
            <w:r>
              <w:rPr>
                <w:rFonts w:hint="default" w:ascii="Calibri" w:hAnsi="Calibri" w:eastAsia="宋体" w:cs="Times New Roman"/>
                <w:color w:val="auto"/>
                <w:highlight w:val="none"/>
              </w:rPr>
              <w:t>30</w:t>
            </w:r>
            <w:r>
              <w:rPr>
                <w:rFonts w:hint="eastAsia" w:ascii="Calibri" w:hAnsi="宋体" w:eastAsia="宋体" w:cs="宋体"/>
                <w:color w:val="auto"/>
                <w:highlight w:val="none"/>
              </w:rPr>
              <w:t>天</w:t>
            </w:r>
          </w:p>
        </w:tc>
      </w:tr>
      <w:tr w14:paraId="0A8E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1ECDBE8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2466" w:type="dxa"/>
            <w:noWrap w:val="0"/>
            <w:vAlign w:val="center"/>
          </w:tcPr>
          <w:p w14:paraId="05F6D44D">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2000</w:t>
            </w:r>
            <w:r>
              <w:rPr>
                <w:rFonts w:hint="eastAsia" w:ascii="Calibri" w:hAnsi="宋体" w:eastAsia="宋体" w:cs="宋体"/>
                <w:color w:val="auto"/>
                <w:highlight w:val="none"/>
              </w:rPr>
              <w:t>万元</w:t>
            </w:r>
            <w:r>
              <w:rPr>
                <w:rFonts w:hint="default" w:ascii="Calibri" w:hAnsi="Calibri" w:eastAsia="宋体" w:cs="Times New Roman"/>
                <w:color w:val="auto"/>
                <w:highlight w:val="none"/>
              </w:rPr>
              <w:t>-5000</w:t>
            </w:r>
            <w:r>
              <w:rPr>
                <w:rFonts w:hint="eastAsia" w:ascii="Calibri" w:hAnsi="宋体" w:eastAsia="宋体" w:cs="宋体"/>
                <w:color w:val="auto"/>
                <w:highlight w:val="none"/>
              </w:rPr>
              <w:t>万元</w:t>
            </w:r>
          </w:p>
        </w:tc>
        <w:tc>
          <w:tcPr>
            <w:tcW w:w="5967" w:type="dxa"/>
            <w:noWrap w:val="0"/>
            <w:vAlign w:val="center"/>
          </w:tcPr>
          <w:p w14:paraId="2CC962BF">
            <w:pPr>
              <w:keepNext w:val="0"/>
              <w:keepLines w:val="0"/>
              <w:suppressLineNumbers w:val="0"/>
              <w:spacing w:before="0" w:beforeAutospacing="0" w:after="0" w:afterAutospacing="0" w:line="360" w:lineRule="auto"/>
              <w:ind w:left="0" w:right="0" w:firstLine="441" w:firstLineChars="210"/>
              <w:jc w:val="center"/>
              <w:rPr>
                <w:rFonts w:hint="default" w:ascii="Calibri" w:hAnsi="Calibri" w:eastAsia="宋体" w:cs="Times New Roman"/>
                <w:color w:val="auto"/>
                <w:highlight w:val="none"/>
              </w:rPr>
            </w:pPr>
            <w:r>
              <w:rPr>
                <w:rFonts w:hint="eastAsia" w:ascii="Calibri" w:hAnsi="宋体" w:eastAsia="宋体" w:cs="宋体"/>
                <w:color w:val="auto"/>
                <w:highlight w:val="none"/>
              </w:rPr>
              <w:t>从接到竣工结算报告和完整的竣工结算资料之日起</w:t>
            </w:r>
            <w:r>
              <w:rPr>
                <w:rFonts w:hint="default" w:ascii="Calibri" w:hAnsi="Calibri" w:eastAsia="宋体" w:cs="Times New Roman"/>
                <w:color w:val="auto"/>
                <w:highlight w:val="none"/>
              </w:rPr>
              <w:t>45</w:t>
            </w:r>
            <w:r>
              <w:rPr>
                <w:rFonts w:hint="eastAsia" w:ascii="Calibri" w:hAnsi="宋体" w:eastAsia="宋体" w:cs="宋体"/>
                <w:color w:val="auto"/>
                <w:highlight w:val="none"/>
              </w:rPr>
              <w:t>天</w:t>
            </w:r>
          </w:p>
        </w:tc>
      </w:tr>
      <w:tr w14:paraId="3E5F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2FDCB8C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4</w:t>
            </w:r>
          </w:p>
        </w:tc>
        <w:tc>
          <w:tcPr>
            <w:tcW w:w="2466" w:type="dxa"/>
            <w:noWrap w:val="0"/>
            <w:vAlign w:val="center"/>
          </w:tcPr>
          <w:p w14:paraId="45D4F1C0">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5000</w:t>
            </w:r>
            <w:r>
              <w:rPr>
                <w:rFonts w:hint="eastAsia" w:ascii="Calibri" w:hAnsi="宋体" w:eastAsia="宋体" w:cs="宋体"/>
                <w:color w:val="auto"/>
                <w:highlight w:val="none"/>
              </w:rPr>
              <w:t>万元以上</w:t>
            </w:r>
          </w:p>
        </w:tc>
        <w:tc>
          <w:tcPr>
            <w:tcW w:w="5967" w:type="dxa"/>
            <w:noWrap w:val="0"/>
            <w:vAlign w:val="center"/>
          </w:tcPr>
          <w:p w14:paraId="4A9C17FA">
            <w:pPr>
              <w:keepNext w:val="0"/>
              <w:keepLines w:val="0"/>
              <w:suppressLineNumbers w:val="0"/>
              <w:spacing w:before="0" w:beforeAutospacing="0" w:after="0" w:afterAutospacing="0" w:line="360" w:lineRule="auto"/>
              <w:ind w:left="0" w:right="0" w:firstLine="441" w:firstLineChars="210"/>
              <w:jc w:val="center"/>
              <w:rPr>
                <w:rFonts w:hint="default" w:ascii="Calibri" w:hAnsi="Calibri" w:eastAsia="宋体" w:cs="Times New Roman"/>
                <w:color w:val="auto"/>
                <w:highlight w:val="none"/>
              </w:rPr>
            </w:pPr>
            <w:r>
              <w:rPr>
                <w:rFonts w:hint="eastAsia" w:ascii="Calibri" w:hAnsi="宋体" w:eastAsia="宋体" w:cs="宋体"/>
                <w:color w:val="auto"/>
                <w:highlight w:val="none"/>
              </w:rPr>
              <w:t>从接到竣工结算报告和完整的竣工结算资料之日起</w:t>
            </w:r>
            <w:r>
              <w:rPr>
                <w:rFonts w:hint="default" w:ascii="Calibri" w:hAnsi="Calibri" w:eastAsia="宋体" w:cs="Times New Roman"/>
                <w:color w:val="auto"/>
                <w:highlight w:val="none"/>
              </w:rPr>
              <w:t>60</w:t>
            </w:r>
            <w:r>
              <w:rPr>
                <w:rFonts w:hint="eastAsia" w:ascii="Calibri" w:hAnsi="宋体" w:eastAsia="宋体" w:cs="宋体"/>
                <w:color w:val="auto"/>
                <w:highlight w:val="none"/>
              </w:rPr>
              <w:t>天</w:t>
            </w:r>
          </w:p>
        </w:tc>
      </w:tr>
      <w:tr w14:paraId="1028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6EC3E74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5</w:t>
            </w:r>
          </w:p>
        </w:tc>
        <w:tc>
          <w:tcPr>
            <w:tcW w:w="2466" w:type="dxa"/>
            <w:noWrap w:val="0"/>
            <w:vAlign w:val="center"/>
          </w:tcPr>
          <w:p w14:paraId="16A830F2">
            <w:pPr>
              <w:keepNext w:val="0"/>
              <w:keepLines w:val="0"/>
              <w:suppressLineNumbers w:val="0"/>
              <w:spacing w:before="0" w:beforeAutospacing="0" w:after="0" w:afterAutospacing="0" w:line="360" w:lineRule="auto"/>
              <w:ind w:left="0" w:right="0" w:firstLine="27" w:firstLineChars="13"/>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5000万以上每增加</w:t>
            </w:r>
            <w:r>
              <w:rPr>
                <w:rFonts w:hint="default" w:ascii="Calibri" w:hAnsi="Calibri" w:eastAsia="宋体" w:cs="Times New Roman"/>
                <w:color w:val="auto"/>
                <w:highlight w:val="none"/>
              </w:rPr>
              <w:t>0.5</w:t>
            </w:r>
            <w:r>
              <w:rPr>
                <w:rFonts w:hint="eastAsia" w:ascii="Calibri" w:hAnsi="Calibri" w:eastAsia="宋体" w:cs="Times New Roman"/>
                <w:color w:val="auto"/>
                <w:highlight w:val="none"/>
              </w:rPr>
              <w:t>亿</w:t>
            </w:r>
            <w:r>
              <w:rPr>
                <w:rFonts w:hint="eastAsia" w:ascii="Calibri" w:hAnsi="Calibri" w:cs="Times New Roman"/>
                <w:color w:val="auto"/>
                <w:highlight w:val="none"/>
                <w:lang w:eastAsia="zh-CN"/>
              </w:rPr>
              <w:t>（</w:t>
            </w:r>
            <w:r>
              <w:rPr>
                <w:rFonts w:hint="eastAsia" w:ascii="Calibri" w:hAnsi="Calibri" w:eastAsia="宋体" w:cs="Times New Roman"/>
                <w:color w:val="auto"/>
                <w:highlight w:val="none"/>
              </w:rPr>
              <w:t>不足0.5亿不增加</w:t>
            </w:r>
            <w:r>
              <w:rPr>
                <w:rFonts w:hint="eastAsia" w:ascii="Calibri" w:hAnsi="Calibri" w:cs="Times New Roman"/>
                <w:color w:val="auto"/>
                <w:highlight w:val="none"/>
                <w:lang w:eastAsia="zh-CN"/>
              </w:rPr>
              <w:t>）</w:t>
            </w:r>
          </w:p>
        </w:tc>
        <w:tc>
          <w:tcPr>
            <w:tcW w:w="5967" w:type="dxa"/>
            <w:noWrap w:val="0"/>
            <w:vAlign w:val="center"/>
          </w:tcPr>
          <w:p w14:paraId="41B29784">
            <w:pPr>
              <w:keepNext w:val="0"/>
              <w:keepLines w:val="0"/>
              <w:suppressLineNumbers w:val="0"/>
              <w:spacing w:before="0" w:beforeAutospacing="0" w:after="0" w:afterAutospacing="0" w:line="360" w:lineRule="auto"/>
              <w:ind w:left="0" w:right="0" w:firstLine="441" w:firstLineChars="210"/>
              <w:jc w:val="center"/>
              <w:rPr>
                <w:rFonts w:hint="eastAsia" w:ascii="Calibri" w:hAnsi="宋体" w:eastAsia="宋体" w:cs="宋体"/>
                <w:color w:val="auto"/>
                <w:highlight w:val="none"/>
              </w:rPr>
            </w:pPr>
            <w:r>
              <w:rPr>
                <w:rFonts w:hint="eastAsia" w:ascii="Calibri" w:hAnsi="宋体" w:eastAsia="宋体" w:cs="宋体"/>
                <w:color w:val="auto"/>
                <w:highlight w:val="none"/>
              </w:rPr>
              <w:t>增加10天</w:t>
            </w:r>
          </w:p>
        </w:tc>
      </w:tr>
    </w:tbl>
    <w:p w14:paraId="723E6B76">
      <w:pPr>
        <w:spacing w:line="400" w:lineRule="exact"/>
        <w:ind w:left="0" w:leftChars="0" w:firstLine="0" w:firstLineChars="0"/>
        <w:outlineLvl w:val="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eastAsia="zh-CN"/>
        </w:rPr>
        <w:t>附注：推行施工过程结算的竣工结算审核时限按本表审核时间的</w:t>
      </w:r>
      <w:r>
        <w:rPr>
          <w:rFonts w:hint="eastAsia" w:ascii="Times New Roman" w:hAnsi="Times New Roman" w:eastAsia="宋体" w:cs="Times New Roman"/>
          <w:color w:val="auto"/>
          <w:szCs w:val="21"/>
          <w:highlight w:val="none"/>
          <w:lang w:val="en-US" w:eastAsia="zh-CN"/>
        </w:rPr>
        <w:t>50%计算。</w:t>
      </w:r>
    </w:p>
    <w:p w14:paraId="53956586">
      <w:pPr>
        <w:spacing w:line="360" w:lineRule="auto"/>
        <w:ind w:firstLine="420" w:firstLineChars="200"/>
        <w:jc w:val="left"/>
        <w:rPr>
          <w:rFonts w:hint="eastAsia" w:hAnsi="宋体" w:cs="宋体"/>
          <w:color w:val="auto"/>
          <w:highlight w:val="none"/>
        </w:rPr>
      </w:pPr>
    </w:p>
    <w:p w14:paraId="2104D270">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发包人约定审核竣工结算申请文件的期限：从接到竣工结算报告和完整的竣工结算资料之日</w:t>
      </w:r>
    </w:p>
    <w:p w14:paraId="71431377">
      <w:pPr>
        <w:spacing w:line="360" w:lineRule="auto"/>
        <w:ind w:firstLine="0" w:firstLineChars="0"/>
        <w:jc w:val="left"/>
        <w:rPr>
          <w:rFonts w:hint="eastAsia" w:hAnsi="宋体" w:cs="宋体"/>
          <w:color w:val="auto"/>
          <w:highlight w:val="none"/>
        </w:rPr>
      </w:pPr>
      <w:r>
        <w:rPr>
          <w:rFonts w:hint="eastAsia" w:hAnsi="宋体" w:cs="宋体"/>
          <w:color w:val="auto"/>
          <w:highlight w:val="none"/>
        </w:rPr>
        <w:t>起</w:t>
      </w:r>
      <w:r>
        <w:rPr>
          <w:rFonts w:hint="eastAsia" w:hAnsi="宋体" w:cs="宋体"/>
          <w:color w:val="auto"/>
          <w:highlight w:val="none"/>
          <w:u w:val="single"/>
        </w:rPr>
        <w:t xml:space="preserve">       </w:t>
      </w:r>
      <w:r>
        <w:rPr>
          <w:rFonts w:hint="eastAsia" w:hAnsi="宋体" w:cs="宋体"/>
          <w:color w:val="auto"/>
          <w:highlight w:val="none"/>
        </w:rPr>
        <w:t>天内审核完毕。没有约定期限的，发包人应当在收到承包人提交的竣工结算申请与竣工结算文件之日起的28天内完成竣工结算审核。</w:t>
      </w:r>
    </w:p>
    <w:p w14:paraId="4349BF78">
      <w:pPr>
        <w:spacing w:line="360" w:lineRule="auto"/>
        <w:ind w:firstLine="420" w:firstLineChars="200"/>
        <w:jc w:val="left"/>
        <w:rPr>
          <w:rFonts w:hint="eastAsia" w:hAnsi="宋体" w:cs="宋体"/>
          <w:color w:val="auto"/>
          <w:highlight w:val="none"/>
        </w:rPr>
      </w:pPr>
    </w:p>
    <w:p w14:paraId="5D08A143">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工程结算应由承包人或受其委托的工程造价咨询人编制，由发包人或受其委托的工程造价咨询人核对。受其委托的工程造价咨询人编制或核对的结果，经委托人确认后应视为委托人的结果。经发包人或发包人委托的工程造价咨询单位与承包人核对后无异议的竣工结算文件，发承包双方应签字并盖章确认。如其中一方不签认的，应承担违约责任，并承担由此造成的损失。</w:t>
      </w:r>
    </w:p>
    <w:p w14:paraId="2C2C99CF">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除发承包双方共同约定以财政评审结论作为竣工结算的依据以外，不应以财政评审结论作为竣工结算的依据。</w:t>
      </w:r>
    </w:p>
    <w:p w14:paraId="00EA8D61">
      <w:pPr>
        <w:spacing w:line="400" w:lineRule="exact"/>
        <w:ind w:firstLine="420" w:firstLineChars="20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2</w:t>
      </w:r>
      <w:r>
        <w:rPr>
          <w:rFonts w:hint="eastAsia" w:ascii="Times New Roman" w:hAnsi="Times New Roman"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本工程项目</w:t>
      </w:r>
      <w:r>
        <w:rPr>
          <w:rFonts w:hint="eastAsia" w:cs="Times New Roman"/>
          <w:color w:val="auto"/>
          <w:szCs w:val="21"/>
          <w:highlight w:val="none"/>
          <w:lang w:val="en-US" w:eastAsia="zh-CN"/>
        </w:rPr>
        <w:t>的</w:t>
      </w:r>
      <w:r>
        <w:rPr>
          <w:rFonts w:hint="eastAsia" w:ascii="Times New Roman" w:hAnsi="Times New Roman" w:eastAsia="宋体" w:cs="Times New Roman"/>
          <w:color w:val="auto"/>
          <w:szCs w:val="21"/>
          <w:highlight w:val="none"/>
          <w:lang w:val="en-US" w:eastAsia="zh-CN"/>
        </w:rPr>
        <w:t>竣工结算以</w:t>
      </w:r>
      <w:r>
        <w:rPr>
          <w:rFonts w:hint="eastAsia" w:ascii="Times New Roman" w:hAnsi="Times New Roman" w:eastAsia="宋体" w:cs="Times New Roman"/>
          <w:color w:val="auto"/>
          <w:szCs w:val="21"/>
          <w:highlight w:val="none"/>
          <w:u w:val="single"/>
          <w:lang w:val="en-US" w:eastAsia="zh-CN"/>
        </w:rPr>
        <w:t>达到《自治区本级财政投资评审实施办法》（桂财办〔2015〕70号）规定的评审范围时</w:t>
      </w:r>
      <w:r>
        <w:rPr>
          <w:rFonts w:hint="eastAsia" w:ascii="Times New Roman" w:hAnsi="Times New Roman" w:eastAsia="宋体" w:cs="Times New Roman"/>
          <w:color w:val="auto"/>
          <w:szCs w:val="21"/>
          <w:highlight w:val="none"/>
          <w:lang w:val="en-US" w:eastAsia="zh-CN"/>
        </w:rPr>
        <w:t>财政</w:t>
      </w:r>
      <w:r>
        <w:rPr>
          <w:rFonts w:hint="eastAsia" w:cs="Times New Roman"/>
          <w:color w:val="auto"/>
          <w:szCs w:val="21"/>
          <w:highlight w:val="none"/>
          <w:lang w:val="en-US" w:eastAsia="zh-CN"/>
        </w:rPr>
        <w:t>投资</w:t>
      </w:r>
      <w:r>
        <w:rPr>
          <w:rFonts w:hint="eastAsia" w:ascii="Times New Roman" w:hAnsi="Times New Roman" w:eastAsia="宋体" w:cs="Times New Roman"/>
          <w:color w:val="auto"/>
          <w:szCs w:val="21"/>
          <w:highlight w:val="none"/>
          <w:lang w:val="en-US" w:eastAsia="zh-CN"/>
        </w:rPr>
        <w:t>评审的结论为准。</w:t>
      </w:r>
    </w:p>
    <w:p w14:paraId="1111FF9C">
      <w:pPr>
        <w:spacing w:line="400" w:lineRule="exact"/>
        <w:ind w:firstLine="420" w:firstLineChars="200"/>
        <w:outlineLvl w:val="3"/>
        <w:rPr>
          <w:rFonts w:hint="eastAsia" w:hAnsi="宋体" w:cs="宋体"/>
          <w:color w:val="auto"/>
          <w:highlight w:val="none"/>
          <w:lang w:val="en-US" w:eastAsia="zh-CN"/>
        </w:rPr>
      </w:pPr>
      <w:r>
        <w:rPr>
          <w:rFonts w:hint="eastAsia" w:ascii="Times New Roman" w:hAnsi="Times New Roman" w:eastAsia="宋体" w:cs="Times New Roman"/>
          <w:color w:val="auto"/>
          <w:szCs w:val="21"/>
          <w:highlight w:val="none"/>
          <w:lang w:val="en-US" w:eastAsia="zh-CN"/>
        </w:rPr>
        <w:t>承包人</w:t>
      </w:r>
      <w:r>
        <w:rPr>
          <w:rFonts w:hint="eastAsia" w:cs="Times New Roman"/>
          <w:color w:val="auto"/>
          <w:szCs w:val="21"/>
          <w:highlight w:val="none"/>
          <w:lang w:val="en-US" w:eastAsia="zh-CN"/>
        </w:rPr>
        <w:t>应配合发包人按</w:t>
      </w:r>
      <w:r>
        <w:rPr>
          <w:rFonts w:hint="eastAsia" w:ascii="Times New Roman" w:hAnsi="Times New Roman" w:eastAsia="宋体" w:cs="Times New Roman"/>
          <w:color w:val="auto"/>
          <w:szCs w:val="21"/>
          <w:highlight w:val="none"/>
          <w:lang w:val="en-US" w:eastAsia="zh-CN"/>
        </w:rPr>
        <w:t>财政</w:t>
      </w:r>
      <w:r>
        <w:rPr>
          <w:rFonts w:hint="eastAsia" w:cs="Times New Roman"/>
          <w:color w:val="auto"/>
          <w:szCs w:val="21"/>
          <w:highlight w:val="none"/>
          <w:lang w:val="en-US" w:eastAsia="zh-CN"/>
        </w:rPr>
        <w:t>投资</w:t>
      </w:r>
      <w:r>
        <w:rPr>
          <w:rFonts w:hint="eastAsia" w:ascii="Times New Roman" w:hAnsi="Times New Roman" w:eastAsia="宋体" w:cs="Times New Roman"/>
          <w:color w:val="auto"/>
          <w:szCs w:val="21"/>
          <w:highlight w:val="none"/>
          <w:lang w:val="en-US" w:eastAsia="zh-CN"/>
        </w:rPr>
        <w:t>评审</w:t>
      </w:r>
      <w:r>
        <w:rPr>
          <w:rFonts w:hint="eastAsia" w:eastAsia="宋体" w:cs="Times New Roman"/>
          <w:color w:val="auto"/>
          <w:szCs w:val="21"/>
          <w:highlight w:val="none"/>
          <w:lang w:val="en-US" w:eastAsia="zh-CN"/>
        </w:rPr>
        <w:t>规定，及时</w:t>
      </w:r>
      <w:r>
        <w:rPr>
          <w:rFonts w:hint="eastAsia" w:ascii="Times New Roman" w:hAnsi="Times New Roman" w:eastAsia="宋体" w:cs="Times New Roman"/>
          <w:color w:val="auto"/>
          <w:szCs w:val="21"/>
          <w:highlight w:val="none"/>
          <w:lang w:val="en-US" w:eastAsia="zh-CN"/>
        </w:rPr>
        <w:t>报送的工程竣工结算</w:t>
      </w:r>
      <w:r>
        <w:rPr>
          <w:rFonts w:hint="eastAsia" w:cs="Times New Roman"/>
          <w:color w:val="auto"/>
          <w:szCs w:val="21"/>
          <w:highlight w:val="none"/>
          <w:lang w:val="en-US" w:eastAsia="zh-CN"/>
        </w:rPr>
        <w:t>资料</w:t>
      </w:r>
      <w:r>
        <w:rPr>
          <w:rFonts w:hint="eastAsia" w:ascii="Calibri" w:hAnsi="宋体" w:cs="宋体"/>
          <w:color w:val="auto"/>
          <w:highlight w:val="none"/>
          <w:lang w:val="en-US" w:eastAsia="zh-CN"/>
        </w:rPr>
        <w:t>，</w:t>
      </w:r>
      <w:r>
        <w:rPr>
          <w:rFonts w:hint="eastAsia" w:ascii="Times New Roman" w:hAnsi="宋体" w:eastAsia="宋体" w:cs="宋体"/>
          <w:color w:val="auto"/>
          <w:szCs w:val="21"/>
          <w:highlight w:val="none"/>
          <w:lang w:val="en-US" w:eastAsia="zh-CN"/>
        </w:rPr>
        <w:t>财政</w:t>
      </w:r>
      <w:r>
        <w:rPr>
          <w:rFonts w:hint="eastAsia" w:hAnsi="宋体" w:cs="宋体"/>
          <w:color w:val="auto"/>
          <w:szCs w:val="21"/>
          <w:highlight w:val="none"/>
          <w:lang w:val="en-US" w:eastAsia="zh-CN"/>
        </w:rPr>
        <w:t>投资</w:t>
      </w:r>
      <w:r>
        <w:rPr>
          <w:rFonts w:hint="eastAsia" w:ascii="Times New Roman" w:hAnsi="宋体" w:eastAsia="宋体" w:cs="宋体"/>
          <w:color w:val="auto"/>
          <w:szCs w:val="21"/>
          <w:highlight w:val="none"/>
          <w:lang w:val="en-US" w:eastAsia="zh-CN"/>
        </w:rPr>
        <w:t>评审机构</w:t>
      </w:r>
      <w:r>
        <w:rPr>
          <w:rFonts w:hint="eastAsia" w:hAnsi="宋体" w:cs="宋体"/>
          <w:color w:val="auto"/>
          <w:szCs w:val="21"/>
          <w:highlight w:val="none"/>
          <w:lang w:val="en-US" w:eastAsia="zh-CN"/>
        </w:rPr>
        <w:t>应在规定期限内完成项目竣工结算评审。</w:t>
      </w:r>
    </w:p>
    <w:p w14:paraId="47C7CC04">
      <w:pPr>
        <w:spacing w:line="400" w:lineRule="exact"/>
        <w:ind w:firstLine="420" w:firstLineChars="200"/>
        <w:outlineLvl w:val="3"/>
        <w:rPr>
          <w:rFonts w:hint="default" w:hAnsi="宋体" w:cs="宋体"/>
          <w:color w:val="auto"/>
          <w:highlight w:val="none"/>
          <w:lang w:val="en-US" w:eastAsia="zh-CN"/>
        </w:rPr>
      </w:pPr>
      <w:r>
        <w:rPr>
          <w:rFonts w:hint="eastAsia" w:hAnsi="宋体" w:cs="宋体"/>
          <w:color w:val="auto"/>
          <w:highlight w:val="none"/>
          <w:lang w:val="en-US" w:eastAsia="zh-CN"/>
        </w:rPr>
        <w:t>14.2.4审核异议处理</w:t>
      </w:r>
    </w:p>
    <w:p w14:paraId="6BA47D86">
      <w:pPr>
        <w:spacing w:line="400" w:lineRule="exact"/>
        <w:ind w:firstLine="420" w:firstLineChars="200"/>
        <w:outlineLvl w:val="3"/>
        <w:rPr>
          <w:rFonts w:hint="eastAsia" w:hAnsi="宋体" w:cs="宋体"/>
          <w:color w:val="auto"/>
          <w:highlight w:val="none"/>
        </w:rPr>
      </w:pPr>
      <w:r>
        <w:rPr>
          <w:rFonts w:hint="eastAsia" w:ascii="Times New Roman" w:hAnsi="宋体" w:eastAsia="宋体" w:cs="宋体"/>
          <w:i w:val="0"/>
          <w:caps w:val="0"/>
          <w:color w:val="auto"/>
          <w:spacing w:val="0"/>
          <w:sz w:val="21"/>
          <w:szCs w:val="21"/>
          <w:highlight w:val="none"/>
          <w:lang w:val="en-US" w:eastAsia="zh-CN"/>
        </w:rPr>
        <w:t>发包人或财政部门就竣工结算文件提出异议需要补充资料文件的，应一次性告知承包人应当补充的遗漏资料文件。承包人应当在收到发包人或财政部门提出的竣工结算审核异议之日起的14天内予以答复、回应，并及时补充相应的资料文件。</w:t>
      </w:r>
      <w:r>
        <w:rPr>
          <w:rFonts w:hint="eastAsia" w:hAnsi="宋体" w:cs="宋体"/>
          <w:color w:val="auto"/>
          <w:highlight w:val="none"/>
        </w:rPr>
        <w:t>因承包人提供的</w:t>
      </w:r>
      <w:r>
        <w:rPr>
          <w:rFonts w:hint="eastAsia" w:hAnsi="宋体" w:cs="宋体"/>
          <w:color w:val="auto"/>
          <w:highlight w:val="none"/>
          <w:lang w:val="en-US" w:eastAsia="zh-CN"/>
        </w:rPr>
        <w:t>竣工</w:t>
      </w:r>
      <w:r>
        <w:rPr>
          <w:rFonts w:hint="eastAsia" w:hAnsi="宋体" w:cs="宋体"/>
          <w:color w:val="auto"/>
          <w:highlight w:val="none"/>
        </w:rPr>
        <w:t>结算资料不完整而需要补充或承包人不按时对账耽误时间时，</w:t>
      </w:r>
      <w:r>
        <w:rPr>
          <w:rFonts w:hint="eastAsia" w:hAnsi="宋体" w:cs="宋体"/>
          <w:color w:val="auto"/>
          <w:highlight w:val="none"/>
          <w:lang w:val="en-US" w:eastAsia="zh-CN"/>
        </w:rPr>
        <w:t>审核</w:t>
      </w:r>
      <w:r>
        <w:rPr>
          <w:rFonts w:hint="eastAsia" w:hAnsi="宋体" w:cs="宋体"/>
          <w:color w:val="auto"/>
          <w:highlight w:val="none"/>
        </w:rPr>
        <w:t>时间应相应顺延。</w:t>
      </w:r>
    </w:p>
    <w:p w14:paraId="7288A435">
      <w:pPr>
        <w:numPr>
          <w:ilvl w:val="0"/>
          <w:numId w:val="0"/>
        </w:numPr>
        <w:spacing w:line="400" w:lineRule="exact"/>
        <w:ind w:firstLine="420" w:firstLineChars="200"/>
        <w:rPr>
          <w:rFonts w:hint="eastAsia" w:hAnsi="宋体" w:cs="宋体"/>
          <w:color w:val="auto"/>
          <w:highlight w:val="none"/>
          <w:u w:val="none"/>
        </w:rPr>
      </w:pPr>
      <w:r>
        <w:rPr>
          <w:rFonts w:hint="eastAsia" w:hAnsi="宋体" w:cs="宋体"/>
          <w:color w:val="auto"/>
          <w:highlight w:val="none"/>
          <w:u w:val="none"/>
        </w:rPr>
        <w:t>承包人对发包人</w:t>
      </w:r>
      <w:r>
        <w:rPr>
          <w:rFonts w:hint="eastAsia" w:hAnsi="宋体" w:cs="宋体"/>
          <w:color w:val="auto"/>
          <w:highlight w:val="none"/>
          <w:u w:val="none"/>
          <w:lang w:val="en-US" w:eastAsia="zh-CN"/>
        </w:rPr>
        <w:t>或财政部门</w:t>
      </w:r>
      <w:r>
        <w:rPr>
          <w:rFonts w:hint="eastAsia" w:hAnsi="宋体" w:cs="宋体"/>
          <w:color w:val="auto"/>
          <w:highlight w:val="none"/>
          <w:u w:val="none"/>
        </w:rPr>
        <w:t>确认的结算价款或审核意见有异议的，应在收到发包人</w:t>
      </w:r>
      <w:r>
        <w:rPr>
          <w:rFonts w:hint="eastAsia" w:hAnsi="宋体" w:cs="宋体"/>
          <w:color w:val="auto"/>
          <w:highlight w:val="none"/>
          <w:u w:val="none"/>
          <w:lang w:val="en-US" w:eastAsia="zh-CN"/>
        </w:rPr>
        <w:t>或财政部门</w:t>
      </w:r>
      <w:r>
        <w:rPr>
          <w:rFonts w:hint="eastAsia" w:hAnsi="宋体" w:cs="宋体"/>
          <w:color w:val="auto"/>
          <w:highlight w:val="none"/>
          <w:u w:val="none"/>
        </w:rPr>
        <w:t>确认的价款或审核意见之日起</w:t>
      </w:r>
      <w:r>
        <w:rPr>
          <w:rFonts w:hAnsi="宋体" w:cs="宋体"/>
          <w:color w:val="auto"/>
          <w:highlight w:val="none"/>
          <w:u w:val="single"/>
        </w:rPr>
        <w:t xml:space="preserve">  </w:t>
      </w:r>
      <w:r>
        <w:rPr>
          <w:rFonts w:hint="eastAsia" w:hAnsi="宋体" w:cs="宋体"/>
          <w:color w:val="auto"/>
          <w:highlight w:val="none"/>
          <w:u w:val="single"/>
          <w:lang w:val="en-US" w:eastAsia="zh-CN"/>
        </w:rPr>
        <w:t>7</w:t>
      </w:r>
      <w:r>
        <w:rPr>
          <w:rFonts w:hAnsi="宋体" w:cs="宋体"/>
          <w:color w:val="auto"/>
          <w:highlight w:val="none"/>
          <w:u w:val="single"/>
        </w:rPr>
        <w:t xml:space="preserve"> </w:t>
      </w:r>
      <w:r>
        <w:rPr>
          <w:rFonts w:hint="eastAsia" w:hAnsi="宋体" w:cs="宋体"/>
          <w:color w:val="auto"/>
          <w:highlight w:val="none"/>
          <w:u w:val="single"/>
          <w:lang w:val="en-US" w:eastAsia="zh-CN"/>
        </w:rPr>
        <w:t xml:space="preserve">  </w:t>
      </w:r>
      <w:r>
        <w:rPr>
          <w:rFonts w:hint="eastAsia" w:hAnsi="宋体" w:cs="宋体"/>
          <w:color w:val="auto"/>
          <w:highlight w:val="none"/>
          <w:u w:val="none"/>
        </w:rPr>
        <w:t>天内提出异议，必要时合同当事人要当面核对，直至完成工程竣工结算。除非有特殊情形，否则从承包人递交竣工结算报告到完成竣工结算的时间应控制在</w:t>
      </w:r>
      <w:r>
        <w:rPr>
          <w:rFonts w:hint="eastAsia" w:hAnsi="宋体" w:cs="宋体"/>
          <w:color w:val="auto"/>
          <w:highlight w:val="none"/>
          <w:u w:val="none"/>
          <w:lang w:val="en-US" w:eastAsia="zh-CN"/>
        </w:rPr>
        <w:t>审核竣工结算文件</w:t>
      </w:r>
      <w:r>
        <w:rPr>
          <w:rFonts w:hint="eastAsia" w:hAnsi="宋体" w:cs="宋体"/>
          <w:color w:val="auto"/>
          <w:highlight w:val="none"/>
          <w:u w:val="none"/>
        </w:rPr>
        <w:t>期限</w:t>
      </w:r>
      <w:r>
        <w:rPr>
          <w:rFonts w:hint="eastAsia" w:hAnsi="宋体" w:cs="宋体"/>
          <w:color w:val="auto"/>
          <w:highlight w:val="none"/>
          <w:u w:val="none"/>
          <w:lang w:val="en-US" w:eastAsia="zh-CN"/>
        </w:rPr>
        <w:t>之</w:t>
      </w:r>
      <w:r>
        <w:rPr>
          <w:rFonts w:hint="eastAsia" w:hAnsi="宋体" w:cs="宋体"/>
          <w:color w:val="auto"/>
          <w:highlight w:val="none"/>
          <w:u w:val="none"/>
        </w:rPr>
        <w:t>内。</w:t>
      </w:r>
    </w:p>
    <w:p w14:paraId="2F74AABA">
      <w:pPr>
        <w:spacing w:line="400" w:lineRule="exact"/>
        <w:ind w:firstLine="420" w:firstLineChars="200"/>
        <w:outlineLvl w:val="3"/>
        <w:rPr>
          <w:rFonts w:hint="eastAsia" w:hAnsi="宋体" w:cs="宋体"/>
          <w:color w:val="auto"/>
          <w:highlight w:val="none"/>
        </w:rPr>
      </w:pPr>
      <w:r>
        <w:rPr>
          <w:rFonts w:hint="eastAsia" w:ascii="Times New Roman" w:hAnsi="Times New Roman" w:eastAsia="宋体" w:cs="Times New Roman"/>
          <w:color w:val="auto"/>
          <w:szCs w:val="21"/>
          <w:highlight w:val="none"/>
          <w:lang w:val="en-US" w:eastAsia="zh-CN"/>
        </w:rPr>
        <w:t>竣工结算审核期限届满，</w:t>
      </w:r>
      <w:r>
        <w:rPr>
          <w:rFonts w:hint="eastAsia" w:ascii="Times New Roman" w:hAnsi="Times New Roman" w:eastAsia="宋体" w:cs="Times New Roman"/>
          <w:color w:val="auto"/>
          <w:szCs w:val="21"/>
          <w:highlight w:val="none"/>
          <w:lang w:val="en-US"/>
        </w:rPr>
        <w:t>发包人</w:t>
      </w:r>
      <w:r>
        <w:rPr>
          <w:rFonts w:hint="eastAsia" w:ascii="Times New Roman" w:hAnsi="Times New Roman" w:eastAsia="宋体" w:cs="Times New Roman"/>
          <w:color w:val="auto"/>
          <w:szCs w:val="21"/>
          <w:highlight w:val="none"/>
          <w:lang w:val="en-US" w:eastAsia="zh-CN"/>
        </w:rPr>
        <w:t>（财政部门）</w:t>
      </w:r>
      <w:r>
        <w:rPr>
          <w:rFonts w:hint="eastAsia" w:ascii="Times New Roman" w:hAnsi="Times New Roman" w:eastAsia="宋体" w:cs="Times New Roman"/>
          <w:color w:val="auto"/>
          <w:szCs w:val="21"/>
          <w:highlight w:val="none"/>
          <w:lang w:val="en-US"/>
        </w:rPr>
        <w:t>或承包人对</w:t>
      </w:r>
      <w:r>
        <w:rPr>
          <w:rFonts w:hint="eastAsia" w:ascii="Times New Roman" w:hAnsi="Times New Roman" w:eastAsia="宋体" w:cs="Times New Roman"/>
          <w:color w:val="auto"/>
          <w:szCs w:val="21"/>
          <w:highlight w:val="none"/>
          <w:lang w:val="en-US" w:eastAsia="zh-CN"/>
        </w:rPr>
        <w:t>审核</w:t>
      </w:r>
      <w:r>
        <w:rPr>
          <w:rFonts w:hint="eastAsia" w:ascii="Times New Roman" w:hAnsi="Times New Roman" w:eastAsia="宋体" w:cs="Times New Roman"/>
          <w:color w:val="auto"/>
          <w:szCs w:val="21"/>
          <w:highlight w:val="none"/>
          <w:lang w:val="en-US"/>
        </w:rPr>
        <w:t>结果</w:t>
      </w:r>
      <w:r>
        <w:rPr>
          <w:rFonts w:hint="eastAsia" w:ascii="Times New Roman" w:hAnsi="Times New Roman" w:eastAsia="宋体" w:cs="Times New Roman"/>
          <w:color w:val="auto"/>
          <w:szCs w:val="21"/>
          <w:highlight w:val="none"/>
          <w:lang w:val="en-US" w:eastAsia="zh-CN"/>
        </w:rPr>
        <w:t>部分</w:t>
      </w:r>
      <w:r>
        <w:rPr>
          <w:rFonts w:hint="eastAsia" w:ascii="Times New Roman" w:hAnsi="Times New Roman" w:eastAsia="宋体" w:cs="Times New Roman"/>
          <w:color w:val="auto"/>
          <w:szCs w:val="21"/>
          <w:highlight w:val="none"/>
          <w:lang w:val="en-US"/>
        </w:rPr>
        <w:t>存有异议的，</w:t>
      </w:r>
      <w:r>
        <w:rPr>
          <w:rFonts w:hint="eastAsia" w:ascii="Times New Roman" w:hAnsi="Times New Roman" w:eastAsia="宋体" w:cs="Times New Roman"/>
          <w:color w:val="auto"/>
          <w:szCs w:val="21"/>
          <w:highlight w:val="none"/>
          <w:lang w:val="en-US" w:eastAsia="zh-CN"/>
        </w:rPr>
        <w:t>就</w:t>
      </w:r>
      <w:r>
        <w:rPr>
          <w:rFonts w:hint="eastAsia" w:ascii="Times New Roman" w:hAnsi="Times New Roman" w:eastAsia="宋体" w:cs="Times New Roman"/>
          <w:color w:val="auto"/>
          <w:szCs w:val="21"/>
          <w:highlight w:val="none"/>
          <w:lang w:val="en-US"/>
        </w:rPr>
        <w:t>无异议部分办理不完全竣工结算</w:t>
      </w:r>
      <w:r>
        <w:rPr>
          <w:rFonts w:hint="eastAsia" w:ascii="Times New Roman" w:hAnsi="Times New Roman" w:eastAsia="宋体" w:cs="Times New Roman"/>
          <w:color w:val="auto"/>
          <w:szCs w:val="21"/>
          <w:highlight w:val="none"/>
          <w:lang w:val="en-US" w:eastAsia="zh-CN"/>
        </w:rPr>
        <w:t>，发包人应按照不完全竣工结算金额依约向承包人支付对应的工程款</w:t>
      </w:r>
      <w:r>
        <w:rPr>
          <w:rFonts w:hint="eastAsia" w:ascii="Times New Roman" w:hAnsi="Times New Roman" w:eastAsia="宋体" w:cs="Times New Roman"/>
          <w:color w:val="auto"/>
          <w:szCs w:val="21"/>
          <w:highlight w:val="none"/>
          <w:lang w:val="en-US"/>
        </w:rPr>
        <w:t>；</w:t>
      </w:r>
      <w:r>
        <w:rPr>
          <w:rFonts w:hint="eastAsia" w:ascii="Times New Roman" w:hAnsi="Times New Roman" w:eastAsia="宋体" w:cs="Times New Roman"/>
          <w:color w:val="auto"/>
          <w:szCs w:val="21"/>
          <w:highlight w:val="none"/>
          <w:lang w:val="en-US" w:eastAsia="zh-CN"/>
        </w:rPr>
        <w:t>就</w:t>
      </w:r>
      <w:r>
        <w:rPr>
          <w:rFonts w:hint="eastAsia" w:ascii="Times New Roman" w:hAnsi="Times New Roman" w:eastAsia="宋体" w:cs="Times New Roman"/>
          <w:color w:val="auto"/>
          <w:szCs w:val="21"/>
          <w:highlight w:val="none"/>
          <w:lang w:val="en-US"/>
        </w:rPr>
        <w:t>有异议部分</w:t>
      </w:r>
      <w:r>
        <w:rPr>
          <w:rFonts w:hint="eastAsia" w:ascii="Times New Roman" w:hAnsi="Times New Roman" w:eastAsia="宋体" w:cs="Times New Roman"/>
          <w:color w:val="auto"/>
          <w:szCs w:val="21"/>
          <w:highlight w:val="none"/>
          <w:lang w:val="en-US" w:eastAsia="zh-CN"/>
        </w:rPr>
        <w:t>发承包</w:t>
      </w:r>
      <w:r>
        <w:rPr>
          <w:rFonts w:hint="eastAsia" w:ascii="Times New Roman" w:hAnsi="Times New Roman" w:eastAsia="宋体" w:cs="Times New Roman"/>
          <w:color w:val="auto"/>
          <w:szCs w:val="21"/>
          <w:highlight w:val="none"/>
          <w:lang w:val="en-US"/>
        </w:rPr>
        <w:t>双方按</w:t>
      </w:r>
      <w:r>
        <w:rPr>
          <w:rFonts w:hint="eastAsia" w:ascii="Times New Roman" w:hAnsi="Times New Roman" w:eastAsia="宋体" w:cs="Times New Roman"/>
          <w:color w:val="auto"/>
          <w:szCs w:val="21"/>
          <w:highlight w:val="none"/>
          <w:lang w:val="en-US" w:eastAsia="zh-CN"/>
        </w:rPr>
        <w:t>本合同约定的</w:t>
      </w:r>
      <w:r>
        <w:rPr>
          <w:rFonts w:hint="eastAsia" w:ascii="Times New Roman" w:hAnsi="Times New Roman" w:eastAsia="宋体" w:cs="Times New Roman"/>
          <w:color w:val="auto"/>
          <w:szCs w:val="21"/>
          <w:highlight w:val="none"/>
          <w:lang w:val="en-US"/>
        </w:rPr>
        <w:t>争议解决方式处理</w:t>
      </w:r>
      <w:r>
        <w:rPr>
          <w:rFonts w:hint="eastAsia" w:ascii="Times New Roman" w:hAnsi="Times New Roman" w:eastAsia="宋体" w:cs="Times New Roman"/>
          <w:color w:val="auto"/>
          <w:szCs w:val="21"/>
          <w:highlight w:val="none"/>
          <w:lang w:val="en-US" w:eastAsia="zh-CN"/>
        </w:rPr>
        <w:t>，达成一致后，按争议部分的结算金额依约向承包人支付对应的工程款</w:t>
      </w:r>
      <w:r>
        <w:rPr>
          <w:rFonts w:hint="eastAsia" w:ascii="Times New Roman" w:hAnsi="Times New Roman" w:eastAsia="宋体" w:cs="Times New Roman"/>
          <w:color w:val="auto"/>
          <w:szCs w:val="21"/>
          <w:highlight w:val="none"/>
          <w:lang w:val="en-US"/>
        </w:rPr>
        <w:t>。</w:t>
      </w:r>
    </w:p>
    <w:p w14:paraId="5BAC914C">
      <w:pPr>
        <w:numPr>
          <w:ilvl w:val="0"/>
          <w:numId w:val="0"/>
        </w:numPr>
        <w:spacing w:line="360" w:lineRule="auto"/>
        <w:ind w:firstLine="420" w:firstLineChars="200"/>
        <w:jc w:val="left"/>
        <w:rPr>
          <w:rFonts w:hint="eastAsia" w:hAnsi="宋体" w:cs="宋体"/>
          <w:color w:val="auto"/>
          <w:highlight w:val="none"/>
          <w:u w:val="single"/>
        </w:rPr>
      </w:pPr>
      <w:r>
        <w:rPr>
          <w:rFonts w:hint="eastAsia" w:ascii="宋体" w:hAnsi="宋体" w:cs="宋体"/>
          <w:color w:val="auto"/>
          <w:szCs w:val="21"/>
          <w:highlight w:val="none"/>
          <w:lang w:val="zh-TW"/>
        </w:rPr>
        <w:t>发包人</w:t>
      </w:r>
      <w:r>
        <w:rPr>
          <w:rFonts w:hint="eastAsia" w:ascii="宋体" w:hAnsi="宋体" w:cs="宋体"/>
          <w:color w:val="auto"/>
          <w:szCs w:val="21"/>
          <w:highlight w:val="none"/>
          <w:lang w:val="en-US" w:eastAsia="zh-CN"/>
        </w:rPr>
        <w:t>或财政部门</w:t>
      </w:r>
      <w:r>
        <w:rPr>
          <w:rFonts w:hint="eastAsia" w:ascii="宋体" w:hAnsi="宋体" w:cs="宋体"/>
          <w:color w:val="auto"/>
          <w:szCs w:val="21"/>
          <w:highlight w:val="none"/>
          <w:lang w:val="zh-TW"/>
        </w:rPr>
        <w:t>在收到承包人竣工结算文件后约定</w:t>
      </w:r>
      <w:r>
        <w:rPr>
          <w:rFonts w:hint="eastAsia" w:ascii="宋体" w:hAnsi="宋体" w:cs="宋体"/>
          <w:color w:val="auto"/>
          <w:szCs w:val="21"/>
          <w:highlight w:val="none"/>
          <w:lang w:val="en-US" w:eastAsia="zh-CN"/>
        </w:rPr>
        <w:t>审核期限</w:t>
      </w:r>
      <w:r>
        <w:rPr>
          <w:rFonts w:hint="eastAsia" w:ascii="宋体" w:hAnsi="宋体" w:cs="宋体"/>
          <w:color w:val="auto"/>
          <w:szCs w:val="21"/>
          <w:highlight w:val="none"/>
          <w:lang w:val="zh-TW"/>
        </w:rPr>
        <w:t>内，未按合同约定或财政投资评审规定核对竣工结算或未提出核对意见的，应视为承包人提交的竣工结算文件已被发包人认可，竣工结算确认完毕。承包人在收到发包人</w:t>
      </w:r>
      <w:r>
        <w:rPr>
          <w:rFonts w:hint="eastAsia" w:ascii="宋体" w:hAnsi="宋体" w:cs="宋体"/>
          <w:color w:val="auto"/>
          <w:szCs w:val="21"/>
          <w:highlight w:val="none"/>
          <w:lang w:val="en-US" w:eastAsia="zh-CN"/>
        </w:rPr>
        <w:t>或财政部门</w:t>
      </w:r>
      <w:r>
        <w:rPr>
          <w:rFonts w:hint="eastAsia" w:ascii="宋体" w:hAnsi="宋体" w:cs="宋体"/>
          <w:color w:val="auto"/>
          <w:szCs w:val="21"/>
          <w:highlight w:val="none"/>
          <w:lang w:val="zh-TW"/>
        </w:rPr>
        <w:t>提出的核对（或复核）意见后，在约定的时间内未按合同约定确认也未提出异议的，应视为发包人</w:t>
      </w:r>
      <w:r>
        <w:rPr>
          <w:rFonts w:hint="eastAsia" w:ascii="宋体" w:hAnsi="宋体" w:cs="宋体"/>
          <w:color w:val="auto"/>
          <w:szCs w:val="21"/>
          <w:highlight w:val="none"/>
          <w:lang w:val="en-US" w:eastAsia="zh-CN"/>
        </w:rPr>
        <w:t>或财政部门</w:t>
      </w:r>
      <w:r>
        <w:rPr>
          <w:rFonts w:hint="eastAsia" w:ascii="宋体" w:hAnsi="宋体" w:cs="宋体"/>
          <w:color w:val="auto"/>
          <w:szCs w:val="21"/>
          <w:highlight w:val="none"/>
          <w:lang w:val="zh-TW"/>
        </w:rPr>
        <w:t>提出的核对意见已被承包人认可，竣工结算确认完毕。</w:t>
      </w:r>
    </w:p>
    <w:p w14:paraId="0AF8D845">
      <w:pPr>
        <w:spacing w:line="400" w:lineRule="exact"/>
        <w:ind w:firstLine="411" w:firstLineChars="196"/>
        <w:jc w:val="left"/>
        <w:rPr>
          <w:rFonts w:hint="eastAsia" w:hAnsi="宋体" w:cs="宋体"/>
          <w:color w:val="auto"/>
          <w:highlight w:val="none"/>
          <w:u w:val="none"/>
        </w:rPr>
      </w:pPr>
      <w:r>
        <w:rPr>
          <w:rFonts w:hint="eastAsia" w:hAnsi="宋体" w:cs="宋体"/>
          <w:color w:val="auto"/>
          <w:highlight w:val="none"/>
          <w:u w:val="none"/>
          <w:lang w:val="en-US" w:eastAsia="zh-CN"/>
        </w:rPr>
        <w:t>14.2.5</w:t>
      </w:r>
      <w:r>
        <w:rPr>
          <w:rFonts w:hint="eastAsia" w:hAnsi="宋体" w:cs="宋体"/>
          <w:color w:val="auto"/>
          <w:highlight w:val="none"/>
          <w:u w:val="none"/>
        </w:rPr>
        <w:t>自竣工结算</w:t>
      </w:r>
      <w:r>
        <w:rPr>
          <w:rFonts w:hint="eastAsia" w:hAnsi="宋体" w:cs="宋体"/>
          <w:color w:val="auto"/>
          <w:highlight w:val="none"/>
          <w:u w:val="none"/>
          <w:lang w:eastAsia="zh-CN"/>
        </w:rPr>
        <w:t>（</w:t>
      </w:r>
      <w:r>
        <w:rPr>
          <w:rFonts w:hint="eastAsia" w:hAnsi="宋体" w:cs="宋体"/>
          <w:color w:val="auto"/>
          <w:highlight w:val="none"/>
          <w:u w:val="none"/>
          <w:lang w:val="en-US" w:eastAsia="zh-CN"/>
        </w:rPr>
        <w:t>或办理不完全竣工结算</w:t>
      </w:r>
      <w:r>
        <w:rPr>
          <w:rFonts w:hint="eastAsia" w:hAnsi="宋体" w:cs="宋体"/>
          <w:color w:val="auto"/>
          <w:highlight w:val="none"/>
          <w:u w:val="none"/>
          <w:lang w:eastAsia="zh-CN"/>
        </w:rPr>
        <w:t>）</w:t>
      </w:r>
      <w:r>
        <w:rPr>
          <w:rFonts w:hint="eastAsia" w:hAnsi="宋体" w:cs="宋体"/>
          <w:color w:val="auto"/>
          <w:highlight w:val="none"/>
          <w:u w:val="none"/>
        </w:rPr>
        <w:t>完毕之日起</w:t>
      </w:r>
      <w:r>
        <w:rPr>
          <w:rFonts w:hint="eastAsia" w:hAnsi="宋体"/>
          <w:color w:val="auto"/>
          <w:highlight w:val="none"/>
          <w:u w:val="single"/>
          <w:lang w:val="en-US" w:eastAsia="zh-CN"/>
        </w:rPr>
        <w:t xml:space="preserve">   15   </w:t>
      </w:r>
      <w:r>
        <w:rPr>
          <w:rFonts w:hint="eastAsia" w:hAnsi="宋体" w:cs="宋体"/>
          <w:color w:val="auto"/>
          <w:highlight w:val="none"/>
          <w:u w:val="none"/>
        </w:rPr>
        <w:t>天内，发包人按审定的结算</w:t>
      </w:r>
      <w:r>
        <w:rPr>
          <w:rFonts w:hint="eastAsia" w:hAnsi="宋体" w:cs="宋体"/>
          <w:color w:val="auto"/>
          <w:highlight w:val="none"/>
          <w:u w:val="none"/>
          <w:lang w:val="en-US" w:eastAsia="zh-CN"/>
        </w:rPr>
        <w:t>金额</w:t>
      </w:r>
      <w:r>
        <w:rPr>
          <w:rFonts w:hint="eastAsia" w:hAnsi="宋体" w:cs="宋体"/>
          <w:color w:val="auto"/>
          <w:highlight w:val="none"/>
          <w:u w:val="none"/>
        </w:rPr>
        <w:t>向承包人支付结算价款。</w:t>
      </w:r>
    </w:p>
    <w:p w14:paraId="042BBAFD">
      <w:pPr>
        <w:pStyle w:val="40"/>
        <w:ind w:firstLineChars="200"/>
        <w:rPr>
          <w:rFonts w:hint="default"/>
          <w:color w:val="auto"/>
          <w:highlight w:val="none"/>
        </w:rPr>
      </w:pPr>
      <w:r>
        <w:rPr>
          <w:rFonts w:hint="default"/>
          <w:color w:val="auto"/>
          <w:highlight w:val="none"/>
        </w:rPr>
        <w:t>14.2.</w:t>
      </w:r>
      <w:r>
        <w:rPr>
          <w:rFonts w:hint="eastAsia"/>
          <w:color w:val="auto"/>
          <w:highlight w:val="none"/>
          <w:lang w:val="en-US" w:eastAsia="zh-CN"/>
        </w:rPr>
        <w:t>6</w:t>
      </w:r>
      <w:r>
        <w:rPr>
          <w:rFonts w:hint="default"/>
          <w:color w:val="auto"/>
          <w:highlight w:val="none"/>
        </w:rPr>
        <w:t xml:space="preserve"> 承包人必须提供完整、真实的隐蔽工程原始施工、验收记录。如发现施工单位提供的隐蔽工程资料与实际不符时，按不利于施工单位原则结算。</w:t>
      </w:r>
    </w:p>
    <w:p w14:paraId="2CEB6D39">
      <w:pPr>
        <w:pStyle w:val="5"/>
        <w:rPr>
          <w:color w:val="auto"/>
          <w:highlight w:val="none"/>
        </w:rPr>
      </w:pPr>
      <w:bookmarkStart w:id="1716" w:name="_Toc373478408"/>
      <w:bookmarkStart w:id="1717" w:name="_Toc78449850"/>
      <w:bookmarkStart w:id="1718" w:name="_Toc407135264"/>
      <w:bookmarkStart w:id="1719" w:name="_Toc540165641"/>
      <w:bookmarkStart w:id="1720" w:name="_Toc29846"/>
      <w:bookmarkStart w:id="1721" w:name="_Toc389065326"/>
      <w:bookmarkStart w:id="1722" w:name="_Toc11123"/>
      <w:bookmarkStart w:id="1723" w:name="_Toc373227761"/>
      <w:r>
        <w:rPr>
          <w:color w:val="auto"/>
          <w:highlight w:val="none"/>
        </w:rPr>
        <w:t xml:space="preserve">14.4 </w:t>
      </w:r>
      <w:r>
        <w:rPr>
          <w:rFonts w:hint="eastAsia" w:hAnsi="宋体" w:cs="黑体"/>
          <w:color w:val="auto"/>
          <w:highlight w:val="none"/>
        </w:rPr>
        <w:t>最终结清</w:t>
      </w:r>
      <w:bookmarkEnd w:id="1716"/>
      <w:bookmarkEnd w:id="1717"/>
      <w:bookmarkEnd w:id="1718"/>
      <w:bookmarkEnd w:id="1719"/>
      <w:bookmarkEnd w:id="1720"/>
      <w:bookmarkEnd w:id="1721"/>
      <w:bookmarkEnd w:id="1722"/>
      <w:bookmarkEnd w:id="1723"/>
    </w:p>
    <w:p w14:paraId="67D656BF">
      <w:pPr>
        <w:spacing w:line="360" w:lineRule="auto"/>
        <w:ind w:firstLine="420" w:firstLineChars="200"/>
        <w:jc w:val="left"/>
        <w:rPr>
          <w:color w:val="auto"/>
          <w:kern w:val="0"/>
          <w:highlight w:val="none"/>
        </w:rPr>
      </w:pPr>
      <w:r>
        <w:rPr>
          <w:color w:val="auto"/>
          <w:kern w:val="0"/>
          <w:highlight w:val="none"/>
        </w:rPr>
        <w:t xml:space="preserve">14.4.1 </w:t>
      </w:r>
      <w:r>
        <w:rPr>
          <w:rFonts w:hint="eastAsia" w:hAnsi="宋体" w:cs="宋体"/>
          <w:color w:val="auto"/>
          <w:kern w:val="0"/>
          <w:highlight w:val="none"/>
        </w:rPr>
        <w:t>最终结清申请单</w:t>
      </w:r>
    </w:p>
    <w:p w14:paraId="2D55432A">
      <w:pPr>
        <w:spacing w:line="360" w:lineRule="auto"/>
        <w:ind w:firstLine="420" w:firstLineChars="200"/>
        <w:jc w:val="left"/>
        <w:rPr>
          <w:color w:val="auto"/>
          <w:kern w:val="0"/>
          <w:highlight w:val="none"/>
          <w:u w:val="single" w:color="auto"/>
        </w:rPr>
      </w:pPr>
      <w:r>
        <w:rPr>
          <w:rFonts w:hint="eastAsia" w:hAnsi="宋体" w:cs="宋体"/>
          <w:color w:val="auto"/>
          <w:kern w:val="0"/>
          <w:highlight w:val="none"/>
        </w:rPr>
        <w:t>承包人提交最终结清申请单的份数：</w:t>
      </w:r>
      <w:r>
        <w:rPr>
          <w:color w:val="auto"/>
          <w:highlight w:val="none"/>
          <w:u w:val="single" w:color="auto"/>
        </w:rPr>
        <w:t xml:space="preserve"> </w:t>
      </w:r>
      <w:r>
        <w:rPr>
          <w:rFonts w:hint="eastAsia" w:ascii="宋体" w:hAnsi="宋体"/>
          <w:color w:val="auto"/>
          <w:kern w:val="0"/>
          <w:szCs w:val="21"/>
          <w:u w:val="single" w:color="auto"/>
        </w:rPr>
        <w:t>承包人向发包人提交</w:t>
      </w:r>
      <w:r>
        <w:rPr>
          <w:rFonts w:hint="eastAsia" w:ascii="宋体" w:hAnsi="宋体" w:cs="宋体"/>
          <w:color w:val="auto"/>
          <w:kern w:val="0"/>
          <w:szCs w:val="21"/>
          <w:u w:val="single" w:color="auto"/>
        </w:rPr>
        <w:t>4</w:t>
      </w:r>
      <w:r>
        <w:rPr>
          <w:rFonts w:hint="eastAsia" w:ascii="宋体" w:hAnsi="宋体"/>
          <w:color w:val="auto"/>
          <w:kern w:val="0"/>
          <w:szCs w:val="21"/>
          <w:u w:val="single" w:color="auto"/>
        </w:rPr>
        <w:t>份最终结清申请单，并提供相关证明材料</w:t>
      </w:r>
      <w:r>
        <w:rPr>
          <w:color w:val="auto"/>
          <w:highlight w:val="none"/>
          <w:u w:val="single" w:color="auto"/>
        </w:rPr>
        <w:t xml:space="preserve">   </w:t>
      </w:r>
      <w:r>
        <w:rPr>
          <w:rFonts w:hint="eastAsia" w:hAnsi="宋体" w:cs="宋体"/>
          <w:color w:val="auto"/>
          <w:highlight w:val="none"/>
          <w:u w:val="single" w:color="auto"/>
        </w:rPr>
        <w:t>。</w:t>
      </w:r>
    </w:p>
    <w:p w14:paraId="7230B77F">
      <w:pPr>
        <w:spacing w:line="360" w:lineRule="auto"/>
        <w:ind w:firstLine="420" w:firstLineChars="200"/>
        <w:jc w:val="left"/>
        <w:rPr>
          <w:color w:val="auto"/>
          <w:highlight w:val="none"/>
        </w:rPr>
      </w:pPr>
      <w:r>
        <w:rPr>
          <w:rFonts w:hint="eastAsia" w:hAnsi="宋体" w:cs="宋体"/>
          <w:color w:val="auto"/>
          <w:kern w:val="0"/>
          <w:highlight w:val="none"/>
        </w:rPr>
        <w:t>承包人提交最终结算申请单的期限：</w:t>
      </w:r>
      <w:r>
        <w:rPr>
          <w:color w:val="auto"/>
          <w:highlight w:val="none"/>
          <w:u w:val="single"/>
        </w:rPr>
        <w:t xml:space="preserve">  </w:t>
      </w:r>
      <w:r>
        <w:rPr>
          <w:rFonts w:hint="eastAsia" w:ascii="宋体" w:hAnsi="宋体"/>
          <w:color w:val="auto"/>
          <w:kern w:val="0"/>
          <w:szCs w:val="21"/>
          <w:u w:val="single" w:color="000000"/>
        </w:rPr>
        <w:t>应在缺陷责任期终止证书颁发后</w:t>
      </w:r>
      <w:r>
        <w:rPr>
          <w:rFonts w:hint="eastAsia" w:ascii="宋体" w:hAnsi="宋体" w:cs="宋体"/>
          <w:color w:val="auto"/>
          <w:kern w:val="0"/>
          <w:szCs w:val="21"/>
          <w:u w:val="single" w:color="000000"/>
        </w:rPr>
        <w:t>7</w:t>
      </w:r>
      <w:r>
        <w:rPr>
          <w:rFonts w:hint="eastAsia" w:ascii="宋体" w:hAnsi="宋体"/>
          <w:color w:val="auto"/>
          <w:spacing w:val="-3"/>
          <w:kern w:val="0"/>
          <w:szCs w:val="21"/>
          <w:u w:val="single" w:color="000000"/>
        </w:rPr>
        <w:t>天内</w:t>
      </w:r>
      <w:r>
        <w:rPr>
          <w:color w:val="auto"/>
          <w:highlight w:val="none"/>
          <w:u w:val="single"/>
        </w:rPr>
        <w:t xml:space="preserve">   </w:t>
      </w:r>
      <w:r>
        <w:rPr>
          <w:rFonts w:hint="eastAsia" w:hAnsi="宋体" w:cs="宋体"/>
          <w:color w:val="auto"/>
          <w:highlight w:val="none"/>
        </w:rPr>
        <w:t>。</w:t>
      </w:r>
      <w:r>
        <w:rPr>
          <w:color w:val="auto"/>
          <w:highlight w:val="none"/>
        </w:rPr>
        <w:t xml:space="preserve"> </w:t>
      </w:r>
    </w:p>
    <w:p w14:paraId="4C8DD073">
      <w:pPr>
        <w:spacing w:line="360" w:lineRule="auto"/>
        <w:ind w:firstLine="420" w:firstLineChars="200"/>
        <w:jc w:val="left"/>
        <w:rPr>
          <w:color w:val="auto"/>
          <w:highlight w:val="none"/>
        </w:rPr>
      </w:pPr>
      <w:r>
        <w:rPr>
          <w:rFonts w:hint="eastAsia"/>
          <w:color w:val="auto"/>
          <w:highlight w:val="none"/>
          <w:lang w:eastAsia="zh-CN"/>
        </w:rPr>
        <w:t>《</w:t>
      </w:r>
      <w:r>
        <w:rPr>
          <w:rFonts w:hint="eastAsia"/>
          <w:color w:val="auto"/>
          <w:highlight w:val="none"/>
        </w:rPr>
        <w:t>工程保修与结清结算款支付申请（核准）表</w:t>
      </w:r>
      <w:r>
        <w:rPr>
          <w:rFonts w:hint="eastAsia"/>
          <w:color w:val="auto"/>
          <w:highlight w:val="none"/>
          <w:lang w:eastAsia="zh-CN"/>
        </w:rPr>
        <w:t>》</w:t>
      </w:r>
      <w:r>
        <w:rPr>
          <w:rFonts w:hint="eastAsia"/>
          <w:color w:val="auto"/>
          <w:highlight w:val="none"/>
        </w:rPr>
        <w:t>见合同附件13。</w:t>
      </w:r>
    </w:p>
    <w:p w14:paraId="07FB67FD">
      <w:pPr>
        <w:spacing w:line="360" w:lineRule="auto"/>
        <w:ind w:firstLine="420" w:firstLineChars="200"/>
        <w:jc w:val="left"/>
        <w:rPr>
          <w:color w:val="auto"/>
          <w:highlight w:val="none"/>
        </w:rPr>
      </w:pPr>
      <w:r>
        <w:rPr>
          <w:color w:val="auto"/>
          <w:highlight w:val="none"/>
        </w:rPr>
        <w:t xml:space="preserve">14.4.2 </w:t>
      </w:r>
      <w:r>
        <w:rPr>
          <w:rFonts w:hint="eastAsia" w:hAnsi="宋体" w:cs="宋体"/>
          <w:color w:val="auto"/>
          <w:highlight w:val="none"/>
        </w:rPr>
        <w:t>最终结清证书和支付</w:t>
      </w:r>
    </w:p>
    <w:p w14:paraId="2C74EA68">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）发包人完成最终结清申请单的审批并颁发最终结清证书的期限：</w:t>
      </w:r>
      <w:r>
        <w:rPr>
          <w:color w:val="auto"/>
          <w:highlight w:val="none"/>
          <w:u w:val="single"/>
        </w:rPr>
        <w:t xml:space="preserve"> </w:t>
      </w:r>
      <w:r>
        <w:rPr>
          <w:rFonts w:hint="eastAsia" w:ascii="宋体" w:hAnsi="宋体"/>
          <w:color w:val="auto"/>
          <w:kern w:val="0"/>
          <w:szCs w:val="21"/>
          <w:u w:val="single" w:color="000000"/>
        </w:rPr>
        <w:t>发包人应在收到承包人提交的最终结清申请单后</w:t>
      </w:r>
      <w:r>
        <w:rPr>
          <w:rFonts w:hint="eastAsia" w:ascii="宋体" w:hAnsi="宋体" w:cs="宋体"/>
          <w:color w:val="auto"/>
          <w:kern w:val="0"/>
          <w:szCs w:val="21"/>
          <w:u w:val="single" w:color="000000"/>
        </w:rPr>
        <w:t>14</w:t>
      </w:r>
      <w:r>
        <w:rPr>
          <w:rFonts w:hint="eastAsia" w:ascii="宋体" w:hAnsi="宋体"/>
          <w:color w:val="auto"/>
          <w:kern w:val="0"/>
          <w:szCs w:val="21"/>
          <w:u w:val="single" w:color="000000"/>
        </w:rPr>
        <w:t>天内完成审批并向承包人颁发最终结清证书</w:t>
      </w:r>
      <w:r>
        <w:rPr>
          <w:color w:val="auto"/>
          <w:highlight w:val="none"/>
          <w:u w:val="single"/>
        </w:rPr>
        <w:t xml:space="preserve">             </w:t>
      </w:r>
      <w:r>
        <w:rPr>
          <w:rFonts w:hint="eastAsia" w:hAnsi="宋体" w:cs="宋体"/>
          <w:color w:val="auto"/>
          <w:highlight w:val="none"/>
        </w:rPr>
        <w:t>。</w:t>
      </w:r>
    </w:p>
    <w:p w14:paraId="4F9533D6">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）发包人完成支付的期限：</w:t>
      </w:r>
      <w:r>
        <w:rPr>
          <w:color w:val="auto"/>
          <w:highlight w:val="none"/>
          <w:u w:val="single"/>
        </w:rPr>
        <w:t xml:space="preserve">   </w:t>
      </w:r>
      <w:r>
        <w:rPr>
          <w:rFonts w:hint="eastAsia" w:ascii="宋体" w:hAnsi="宋体"/>
          <w:color w:val="auto"/>
          <w:spacing w:val="-2"/>
          <w:kern w:val="0"/>
          <w:szCs w:val="21"/>
          <w:u w:val="single" w:color="000000"/>
        </w:rPr>
        <w:t>发包人应在颁发最终结清证书后</w:t>
      </w:r>
      <w:r>
        <w:rPr>
          <w:rFonts w:hint="eastAsia" w:ascii="宋体" w:hAnsi="宋体" w:cs="宋体"/>
          <w:color w:val="auto"/>
          <w:spacing w:val="-2"/>
          <w:kern w:val="0"/>
          <w:szCs w:val="21"/>
          <w:u w:val="single" w:color="000000"/>
        </w:rPr>
        <w:t>7</w:t>
      </w:r>
      <w:r>
        <w:rPr>
          <w:rFonts w:hint="eastAsia" w:ascii="宋体" w:hAnsi="宋体"/>
          <w:color w:val="auto"/>
          <w:spacing w:val="-2"/>
          <w:kern w:val="0"/>
          <w:szCs w:val="21"/>
          <w:u w:val="single" w:color="000000"/>
        </w:rPr>
        <w:t>天内完成支付。</w:t>
      </w:r>
    </w:p>
    <w:bookmarkEnd w:id="1663"/>
    <w:bookmarkEnd w:id="1664"/>
    <w:bookmarkEnd w:id="1665"/>
    <w:bookmarkEnd w:id="1666"/>
    <w:bookmarkEnd w:id="1667"/>
    <w:bookmarkEnd w:id="1668"/>
    <w:bookmarkEnd w:id="1669"/>
    <w:bookmarkEnd w:id="1675"/>
    <w:p w14:paraId="372F717B">
      <w:pPr>
        <w:pStyle w:val="4"/>
        <w:rPr>
          <w:color w:val="auto"/>
          <w:highlight w:val="none"/>
        </w:rPr>
      </w:pPr>
      <w:bookmarkStart w:id="1724" w:name="_Toc373478409"/>
      <w:bookmarkStart w:id="1725" w:name="_Toc373227762"/>
      <w:bookmarkStart w:id="1726" w:name="_Toc389065327"/>
      <w:bookmarkStart w:id="1727" w:name="_Toc5429"/>
      <w:bookmarkStart w:id="1728" w:name="_Toc1294213766"/>
      <w:bookmarkStart w:id="1729" w:name="_Toc407135265"/>
      <w:bookmarkStart w:id="1730" w:name="_Toc78449851"/>
      <w:bookmarkStart w:id="1731" w:name="_Toc351203647"/>
      <w:bookmarkStart w:id="1732" w:name="_Toc267251483"/>
      <w:bookmarkStart w:id="1733" w:name="_Toc267251484"/>
      <w:bookmarkStart w:id="1734" w:name="_Toc267251482"/>
      <w:bookmarkStart w:id="1735" w:name="_Toc267251485"/>
      <w:bookmarkStart w:id="1736" w:name="_Toc267251489"/>
      <w:bookmarkStart w:id="1737" w:name="_Toc267251488"/>
      <w:bookmarkStart w:id="1738" w:name="_Toc267251486"/>
      <w:bookmarkStart w:id="1739" w:name="_Toc267251490"/>
      <w:bookmarkStart w:id="1740" w:name="_Toc267251493"/>
      <w:bookmarkStart w:id="1741" w:name="_Toc267251491"/>
      <w:bookmarkStart w:id="1742" w:name="_Toc267251502"/>
      <w:bookmarkStart w:id="1743" w:name="_Toc267251492"/>
      <w:bookmarkStart w:id="1744" w:name="_Toc267251495"/>
      <w:bookmarkStart w:id="1745" w:name="_Toc267251498"/>
      <w:bookmarkStart w:id="1746" w:name="_Toc267251499"/>
      <w:bookmarkStart w:id="1747" w:name="_Toc267251494"/>
      <w:bookmarkStart w:id="1748" w:name="_Toc267251501"/>
      <w:bookmarkStart w:id="1749" w:name="_Toc267251503"/>
      <w:bookmarkStart w:id="1750" w:name="_Toc267251496"/>
      <w:bookmarkStart w:id="1751" w:name="_Toc267251497"/>
      <w:bookmarkStart w:id="1752" w:name="_Toc267251504"/>
      <w:bookmarkStart w:id="1753" w:name="_Toc267251506"/>
      <w:bookmarkStart w:id="1754" w:name="_Toc267251507"/>
      <w:bookmarkStart w:id="1755" w:name="_Toc267251508"/>
      <w:bookmarkStart w:id="1756" w:name="_Toc267251510"/>
      <w:bookmarkStart w:id="1757" w:name="_Toc267251514"/>
      <w:bookmarkStart w:id="1758" w:name="_Toc267251509"/>
      <w:bookmarkStart w:id="1759" w:name="_Toc267251511"/>
      <w:bookmarkStart w:id="1760" w:name="_Toc267251513"/>
      <w:bookmarkStart w:id="1761" w:name="_Toc267251515"/>
      <w:r>
        <w:rPr>
          <w:color w:val="auto"/>
          <w:highlight w:val="none"/>
        </w:rPr>
        <w:t xml:space="preserve">15. </w:t>
      </w:r>
      <w:r>
        <w:rPr>
          <w:rFonts w:hint="eastAsia" w:cs="黑体"/>
          <w:color w:val="auto"/>
          <w:highlight w:val="none"/>
        </w:rPr>
        <w:t>缺陷责任期与保修</w:t>
      </w:r>
      <w:bookmarkEnd w:id="1724"/>
      <w:bookmarkEnd w:id="1725"/>
      <w:bookmarkEnd w:id="1726"/>
      <w:bookmarkEnd w:id="1727"/>
      <w:bookmarkEnd w:id="1728"/>
      <w:bookmarkEnd w:id="1729"/>
      <w:bookmarkEnd w:id="1730"/>
      <w:bookmarkEnd w:id="1731"/>
    </w:p>
    <w:p w14:paraId="3F24C11A">
      <w:pPr>
        <w:pStyle w:val="5"/>
        <w:rPr>
          <w:color w:val="auto"/>
          <w:highlight w:val="none"/>
        </w:rPr>
      </w:pPr>
      <w:bookmarkStart w:id="1762" w:name="_Toc78449852"/>
      <w:bookmarkStart w:id="1763" w:name="_Toc14431"/>
      <w:bookmarkStart w:id="1764" w:name="_Toc1468458868"/>
      <w:bookmarkStart w:id="1765" w:name="_Toc407135266"/>
      <w:bookmarkStart w:id="1766" w:name="_Toc373478410"/>
      <w:bookmarkStart w:id="1767" w:name="_Toc5211"/>
      <w:bookmarkStart w:id="1768" w:name="_Toc373227763"/>
      <w:bookmarkStart w:id="1769" w:name="_Toc389065328"/>
      <w:r>
        <w:rPr>
          <w:color w:val="auto"/>
          <w:highlight w:val="none"/>
        </w:rPr>
        <w:t xml:space="preserve">15.2 </w:t>
      </w:r>
      <w:r>
        <w:rPr>
          <w:rFonts w:hint="eastAsia" w:hAnsi="宋体" w:cs="黑体"/>
          <w:color w:val="auto"/>
          <w:highlight w:val="none"/>
        </w:rPr>
        <w:t>缺陷责任期</w:t>
      </w:r>
      <w:bookmarkEnd w:id="1732"/>
      <w:bookmarkEnd w:id="1762"/>
      <w:bookmarkEnd w:id="1763"/>
      <w:bookmarkEnd w:id="1764"/>
      <w:bookmarkEnd w:id="1765"/>
      <w:bookmarkEnd w:id="1766"/>
      <w:bookmarkEnd w:id="1767"/>
      <w:bookmarkEnd w:id="1768"/>
      <w:bookmarkEnd w:id="1769"/>
    </w:p>
    <w:p w14:paraId="41097EEF">
      <w:pPr>
        <w:spacing w:line="360" w:lineRule="auto"/>
        <w:ind w:firstLine="420" w:firstLineChars="200"/>
        <w:jc w:val="left"/>
        <w:rPr>
          <w:color w:val="auto"/>
          <w:highlight w:val="none"/>
          <w:u w:val="single"/>
        </w:rPr>
      </w:pPr>
      <w:r>
        <w:rPr>
          <w:rFonts w:hint="eastAsia" w:hAnsi="宋体" w:cs="宋体"/>
          <w:color w:val="auto"/>
          <w:highlight w:val="none"/>
        </w:rPr>
        <w:t>缺陷责任期的具体期限：</w:t>
      </w:r>
      <w:r>
        <w:rPr>
          <w:color w:val="auto"/>
          <w:highlight w:val="none"/>
          <w:u w:val="single"/>
        </w:rPr>
        <w:t xml:space="preserve">    </w:t>
      </w:r>
      <w:r>
        <w:rPr>
          <w:rFonts w:ascii="Times New Roman" w:hAnsi="Times New Roman" w:eastAsia="Times New Roman"/>
          <w:color w:val="auto"/>
          <w:kern w:val="0"/>
          <w:szCs w:val="21"/>
          <w:u w:val="single" w:color="000000"/>
        </w:rPr>
        <w:t>24</w:t>
      </w:r>
      <w:r>
        <w:rPr>
          <w:rFonts w:hint="eastAsia" w:ascii="宋体" w:hAnsi="宋体"/>
          <w:color w:val="auto"/>
          <w:spacing w:val="-3"/>
          <w:kern w:val="0"/>
          <w:szCs w:val="21"/>
          <w:u w:val="single" w:color="000000"/>
        </w:rPr>
        <w:t>个月</w:t>
      </w:r>
      <w:r>
        <w:rPr>
          <w:color w:val="auto"/>
          <w:highlight w:val="none"/>
          <w:u w:val="single"/>
        </w:rPr>
        <w:t xml:space="preserve">     </w:t>
      </w:r>
      <w:r>
        <w:rPr>
          <w:rFonts w:hint="eastAsia" w:hAnsi="宋体" w:cs="宋体"/>
          <w:color w:val="auto"/>
          <w:highlight w:val="none"/>
        </w:rPr>
        <w:t>。</w:t>
      </w:r>
    </w:p>
    <w:p w14:paraId="6E4ECEA2">
      <w:pPr>
        <w:pStyle w:val="5"/>
        <w:rPr>
          <w:color w:val="auto"/>
          <w:highlight w:val="none"/>
        </w:rPr>
      </w:pPr>
      <w:bookmarkStart w:id="1770" w:name="_Toc373478411"/>
      <w:bookmarkStart w:id="1771" w:name="_Toc373227764"/>
      <w:bookmarkStart w:id="1772" w:name="_Toc407135267"/>
      <w:bookmarkStart w:id="1773" w:name="_Toc23897"/>
      <w:bookmarkStart w:id="1774" w:name="_Toc389065329"/>
      <w:bookmarkStart w:id="1775" w:name="_Toc666080472"/>
      <w:bookmarkStart w:id="1776" w:name="_Toc78449853"/>
      <w:bookmarkStart w:id="1777" w:name="_Toc13775"/>
      <w:r>
        <w:rPr>
          <w:color w:val="auto"/>
          <w:highlight w:val="none"/>
        </w:rPr>
        <w:t xml:space="preserve">15.3 </w:t>
      </w:r>
      <w:r>
        <w:rPr>
          <w:rFonts w:hint="eastAsia" w:hAnsi="宋体" w:cs="黑体"/>
          <w:color w:val="auto"/>
          <w:highlight w:val="none"/>
        </w:rPr>
        <w:t>质量保证金</w:t>
      </w:r>
      <w:bookmarkEnd w:id="1770"/>
      <w:bookmarkEnd w:id="1771"/>
      <w:bookmarkEnd w:id="1772"/>
      <w:bookmarkEnd w:id="1773"/>
      <w:bookmarkEnd w:id="1774"/>
      <w:bookmarkEnd w:id="1775"/>
      <w:bookmarkEnd w:id="1776"/>
      <w:bookmarkEnd w:id="1777"/>
    </w:p>
    <w:p w14:paraId="2DFD5D58">
      <w:pPr>
        <w:spacing w:line="360" w:lineRule="auto"/>
        <w:ind w:firstLine="420" w:firstLineChars="200"/>
        <w:jc w:val="left"/>
        <w:outlineLvl w:val="0"/>
        <w:rPr>
          <w:color w:val="auto"/>
          <w:highlight w:val="none"/>
        </w:rPr>
      </w:pPr>
      <w:r>
        <w:rPr>
          <w:color w:val="auto"/>
          <w:highlight w:val="none"/>
        </w:rPr>
        <w:t xml:space="preserve">15.3.1 </w:t>
      </w:r>
      <w:r>
        <w:rPr>
          <w:rFonts w:hint="eastAsia" w:hAnsi="宋体" w:cs="宋体"/>
          <w:color w:val="auto"/>
          <w:highlight w:val="none"/>
        </w:rPr>
        <w:t>承包人提供质量保证金的方式</w:t>
      </w:r>
    </w:p>
    <w:p w14:paraId="2330BE0E">
      <w:pPr>
        <w:spacing w:line="360" w:lineRule="auto"/>
        <w:ind w:firstLine="420" w:firstLineChars="200"/>
        <w:jc w:val="left"/>
        <w:rPr>
          <w:color w:val="auto"/>
          <w:highlight w:val="none"/>
        </w:rPr>
      </w:pPr>
      <w:r>
        <w:rPr>
          <w:rFonts w:hint="eastAsia" w:hAnsi="宋体" w:cs="宋体"/>
          <w:color w:val="auto"/>
          <w:highlight w:val="none"/>
        </w:rPr>
        <w:t>质量保证金采用以下第</w:t>
      </w:r>
      <w:r>
        <w:rPr>
          <w:color w:val="auto"/>
          <w:highlight w:val="none"/>
          <w:u w:val="single"/>
        </w:rPr>
        <w:t xml:space="preserve">  </w:t>
      </w:r>
      <w:r>
        <w:rPr>
          <w:rFonts w:hint="eastAsia"/>
          <w:color w:val="auto"/>
          <w:highlight w:val="none"/>
          <w:u w:val="single"/>
          <w:lang w:val="en-US" w:eastAsia="zh-CN"/>
        </w:rPr>
        <w:t>2</w:t>
      </w:r>
      <w:r>
        <w:rPr>
          <w:color w:val="auto"/>
          <w:highlight w:val="none"/>
          <w:u w:val="single"/>
        </w:rPr>
        <w:t xml:space="preserve">   </w:t>
      </w:r>
      <w:r>
        <w:rPr>
          <w:rFonts w:hint="eastAsia" w:hAnsi="宋体" w:cs="宋体"/>
          <w:color w:val="auto"/>
          <w:highlight w:val="none"/>
        </w:rPr>
        <w:t>种方式：</w:t>
      </w:r>
    </w:p>
    <w:p w14:paraId="64F89B41">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）质量保证金保函</w:t>
      </w:r>
      <w:r>
        <w:rPr>
          <w:rFonts w:hint="eastAsia" w:ascii="Times New Roman" w:hAnsi="宋体" w:eastAsia="宋体" w:cs="宋体"/>
          <w:color w:val="auto"/>
          <w:highlight w:val="none"/>
        </w:rPr>
        <w:t>（银行保函、电子保函、保证保险保函、工程担保保函</w:t>
      </w:r>
      <w:r>
        <w:rPr>
          <w:rFonts w:hint="eastAsia" w:ascii="Times New Roman" w:hAnsi="宋体" w:eastAsia="宋体" w:cs="宋体"/>
          <w:color w:val="auto"/>
          <w:highlight w:val="none"/>
          <w:lang w:eastAsia="zh-CN"/>
        </w:rPr>
        <w:t>，</w:t>
      </w:r>
      <w:r>
        <w:rPr>
          <w:rFonts w:hint="eastAsia" w:hAnsi="宋体" w:cs="宋体"/>
          <w:color w:val="auto"/>
          <w:kern w:val="0"/>
          <w:highlight w:val="none"/>
        </w:rPr>
        <w:t>工程担保保证人应将出具的保函相关信息录入</w:t>
      </w:r>
      <w:r>
        <w:rPr>
          <w:rFonts w:hint="eastAsia" w:hAnsi="宋体" w:cs="宋体"/>
          <w:color w:val="auto"/>
          <w:kern w:val="0"/>
          <w:highlight w:val="none"/>
          <w:lang w:eastAsia="zh-CN"/>
        </w:rPr>
        <w:t>“</w:t>
      </w:r>
      <w:r>
        <w:rPr>
          <w:rFonts w:hint="eastAsia" w:hAnsi="宋体" w:cs="宋体"/>
          <w:color w:val="auto"/>
          <w:kern w:val="0"/>
          <w:highlight w:val="none"/>
        </w:rPr>
        <w:t>广西建筑市场监管云</w:t>
      </w:r>
      <w:r>
        <w:rPr>
          <w:rFonts w:hint="eastAsia" w:hAnsi="宋体" w:cs="宋体"/>
          <w:color w:val="auto"/>
          <w:kern w:val="0"/>
          <w:highlight w:val="none"/>
          <w:lang w:eastAsia="zh-CN"/>
        </w:rPr>
        <w:t>”</w:t>
      </w:r>
      <w:r>
        <w:rPr>
          <w:rFonts w:hint="eastAsia" w:hAnsi="宋体" w:cs="宋体"/>
          <w:color w:val="auto"/>
          <w:kern w:val="0"/>
          <w:highlight w:val="none"/>
        </w:rPr>
        <w:t>平台（</w:t>
      </w:r>
      <w:r>
        <w:rPr>
          <w:rFonts w:hint="eastAsia" w:hAnsi="宋体" w:cs="宋体"/>
          <w:color w:val="auto"/>
          <w:kern w:val="0"/>
          <w:highlight w:val="none"/>
          <w:lang w:eastAsia="zh-CN"/>
        </w:rPr>
        <w:t>https://gxjzsc.gxcic.</w:t>
      </w:r>
      <w:r>
        <w:rPr>
          <w:rFonts w:hint="eastAsia" w:cs="宋体"/>
          <w:color w:val="auto"/>
          <w:highlight w:val="none"/>
          <w:lang w:val="en-US" w:eastAsia="zh-CN"/>
        </w:rPr>
        <w:t>cn</w:t>
      </w:r>
      <w:r>
        <w:rPr>
          <w:rFonts w:hint="eastAsia" w:hAnsi="宋体" w:cs="宋体"/>
          <w:color w:val="auto"/>
          <w:kern w:val="0"/>
          <w:highlight w:val="none"/>
          <w:lang w:eastAsia="zh-CN"/>
        </w:rPr>
        <w:t>）</w:t>
      </w:r>
      <w:r>
        <w:rPr>
          <w:rFonts w:hint="eastAsia" w:hAnsi="宋体" w:cs="宋体"/>
          <w:color w:val="auto"/>
          <w:kern w:val="0"/>
          <w:highlight w:val="none"/>
        </w:rPr>
        <w:t>，以实现保函查询及验真功能</w:t>
      </w:r>
      <w:r>
        <w:rPr>
          <w:rFonts w:hint="eastAsia" w:hAnsi="宋体" w:cs="宋体"/>
          <w:color w:val="auto"/>
          <w:kern w:val="0"/>
          <w:highlight w:val="none"/>
          <w:lang w:eastAsia="zh-CN"/>
        </w:rPr>
        <w:t>。</w:t>
      </w:r>
      <w:r>
        <w:rPr>
          <w:rFonts w:hint="eastAsia" w:ascii="Times New Roman" w:hAnsi="宋体" w:eastAsia="宋体" w:cs="宋体"/>
          <w:color w:val="auto"/>
          <w:highlight w:val="none"/>
        </w:rPr>
        <w:t>）</w:t>
      </w:r>
      <w:r>
        <w:rPr>
          <w:rFonts w:hint="eastAsia" w:hAnsi="宋体" w:cs="宋体"/>
          <w:color w:val="auto"/>
          <w:kern w:val="0"/>
          <w:highlight w:val="none"/>
        </w:rPr>
        <w:t>，保证金额</w:t>
      </w:r>
      <w:r>
        <w:rPr>
          <w:rFonts w:hint="eastAsia" w:hAnsi="宋体" w:cs="宋体"/>
          <w:color w:val="auto"/>
          <w:kern w:val="0"/>
          <w:highlight w:val="none"/>
          <w:lang w:val="en-US" w:eastAsia="zh-CN"/>
        </w:rPr>
        <w:t>度</w:t>
      </w:r>
      <w:r>
        <w:rPr>
          <w:rFonts w:hint="eastAsia" w:hAnsi="宋体" w:cs="宋体"/>
          <w:color w:val="auto"/>
          <w:kern w:val="0"/>
          <w:highlight w:val="none"/>
        </w:rPr>
        <w:t>为：</w:t>
      </w:r>
      <w:r>
        <w:rPr>
          <w:color w:val="auto"/>
          <w:kern w:val="0"/>
          <w:highlight w:val="none"/>
          <w:u w:val="single"/>
        </w:rPr>
        <w:t xml:space="preserve">     </w:t>
      </w:r>
      <w:r>
        <w:rPr>
          <w:rFonts w:hint="eastAsia"/>
          <w:color w:val="auto"/>
          <w:kern w:val="0"/>
          <w:highlight w:val="none"/>
          <w:u w:val="single"/>
          <w:lang w:val="en-US" w:eastAsia="zh-CN"/>
        </w:rPr>
        <w:t>无</w:t>
      </w:r>
      <w:r>
        <w:rPr>
          <w:color w:val="auto"/>
          <w:kern w:val="0"/>
          <w:highlight w:val="none"/>
          <w:u w:val="single"/>
        </w:rPr>
        <w:t xml:space="preserve">     </w:t>
      </w:r>
      <w:r>
        <w:rPr>
          <w:rFonts w:hint="eastAsia" w:hAnsi="宋体" w:cs="宋体"/>
          <w:color w:val="auto"/>
          <w:kern w:val="0"/>
          <w:highlight w:val="none"/>
        </w:rPr>
        <w:t>；</w:t>
      </w:r>
    </w:p>
    <w:p w14:paraId="10CBD08B">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rFonts w:hint="eastAsia" w:hAnsi="宋体" w:cs="宋体"/>
          <w:color w:val="auto"/>
          <w:highlight w:val="none"/>
        </w:rPr>
        <w:t>发包人按工程价款结算总额的</w:t>
      </w:r>
      <w:r>
        <w:rPr>
          <w:rFonts w:hAnsi="宋体"/>
          <w:color w:val="auto"/>
          <w:highlight w:val="none"/>
          <w:u w:val="single"/>
        </w:rPr>
        <w:t xml:space="preserve">  </w:t>
      </w:r>
      <w:r>
        <w:rPr>
          <w:rFonts w:hint="eastAsia" w:hAnsi="宋体"/>
          <w:color w:val="auto"/>
          <w:highlight w:val="none"/>
          <w:u w:val="single"/>
          <w:lang w:val="en-US" w:eastAsia="zh-CN"/>
        </w:rPr>
        <w:t xml:space="preserve">3 </w:t>
      </w:r>
      <w:r>
        <w:rPr>
          <w:rFonts w:hAnsi="宋体"/>
          <w:color w:val="auto"/>
          <w:highlight w:val="none"/>
          <w:u w:val="single"/>
        </w:rPr>
        <w:t xml:space="preserve"> </w:t>
      </w:r>
      <w:r>
        <w:rPr>
          <w:color w:val="auto"/>
          <w:highlight w:val="none"/>
        </w:rPr>
        <w:t>%</w:t>
      </w:r>
      <w:r>
        <w:rPr>
          <w:rFonts w:hint="eastAsia" w:cs="宋体"/>
          <w:color w:val="auto"/>
          <w:highlight w:val="none"/>
        </w:rPr>
        <w:t>（不得超过</w:t>
      </w:r>
      <w:r>
        <w:rPr>
          <w:color w:val="auto"/>
          <w:highlight w:val="none"/>
        </w:rPr>
        <w:t>3%</w:t>
      </w:r>
      <w:r>
        <w:rPr>
          <w:rFonts w:hint="eastAsia" w:cs="宋体"/>
          <w:color w:val="auto"/>
          <w:highlight w:val="none"/>
        </w:rPr>
        <w:t>）</w:t>
      </w:r>
      <w:r>
        <w:rPr>
          <w:rFonts w:hint="eastAsia" w:hAnsi="宋体" w:cs="宋体"/>
          <w:color w:val="auto"/>
          <w:highlight w:val="none"/>
        </w:rPr>
        <w:t>预留工程质量保证金，待缺陷责任期满后返还</w:t>
      </w:r>
      <w:r>
        <w:rPr>
          <w:rFonts w:hint="eastAsia" w:hAnsi="宋体" w:cs="宋体"/>
          <w:color w:val="auto"/>
          <w:kern w:val="0"/>
          <w:highlight w:val="none"/>
        </w:rPr>
        <w:t>；</w:t>
      </w:r>
    </w:p>
    <w:p w14:paraId="677F028F">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）其他方式</w:t>
      </w:r>
      <w:r>
        <w:rPr>
          <w:rFonts w:hint="eastAsia" w:cs="宋体"/>
          <w:color w:val="auto"/>
          <w:kern w:val="0"/>
          <w:highlight w:val="none"/>
        </w:rPr>
        <w:t>：</w:t>
      </w:r>
      <w:r>
        <w:rPr>
          <w:rFonts w:hint="eastAsia" w:ascii="Times New Roman" w:hAnsi="宋体" w:eastAsia="宋体" w:cs="宋体"/>
          <w:color w:val="auto"/>
          <w:highlight w:val="none"/>
        </w:rPr>
        <w:t>银行转账、电汇或网上支付等</w:t>
      </w:r>
      <w:r>
        <w:rPr>
          <w:rFonts w:hint="eastAsia" w:ascii="Times New Roman" w:hAnsi="宋体" w:eastAsia="宋体" w:cs="宋体"/>
          <w:color w:val="auto"/>
          <w:highlight w:val="none"/>
          <w:lang w:eastAsia="zh-CN"/>
        </w:rPr>
        <w:t>形</w:t>
      </w:r>
      <w:r>
        <w:rPr>
          <w:rFonts w:hint="eastAsia" w:ascii="Times New Roman" w:hAnsi="宋体" w:eastAsia="宋体" w:cs="宋体"/>
          <w:color w:val="auto"/>
          <w:highlight w:val="none"/>
        </w:rPr>
        <w:t>式</w:t>
      </w:r>
      <w:r>
        <w:rPr>
          <w:rFonts w:hint="eastAsia" w:hAnsi="宋体" w:cs="宋体"/>
          <w:color w:val="auto"/>
          <w:highlight w:val="none"/>
        </w:rPr>
        <w:t>。</w:t>
      </w:r>
    </w:p>
    <w:p w14:paraId="40F347AB">
      <w:pPr>
        <w:spacing w:line="360" w:lineRule="auto"/>
        <w:ind w:firstLine="420" w:firstLineChars="200"/>
        <w:jc w:val="left"/>
        <w:rPr>
          <w:color w:val="auto"/>
          <w:highlight w:val="none"/>
        </w:rPr>
      </w:pPr>
      <w:r>
        <w:rPr>
          <w:color w:val="auto"/>
          <w:highlight w:val="none"/>
        </w:rPr>
        <w:t xml:space="preserve">15.3.2 </w:t>
      </w:r>
      <w:r>
        <w:rPr>
          <w:rFonts w:hint="eastAsia" w:hAnsi="宋体" w:cs="宋体"/>
          <w:color w:val="auto"/>
          <w:highlight w:val="none"/>
        </w:rPr>
        <w:t>质量保证金的扣留</w:t>
      </w:r>
    </w:p>
    <w:p w14:paraId="132E1DEF">
      <w:pPr>
        <w:spacing w:line="360" w:lineRule="auto"/>
        <w:ind w:firstLine="420" w:firstLineChars="200"/>
        <w:jc w:val="left"/>
        <w:rPr>
          <w:color w:val="auto"/>
          <w:highlight w:val="none"/>
        </w:rPr>
      </w:pPr>
      <w:r>
        <w:rPr>
          <w:rFonts w:hint="eastAsia" w:hAnsi="宋体" w:cs="宋体"/>
          <w:color w:val="auto"/>
          <w:highlight w:val="none"/>
        </w:rPr>
        <w:t>质量保证金的扣留采取以下第</w:t>
      </w:r>
      <w:r>
        <w:rPr>
          <w:color w:val="auto"/>
          <w:highlight w:val="none"/>
          <w:u w:val="single"/>
        </w:rPr>
        <w:t xml:space="preserve">   </w:t>
      </w:r>
      <w:r>
        <w:rPr>
          <w:rFonts w:hint="eastAsia"/>
          <w:color w:val="auto"/>
          <w:highlight w:val="none"/>
          <w:u w:val="single"/>
          <w:lang w:val="en-US" w:eastAsia="zh-CN"/>
        </w:rPr>
        <w:t>2</w:t>
      </w:r>
      <w:r>
        <w:rPr>
          <w:color w:val="auto"/>
          <w:highlight w:val="none"/>
          <w:u w:val="single"/>
        </w:rPr>
        <w:t xml:space="preserve">  </w:t>
      </w:r>
      <w:r>
        <w:rPr>
          <w:rFonts w:hint="eastAsia" w:hAnsi="宋体" w:cs="宋体"/>
          <w:color w:val="auto"/>
          <w:highlight w:val="none"/>
        </w:rPr>
        <w:t>种方式：</w:t>
      </w:r>
    </w:p>
    <w:p w14:paraId="0483EBAD">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）在</w:t>
      </w:r>
      <w:r>
        <w:rPr>
          <w:rFonts w:hAnsi="宋体" w:cs="宋体"/>
          <w:color w:val="auto"/>
          <w:kern w:val="0"/>
          <w:highlight w:val="none"/>
        </w:rPr>
        <w:t>不缴纳</w:t>
      </w:r>
      <w:r>
        <w:rPr>
          <w:rFonts w:hint="eastAsia" w:hAnsi="宋体" w:cs="宋体"/>
          <w:color w:val="auto"/>
          <w:kern w:val="0"/>
          <w:highlight w:val="none"/>
          <w:lang w:eastAsia="zh-CN"/>
        </w:rPr>
        <w:t>履约</w:t>
      </w:r>
      <w:r>
        <w:rPr>
          <w:rFonts w:hint="eastAsia" w:hAnsi="宋体" w:cs="宋体"/>
          <w:color w:val="auto"/>
          <w:kern w:val="0"/>
          <w:highlight w:val="none"/>
        </w:rPr>
        <w:t>保</w:t>
      </w:r>
      <w:r>
        <w:rPr>
          <w:rFonts w:hAnsi="宋体" w:cs="宋体"/>
          <w:color w:val="auto"/>
          <w:kern w:val="0"/>
          <w:highlight w:val="none"/>
        </w:rPr>
        <w:t>证金情况下</w:t>
      </w:r>
      <w:r>
        <w:rPr>
          <w:rFonts w:hint="eastAsia" w:hAnsi="宋体" w:cs="宋体"/>
          <w:color w:val="auto"/>
          <w:kern w:val="0"/>
          <w:highlight w:val="none"/>
        </w:rPr>
        <w:t>，按支付工程进度款时逐次扣留，质量保证金的计算基数不包括预付款的支付、扣回以及价格调整的金额</w:t>
      </w:r>
      <w:r>
        <w:rPr>
          <w:rFonts w:hint="eastAsia" w:hAnsi="宋体" w:cs="宋体"/>
          <w:color w:val="auto"/>
          <w:kern w:val="0"/>
          <w:highlight w:val="none"/>
          <w:lang w:eastAsia="zh-CN"/>
        </w:rPr>
        <w:t>。</w:t>
      </w:r>
      <w:r>
        <w:rPr>
          <w:rFonts w:hint="eastAsia" w:hAnsi="宋体" w:cs="宋体"/>
          <w:color w:val="auto"/>
          <w:highlight w:val="none"/>
        </w:rPr>
        <w:t>在工程项目竣工前，承包人按专用合同条款第3.7条提供履约担保的，发包人不得同时预留工程质量保证金</w:t>
      </w:r>
      <w:r>
        <w:rPr>
          <w:rFonts w:hint="eastAsia" w:hAnsi="宋体" w:cs="宋体"/>
          <w:color w:val="auto"/>
          <w:highlight w:val="none"/>
          <w:lang w:eastAsia="zh-CN"/>
        </w:rPr>
        <w:t>。</w:t>
      </w:r>
    </w:p>
    <w:p w14:paraId="45BA5E30">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）工程竣工结算时，一次性扣留质量保证金，</w:t>
      </w:r>
      <w:r>
        <w:rPr>
          <w:rFonts w:hAnsi="宋体" w:cs="宋体"/>
          <w:color w:val="auto"/>
          <w:kern w:val="0"/>
          <w:highlight w:val="none"/>
        </w:rPr>
        <w:t>由承包人以银行保函</w:t>
      </w:r>
      <w:r>
        <w:rPr>
          <w:rFonts w:hint="eastAsia" w:hAnsi="宋体" w:cs="宋体"/>
          <w:color w:val="auto"/>
          <w:kern w:val="0"/>
          <w:highlight w:val="none"/>
        </w:rPr>
        <w:t>、保证保险</w:t>
      </w:r>
      <w:r>
        <w:rPr>
          <w:rFonts w:hAnsi="宋体" w:cs="宋体"/>
          <w:color w:val="auto"/>
          <w:kern w:val="0"/>
          <w:highlight w:val="none"/>
        </w:rPr>
        <w:t>替代预留</w:t>
      </w:r>
      <w:r>
        <w:rPr>
          <w:rFonts w:hint="eastAsia" w:hAnsi="宋体" w:cs="宋体"/>
          <w:color w:val="auto"/>
          <w:kern w:val="0"/>
          <w:highlight w:val="none"/>
        </w:rPr>
        <w:t>质量</w:t>
      </w:r>
      <w:r>
        <w:rPr>
          <w:rFonts w:hAnsi="宋体" w:cs="宋体"/>
          <w:color w:val="auto"/>
          <w:kern w:val="0"/>
          <w:highlight w:val="none"/>
        </w:rPr>
        <w:t>保证金</w:t>
      </w:r>
      <w:r>
        <w:rPr>
          <w:rFonts w:hint="eastAsia" w:hAnsi="宋体" w:cs="宋体"/>
          <w:color w:val="auto"/>
          <w:kern w:val="0"/>
          <w:highlight w:val="none"/>
        </w:rPr>
        <w:t>，</w:t>
      </w:r>
      <w:r>
        <w:rPr>
          <w:rFonts w:hAnsi="宋体" w:cs="宋体"/>
          <w:color w:val="auto"/>
          <w:kern w:val="0"/>
          <w:highlight w:val="none"/>
        </w:rPr>
        <w:t>保函金额不得高</w:t>
      </w:r>
      <w:r>
        <w:rPr>
          <w:rFonts w:hint="eastAsia" w:hAnsi="宋体" w:cs="宋体"/>
          <w:color w:val="auto"/>
          <w:kern w:val="0"/>
          <w:highlight w:val="none"/>
        </w:rPr>
        <w:t>于</w:t>
      </w:r>
      <w:r>
        <w:rPr>
          <w:rFonts w:hAnsi="宋体" w:cs="宋体"/>
          <w:color w:val="auto"/>
          <w:kern w:val="0"/>
          <w:highlight w:val="none"/>
        </w:rPr>
        <w:t>工程价款结算总额的</w:t>
      </w:r>
      <w:r>
        <w:rPr>
          <w:rFonts w:hint="eastAsia" w:hAnsi="宋体" w:cs="宋体"/>
          <w:color w:val="auto"/>
          <w:kern w:val="0"/>
          <w:highlight w:val="none"/>
        </w:rPr>
        <w:t>3</w:t>
      </w:r>
      <w:r>
        <w:rPr>
          <w:rFonts w:hAnsi="宋体" w:cs="宋体"/>
          <w:color w:val="auto"/>
          <w:kern w:val="0"/>
          <w:highlight w:val="none"/>
        </w:rPr>
        <w:t>%</w:t>
      </w:r>
      <w:r>
        <w:rPr>
          <w:rFonts w:hint="eastAsia" w:hAnsi="宋体" w:cs="宋体"/>
          <w:color w:val="auto"/>
          <w:kern w:val="0"/>
          <w:highlight w:val="none"/>
        </w:rPr>
        <w:t>；</w:t>
      </w:r>
    </w:p>
    <w:p w14:paraId="77ABC788">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）其他扣留方式</w:t>
      </w:r>
      <w:r>
        <w:rPr>
          <w:rFonts w:hint="eastAsia" w:hAnsi="宋体" w:cs="宋体"/>
          <w:color w:val="auto"/>
          <w:kern w:val="0"/>
          <w:highlight w:val="none"/>
          <w:lang w:eastAsia="zh-CN"/>
        </w:rPr>
        <w:t>：</w:t>
      </w:r>
      <w:r>
        <w:rPr>
          <w:rFonts w:hint="eastAsia" w:cs="宋体"/>
          <w:color w:val="auto"/>
          <w:kern w:val="0"/>
          <w:highlight w:val="none"/>
          <w:u w:val="single"/>
          <w:lang w:val="en-US" w:eastAsia="zh-CN"/>
        </w:rPr>
        <w:t xml:space="preserve">  银行转账、电汇或网上支付、保函 </w:t>
      </w:r>
      <w:r>
        <w:rPr>
          <w:rFonts w:hint="eastAsia" w:cs="宋体"/>
          <w:color w:val="auto"/>
          <w:kern w:val="0"/>
          <w:highlight w:val="none"/>
          <w:u w:val="none"/>
          <w:lang w:val="en-US" w:eastAsia="zh-CN"/>
        </w:rPr>
        <w:t>（如</w:t>
      </w:r>
      <w:r>
        <w:rPr>
          <w:rFonts w:hint="eastAsia" w:ascii="Times New Roman" w:hAnsi="宋体" w:eastAsia="宋体" w:cs="宋体"/>
          <w:color w:val="auto"/>
          <w:highlight w:val="none"/>
        </w:rPr>
        <w:t>银行转账、电汇或网上支付等</w:t>
      </w:r>
      <w:r>
        <w:rPr>
          <w:rFonts w:hint="eastAsia" w:ascii="Times New Roman" w:hAnsi="宋体" w:eastAsia="宋体" w:cs="宋体"/>
          <w:color w:val="auto"/>
          <w:highlight w:val="none"/>
          <w:lang w:eastAsia="zh-CN"/>
        </w:rPr>
        <w:t>形</w:t>
      </w:r>
      <w:r>
        <w:rPr>
          <w:rFonts w:hint="eastAsia" w:ascii="Times New Roman" w:hAnsi="宋体" w:eastAsia="宋体" w:cs="宋体"/>
          <w:color w:val="auto"/>
          <w:highlight w:val="none"/>
        </w:rPr>
        <w:t>式</w:t>
      </w:r>
      <w:r>
        <w:rPr>
          <w:rFonts w:hint="eastAsia" w:hAnsi="宋体" w:cs="宋体"/>
          <w:color w:val="auto"/>
          <w:highlight w:val="none"/>
          <w:lang w:eastAsia="zh-CN"/>
        </w:rPr>
        <w:t>）。</w:t>
      </w:r>
    </w:p>
    <w:p w14:paraId="300641D7">
      <w:pPr>
        <w:spacing w:line="360" w:lineRule="auto"/>
        <w:ind w:firstLine="420" w:firstLineChars="200"/>
        <w:jc w:val="left"/>
        <w:rPr>
          <w:color w:val="auto"/>
          <w:kern w:val="0"/>
          <w:highlight w:val="none"/>
          <w:u w:val="single"/>
        </w:rPr>
      </w:pPr>
      <w:r>
        <w:rPr>
          <w:rFonts w:hint="eastAsia" w:hAnsi="宋体" w:cs="宋体"/>
          <w:color w:val="auto"/>
          <w:highlight w:val="none"/>
        </w:rPr>
        <w:t>关于质量保证金的补充约定：</w:t>
      </w:r>
      <w:r>
        <w:rPr>
          <w:color w:val="auto"/>
          <w:kern w:val="0"/>
          <w:highlight w:val="none"/>
          <w:u w:val="single"/>
        </w:rPr>
        <w:t xml:space="preserve">    </w:t>
      </w:r>
      <w:r>
        <w:rPr>
          <w:rFonts w:hint="eastAsia" w:ascii="宋体" w:hAnsi="宋体"/>
          <w:color w:val="auto"/>
          <w:kern w:val="0"/>
          <w:szCs w:val="21"/>
          <w:u w:val="single" w:color="000000"/>
        </w:rPr>
        <w:t>无</w:t>
      </w:r>
      <w:r>
        <w:rPr>
          <w:color w:val="auto"/>
          <w:kern w:val="0"/>
          <w:highlight w:val="none"/>
          <w:u w:val="single"/>
        </w:rPr>
        <w:t xml:space="preserve">     </w:t>
      </w:r>
      <w:r>
        <w:rPr>
          <w:rFonts w:hint="eastAsia" w:hAnsi="宋体" w:cs="宋体"/>
          <w:color w:val="auto"/>
          <w:kern w:val="0"/>
          <w:highlight w:val="none"/>
        </w:rPr>
        <w:t>。</w:t>
      </w:r>
    </w:p>
    <w:bookmarkEnd w:id="1733"/>
    <w:bookmarkEnd w:id="1734"/>
    <w:p w14:paraId="6A959653">
      <w:pPr>
        <w:pStyle w:val="5"/>
        <w:rPr>
          <w:color w:val="auto"/>
          <w:highlight w:val="none"/>
        </w:rPr>
      </w:pPr>
      <w:bookmarkStart w:id="1778" w:name="_Toc78449854"/>
      <w:bookmarkStart w:id="1779" w:name="_Toc373227765"/>
      <w:bookmarkStart w:id="1780" w:name="_Toc407135268"/>
      <w:bookmarkStart w:id="1781" w:name="_Toc26279"/>
      <w:bookmarkStart w:id="1782" w:name="_Toc31747"/>
      <w:bookmarkStart w:id="1783" w:name="_Toc389065330"/>
      <w:bookmarkStart w:id="1784" w:name="_Toc373478412"/>
      <w:bookmarkStart w:id="1785" w:name="_Toc196306762"/>
      <w:r>
        <w:rPr>
          <w:color w:val="auto"/>
          <w:highlight w:val="none"/>
        </w:rPr>
        <w:t xml:space="preserve">15.4 </w:t>
      </w:r>
      <w:r>
        <w:rPr>
          <w:rFonts w:hint="eastAsia" w:hAnsi="宋体" w:cs="黑体"/>
          <w:color w:val="auto"/>
          <w:highlight w:val="none"/>
        </w:rPr>
        <w:t>保修</w:t>
      </w:r>
      <w:bookmarkEnd w:id="1778"/>
      <w:bookmarkEnd w:id="1779"/>
      <w:bookmarkEnd w:id="1780"/>
      <w:bookmarkEnd w:id="1781"/>
      <w:bookmarkEnd w:id="1782"/>
      <w:bookmarkEnd w:id="1783"/>
      <w:bookmarkEnd w:id="1784"/>
      <w:bookmarkEnd w:id="1785"/>
    </w:p>
    <w:bookmarkEnd w:id="1735"/>
    <w:p w14:paraId="41994AA0">
      <w:pPr>
        <w:spacing w:line="360" w:lineRule="auto"/>
        <w:ind w:firstLine="409" w:firstLineChars="195"/>
        <w:jc w:val="left"/>
        <w:outlineLvl w:val="0"/>
        <w:rPr>
          <w:color w:val="auto"/>
          <w:highlight w:val="none"/>
        </w:rPr>
      </w:pPr>
      <w:r>
        <w:rPr>
          <w:color w:val="auto"/>
          <w:highlight w:val="none"/>
        </w:rPr>
        <w:t xml:space="preserve">15.4.1 </w:t>
      </w:r>
      <w:r>
        <w:rPr>
          <w:rFonts w:hint="eastAsia" w:hAnsi="宋体" w:cs="宋体"/>
          <w:color w:val="auto"/>
          <w:highlight w:val="none"/>
        </w:rPr>
        <w:t>保修责任</w:t>
      </w:r>
    </w:p>
    <w:p w14:paraId="38CBA315">
      <w:pPr>
        <w:spacing w:line="360" w:lineRule="auto"/>
        <w:ind w:firstLine="409" w:firstLineChars="195"/>
        <w:jc w:val="left"/>
        <w:rPr>
          <w:rFonts w:hAnsi="宋体"/>
          <w:color w:val="auto"/>
          <w:kern w:val="0"/>
          <w:highlight w:val="none"/>
        </w:rPr>
      </w:pPr>
      <w:r>
        <w:rPr>
          <w:rFonts w:hint="eastAsia" w:hAnsi="宋体" w:cs="宋体"/>
          <w:color w:val="auto"/>
          <w:highlight w:val="none"/>
        </w:rPr>
        <w:t>工程保修期为：</w:t>
      </w:r>
      <w:r>
        <w:rPr>
          <w:color w:val="auto"/>
          <w:kern w:val="0"/>
          <w:highlight w:val="none"/>
          <w:u w:val="single"/>
        </w:rPr>
        <w:t xml:space="preserve">  </w:t>
      </w:r>
      <w:r>
        <w:rPr>
          <w:rFonts w:hint="eastAsia" w:ascii="宋体" w:hAnsi="宋体"/>
          <w:color w:val="auto"/>
          <w:spacing w:val="-4"/>
          <w:kern w:val="0"/>
          <w:szCs w:val="21"/>
          <w:u w:val="single" w:color="000000"/>
        </w:rPr>
        <w:t>主体结构工程为设计文件规定的该工程的合理使用年限，本工程为</w:t>
      </w:r>
      <w:r>
        <w:rPr>
          <w:rFonts w:ascii="Times New Roman" w:hAnsi="Times New Roman" w:eastAsia="Times New Roman"/>
          <w:color w:val="auto"/>
          <w:spacing w:val="-3"/>
          <w:kern w:val="0"/>
          <w:szCs w:val="21"/>
          <w:u w:val="single" w:color="000000"/>
        </w:rPr>
        <w:t>50</w:t>
      </w:r>
      <w:r>
        <w:rPr>
          <w:rFonts w:hint="eastAsia" w:ascii="宋体" w:hAnsi="宋体"/>
          <w:color w:val="auto"/>
          <w:kern w:val="0"/>
          <w:szCs w:val="21"/>
          <w:u w:val="single" w:color="000000"/>
        </w:rPr>
        <w:t>年；</w:t>
      </w:r>
      <w:r>
        <w:rPr>
          <w:rFonts w:hint="eastAsia" w:ascii="宋体" w:hAnsi="宋体"/>
          <w:color w:val="auto"/>
          <w:spacing w:val="-3"/>
          <w:kern w:val="0"/>
          <w:szCs w:val="21"/>
          <w:u w:val="single" w:color="000000"/>
        </w:rPr>
        <w:t>屋面防水工程、有防水要求的卫生间、房间和外墙面的防渗漏为</w:t>
      </w:r>
      <w:r>
        <w:rPr>
          <w:rFonts w:ascii="Times New Roman" w:hAnsi="Times New Roman" w:eastAsia="Times New Roman"/>
          <w:color w:val="auto"/>
          <w:kern w:val="0"/>
          <w:szCs w:val="21"/>
          <w:u w:val="single" w:color="000000"/>
        </w:rPr>
        <w:t>5</w:t>
      </w:r>
      <w:r>
        <w:rPr>
          <w:rFonts w:hint="eastAsia" w:ascii="宋体" w:hAnsi="宋体"/>
          <w:color w:val="auto"/>
          <w:spacing w:val="-3"/>
          <w:kern w:val="0"/>
          <w:szCs w:val="21"/>
          <w:u w:val="single" w:color="000000"/>
        </w:rPr>
        <w:t>年；电气管线、给排水管道、</w:t>
      </w:r>
      <w:r>
        <w:rPr>
          <w:rFonts w:hint="eastAsia" w:ascii="宋体" w:hAnsi="宋体"/>
          <w:color w:val="auto"/>
          <w:kern w:val="0"/>
          <w:szCs w:val="21"/>
          <w:u w:val="single" w:color="000000"/>
        </w:rPr>
        <w:t>设备安装为</w:t>
      </w:r>
      <w:r>
        <w:rPr>
          <w:rFonts w:ascii="Times New Roman" w:hAnsi="Times New Roman" w:eastAsia="Times New Roman"/>
          <w:color w:val="auto"/>
          <w:kern w:val="0"/>
          <w:szCs w:val="21"/>
          <w:u w:val="single" w:color="000000"/>
        </w:rPr>
        <w:t>2</w:t>
      </w:r>
      <w:r>
        <w:rPr>
          <w:rFonts w:hint="eastAsia" w:ascii="宋体" w:hAnsi="宋体"/>
          <w:color w:val="auto"/>
          <w:kern w:val="0"/>
          <w:szCs w:val="21"/>
          <w:u w:val="single" w:color="000000"/>
        </w:rPr>
        <w:t>年</w:t>
      </w:r>
      <w:r>
        <w:rPr>
          <w:color w:val="auto"/>
          <w:kern w:val="0"/>
          <w:highlight w:val="none"/>
          <w:u w:val="single"/>
        </w:rPr>
        <w:t xml:space="preserve">   </w:t>
      </w:r>
      <w:r>
        <w:rPr>
          <w:rFonts w:hint="eastAsia" w:hAnsi="宋体" w:cs="宋体"/>
          <w:color w:val="auto"/>
          <w:kern w:val="0"/>
          <w:highlight w:val="none"/>
        </w:rPr>
        <w:t>。</w:t>
      </w:r>
    </w:p>
    <w:p w14:paraId="0763261A">
      <w:pPr>
        <w:spacing w:line="360" w:lineRule="auto"/>
        <w:ind w:firstLine="409" w:firstLineChars="195"/>
        <w:jc w:val="left"/>
        <w:rPr>
          <w:color w:val="auto"/>
          <w:kern w:val="0"/>
          <w:highlight w:val="none"/>
          <w:u w:val="single"/>
        </w:rPr>
      </w:pPr>
      <w:r>
        <w:rPr>
          <w:rFonts w:hint="eastAsia" w:ascii="宋体" w:hAnsi="宋体" w:cs="宋体"/>
          <w:color w:val="auto"/>
          <w:highlight w:val="none"/>
        </w:rPr>
        <w:t>工程保修书具体内容见合同附件2。</w:t>
      </w:r>
    </w:p>
    <w:p w14:paraId="037052A6">
      <w:pPr>
        <w:spacing w:line="360" w:lineRule="auto"/>
        <w:ind w:firstLine="409" w:firstLineChars="195"/>
        <w:jc w:val="left"/>
        <w:rPr>
          <w:color w:val="auto"/>
          <w:highlight w:val="none"/>
        </w:rPr>
      </w:pPr>
      <w:r>
        <w:rPr>
          <w:color w:val="auto"/>
          <w:highlight w:val="none"/>
        </w:rPr>
        <w:t xml:space="preserve">15.4.3 </w:t>
      </w:r>
      <w:r>
        <w:rPr>
          <w:rFonts w:hint="eastAsia" w:hAnsi="宋体" w:cs="宋体"/>
          <w:color w:val="auto"/>
          <w:highlight w:val="none"/>
        </w:rPr>
        <w:t>修复通知</w:t>
      </w:r>
    </w:p>
    <w:p w14:paraId="642D6086">
      <w:pPr>
        <w:spacing w:line="360" w:lineRule="auto"/>
        <w:ind w:firstLine="409" w:firstLineChars="195"/>
        <w:jc w:val="left"/>
        <w:rPr>
          <w:color w:val="auto"/>
          <w:kern w:val="0"/>
          <w:highlight w:val="none"/>
          <w:u w:val="single"/>
        </w:rPr>
      </w:pPr>
      <w:r>
        <w:rPr>
          <w:rFonts w:hint="eastAsia" w:hAnsi="宋体" w:cs="宋体"/>
          <w:color w:val="auto"/>
          <w:kern w:val="0"/>
          <w:highlight w:val="none"/>
        </w:rPr>
        <w:t>承包人收到保修通知并到达工程现场的合理时间：</w:t>
      </w:r>
      <w:r>
        <w:rPr>
          <w:color w:val="auto"/>
          <w:kern w:val="0"/>
          <w:highlight w:val="none"/>
          <w:u w:val="single"/>
        </w:rPr>
        <w:t xml:space="preserve">  </w:t>
      </w:r>
      <w:r>
        <w:rPr>
          <w:rFonts w:hint="eastAsia" w:ascii="宋体" w:hAnsi="宋体"/>
          <w:color w:val="auto"/>
          <w:spacing w:val="-2"/>
          <w:kern w:val="0"/>
          <w:szCs w:val="21"/>
          <w:u w:val="single" w:color="000000"/>
        </w:rPr>
        <w:t>收到通知后</w:t>
      </w:r>
      <w:r>
        <w:rPr>
          <w:rFonts w:ascii="Times New Roman" w:hAnsi="Times New Roman" w:eastAsia="Times New Roman"/>
          <w:color w:val="auto"/>
          <w:spacing w:val="-3"/>
          <w:kern w:val="0"/>
          <w:szCs w:val="21"/>
          <w:u w:val="single" w:color="000000"/>
        </w:rPr>
        <w:t>24</w:t>
      </w:r>
      <w:r>
        <w:rPr>
          <w:rFonts w:hint="eastAsia" w:ascii="宋体" w:hAnsi="宋体"/>
          <w:color w:val="auto"/>
          <w:spacing w:val="-3"/>
          <w:kern w:val="0"/>
          <w:szCs w:val="21"/>
          <w:u w:val="single" w:color="000000"/>
        </w:rPr>
        <w:t>小时</w:t>
      </w:r>
      <w:r>
        <w:rPr>
          <w:color w:val="auto"/>
          <w:kern w:val="0"/>
          <w:highlight w:val="none"/>
          <w:u w:val="single"/>
        </w:rPr>
        <w:t xml:space="preserve">    </w:t>
      </w:r>
      <w:r>
        <w:rPr>
          <w:rFonts w:hint="eastAsia" w:hAnsi="宋体" w:cs="宋体"/>
          <w:color w:val="auto"/>
          <w:kern w:val="0"/>
          <w:highlight w:val="none"/>
        </w:rPr>
        <w:t>。</w:t>
      </w:r>
    </w:p>
    <w:bookmarkEnd w:id="1736"/>
    <w:bookmarkEnd w:id="1737"/>
    <w:bookmarkEnd w:id="1738"/>
    <w:bookmarkEnd w:id="1739"/>
    <w:p w14:paraId="4C8BFD98">
      <w:pPr>
        <w:pStyle w:val="4"/>
        <w:rPr>
          <w:color w:val="auto"/>
          <w:highlight w:val="none"/>
        </w:rPr>
      </w:pPr>
      <w:bookmarkStart w:id="1786" w:name="_Toc389065331"/>
      <w:bookmarkStart w:id="1787" w:name="_Toc3143"/>
      <w:bookmarkStart w:id="1788" w:name="_Toc407135269"/>
      <w:bookmarkStart w:id="1789" w:name="_Toc78449855"/>
      <w:bookmarkStart w:id="1790" w:name="_Toc373227766"/>
      <w:bookmarkStart w:id="1791" w:name="_Toc1360137061"/>
      <w:bookmarkStart w:id="1792" w:name="_Toc351203648"/>
      <w:bookmarkStart w:id="1793" w:name="_Toc373478413"/>
      <w:bookmarkStart w:id="1794" w:name="_Toc280868717"/>
      <w:bookmarkStart w:id="1795" w:name="_Toc280868718"/>
      <w:r>
        <w:rPr>
          <w:color w:val="auto"/>
          <w:highlight w:val="none"/>
        </w:rPr>
        <w:t xml:space="preserve">16. </w:t>
      </w:r>
      <w:r>
        <w:rPr>
          <w:rFonts w:hint="eastAsia" w:hAnsi="宋体" w:cs="黑体"/>
          <w:color w:val="auto"/>
          <w:highlight w:val="none"/>
        </w:rPr>
        <w:t>违约</w:t>
      </w:r>
      <w:bookmarkEnd w:id="1786"/>
      <w:bookmarkEnd w:id="1787"/>
      <w:bookmarkEnd w:id="1788"/>
      <w:bookmarkEnd w:id="1789"/>
      <w:bookmarkEnd w:id="1790"/>
      <w:bookmarkEnd w:id="1791"/>
      <w:bookmarkEnd w:id="1792"/>
      <w:bookmarkEnd w:id="1793"/>
    </w:p>
    <w:p w14:paraId="7A4FE616">
      <w:pPr>
        <w:pStyle w:val="5"/>
        <w:rPr>
          <w:color w:val="auto"/>
          <w:highlight w:val="none"/>
        </w:rPr>
      </w:pPr>
      <w:bookmarkStart w:id="1796" w:name="_Toc1973395665"/>
      <w:bookmarkStart w:id="1797" w:name="_Toc373227767"/>
      <w:bookmarkStart w:id="1798" w:name="_Toc373478414"/>
      <w:bookmarkStart w:id="1799" w:name="_Toc407135270"/>
      <w:bookmarkStart w:id="1800" w:name="_Toc389065332"/>
      <w:bookmarkStart w:id="1801" w:name="_Toc7570"/>
      <w:bookmarkStart w:id="1802" w:name="_Toc19236"/>
      <w:bookmarkStart w:id="1803" w:name="_Toc78449856"/>
      <w:r>
        <w:rPr>
          <w:color w:val="auto"/>
          <w:highlight w:val="none"/>
        </w:rPr>
        <w:t xml:space="preserve">16.1 </w:t>
      </w:r>
      <w:r>
        <w:rPr>
          <w:rFonts w:hint="eastAsia" w:hAnsi="宋体" w:cs="黑体"/>
          <w:color w:val="auto"/>
          <w:highlight w:val="none"/>
        </w:rPr>
        <w:t>发包人违约</w:t>
      </w:r>
      <w:bookmarkEnd w:id="1796"/>
      <w:bookmarkEnd w:id="1797"/>
      <w:bookmarkEnd w:id="1798"/>
      <w:bookmarkEnd w:id="1799"/>
      <w:bookmarkEnd w:id="1800"/>
      <w:bookmarkEnd w:id="1801"/>
      <w:bookmarkEnd w:id="1802"/>
      <w:bookmarkEnd w:id="1803"/>
    </w:p>
    <w:p w14:paraId="438E30C3">
      <w:pPr>
        <w:spacing w:line="360" w:lineRule="auto"/>
        <w:ind w:firstLine="420" w:firstLineChars="200"/>
        <w:jc w:val="left"/>
        <w:rPr>
          <w:color w:val="auto"/>
          <w:highlight w:val="none"/>
        </w:rPr>
      </w:pPr>
      <w:r>
        <w:rPr>
          <w:color w:val="auto"/>
          <w:highlight w:val="none"/>
        </w:rPr>
        <w:t>16.1.1</w:t>
      </w:r>
      <w:r>
        <w:rPr>
          <w:rFonts w:hint="eastAsia" w:hAnsi="宋体" w:cs="宋体"/>
          <w:color w:val="auto"/>
          <w:highlight w:val="none"/>
        </w:rPr>
        <w:t>发包人违约的情形</w:t>
      </w:r>
    </w:p>
    <w:p w14:paraId="467DD595">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发包人违约的其他情形：</w:t>
      </w:r>
      <w:r>
        <w:rPr>
          <w:color w:val="auto"/>
          <w:kern w:val="0"/>
          <w:highlight w:val="none"/>
          <w:u w:val="single"/>
        </w:rPr>
        <w:t xml:space="preserve">      </w:t>
      </w:r>
      <w:r>
        <w:rPr>
          <w:rFonts w:hint="eastAsia"/>
          <w:color w:val="auto"/>
          <w:kern w:val="0"/>
          <w:highlight w:val="none"/>
          <w:u w:val="single"/>
          <w:lang w:val="en-US" w:eastAsia="zh-CN"/>
        </w:rPr>
        <w:t>无</w:t>
      </w:r>
      <w:r>
        <w:rPr>
          <w:color w:val="auto"/>
          <w:kern w:val="0"/>
          <w:highlight w:val="none"/>
          <w:u w:val="single"/>
        </w:rPr>
        <w:t xml:space="preserve">    </w:t>
      </w:r>
      <w:r>
        <w:rPr>
          <w:rFonts w:hint="eastAsia" w:hAnsi="宋体" w:cs="宋体"/>
          <w:color w:val="auto"/>
          <w:kern w:val="0"/>
          <w:highlight w:val="none"/>
        </w:rPr>
        <w:t>。</w:t>
      </w:r>
    </w:p>
    <w:p w14:paraId="330A0551">
      <w:pPr>
        <w:spacing w:line="360" w:lineRule="auto"/>
        <w:ind w:firstLine="420" w:firstLineChars="200"/>
        <w:jc w:val="left"/>
        <w:outlineLvl w:val="0"/>
        <w:rPr>
          <w:color w:val="auto"/>
          <w:kern w:val="0"/>
          <w:highlight w:val="none"/>
        </w:rPr>
      </w:pPr>
      <w:r>
        <w:rPr>
          <w:color w:val="auto"/>
          <w:kern w:val="0"/>
          <w:highlight w:val="none"/>
        </w:rPr>
        <w:t xml:space="preserve">16.1.2 </w:t>
      </w:r>
      <w:r>
        <w:rPr>
          <w:rFonts w:hint="eastAsia" w:hAnsi="宋体" w:cs="宋体"/>
          <w:color w:val="auto"/>
          <w:kern w:val="0"/>
          <w:highlight w:val="none"/>
        </w:rPr>
        <w:t>发包人违约的责任</w:t>
      </w:r>
    </w:p>
    <w:p w14:paraId="4B3E8782">
      <w:pPr>
        <w:spacing w:line="360" w:lineRule="auto"/>
        <w:ind w:firstLine="420" w:firstLineChars="200"/>
        <w:jc w:val="left"/>
        <w:rPr>
          <w:color w:val="auto"/>
          <w:kern w:val="0"/>
          <w:highlight w:val="none"/>
        </w:rPr>
      </w:pPr>
      <w:r>
        <w:rPr>
          <w:rFonts w:hint="eastAsia" w:hAnsi="宋体" w:cs="宋体"/>
          <w:color w:val="auto"/>
          <w:kern w:val="0"/>
          <w:highlight w:val="none"/>
        </w:rPr>
        <w:t>发包人违约责任的承担方式和计算方法：</w:t>
      </w:r>
    </w:p>
    <w:p w14:paraId="7D08E7BC">
      <w:pPr>
        <w:spacing w:line="360" w:lineRule="auto"/>
        <w:ind w:firstLine="420" w:firstLineChars="200"/>
        <w:jc w:val="left"/>
        <w:rPr>
          <w:color w:val="auto"/>
          <w:kern w:val="0"/>
          <w:highlight w:val="none"/>
          <w:u w:val="singl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）因发包人原因未能在计划开工日期前</w:t>
      </w:r>
      <w:r>
        <w:rPr>
          <w:color w:val="auto"/>
          <w:kern w:val="0"/>
          <w:highlight w:val="none"/>
        </w:rPr>
        <w:t>7</w:t>
      </w:r>
      <w:r>
        <w:rPr>
          <w:rFonts w:hint="eastAsia" w:hAnsi="宋体" w:cs="宋体"/>
          <w:color w:val="auto"/>
          <w:kern w:val="0"/>
          <w:highlight w:val="none"/>
        </w:rPr>
        <w:t>天内下达开工通知的违约责任：</w:t>
      </w:r>
      <w:r>
        <w:rPr>
          <w:color w:val="auto"/>
          <w:kern w:val="0"/>
          <w:highlight w:val="none"/>
          <w:u w:val="single"/>
        </w:rPr>
        <w:t xml:space="preserve">    </w:t>
      </w:r>
      <w:r>
        <w:rPr>
          <w:rFonts w:hint="eastAsia"/>
          <w:color w:val="auto"/>
          <w:kern w:val="0"/>
          <w:highlight w:val="none"/>
          <w:u w:val="single"/>
          <w:lang w:val="en-US" w:eastAsia="zh-CN"/>
        </w:rPr>
        <w:t>/</w:t>
      </w:r>
      <w:r>
        <w:rPr>
          <w:color w:val="auto"/>
          <w:kern w:val="0"/>
          <w:highlight w:val="none"/>
          <w:u w:val="single"/>
        </w:rPr>
        <w:t xml:space="preserve">       </w:t>
      </w:r>
      <w:r>
        <w:rPr>
          <w:rFonts w:hint="eastAsia" w:hAnsi="宋体" w:cs="宋体"/>
          <w:color w:val="auto"/>
          <w:kern w:val="0"/>
          <w:highlight w:val="none"/>
        </w:rPr>
        <w:t>。</w:t>
      </w:r>
    </w:p>
    <w:p w14:paraId="099FA841">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）因发包人原因未能按合同约定支付合同价款的违约责任：</w:t>
      </w:r>
      <w:r>
        <w:rPr>
          <w:color w:val="auto"/>
          <w:kern w:val="0"/>
          <w:highlight w:val="none"/>
          <w:u w:val="single"/>
        </w:rPr>
        <w:t xml:space="preserve">   </w:t>
      </w:r>
      <w:r>
        <w:rPr>
          <w:rFonts w:hint="eastAsia" w:ascii="宋体" w:hAnsi="宋体"/>
          <w:color w:val="auto"/>
          <w:spacing w:val="-3"/>
          <w:kern w:val="0"/>
          <w:szCs w:val="21"/>
          <w:u w:val="single" w:color="000000"/>
        </w:rPr>
        <w:t>按本合同《专用合同条款》</w:t>
      </w:r>
      <w:r>
        <w:rPr>
          <w:rFonts w:hint="eastAsia" w:ascii="宋体" w:hAnsi="宋体"/>
          <w:color w:val="auto"/>
          <w:kern w:val="0"/>
          <w:szCs w:val="21"/>
          <w:u w:val="single" w:color="000000"/>
        </w:rPr>
        <w:t>第</w:t>
      </w:r>
      <w:r>
        <w:rPr>
          <w:rFonts w:ascii="Times New Roman" w:hAnsi="Times New Roman" w:eastAsia="Times New Roman"/>
          <w:color w:val="auto"/>
          <w:kern w:val="0"/>
          <w:szCs w:val="21"/>
          <w:u w:val="single" w:color="000000"/>
        </w:rPr>
        <w:t>12.4.4</w:t>
      </w:r>
      <w:r>
        <w:rPr>
          <w:rFonts w:hint="eastAsia" w:ascii="宋体" w:hAnsi="宋体"/>
          <w:color w:val="auto"/>
          <w:kern w:val="0"/>
          <w:szCs w:val="21"/>
          <w:u w:val="single" w:color="000000"/>
        </w:rPr>
        <w:t>项第（</w:t>
      </w:r>
      <w:r>
        <w:rPr>
          <w:rFonts w:ascii="Times New Roman" w:hAnsi="Times New Roman" w:eastAsia="Times New Roman"/>
          <w:color w:val="auto"/>
          <w:kern w:val="0"/>
          <w:szCs w:val="21"/>
          <w:u w:val="single" w:color="000000"/>
        </w:rPr>
        <w:t>2</w:t>
      </w:r>
      <w:r>
        <w:rPr>
          <w:rFonts w:hint="eastAsia" w:ascii="宋体" w:hAnsi="宋体"/>
          <w:color w:val="auto"/>
          <w:kern w:val="0"/>
          <w:szCs w:val="21"/>
          <w:u w:val="single" w:color="000000"/>
        </w:rPr>
        <w:t>）点执行</w:t>
      </w:r>
      <w:r>
        <w:rPr>
          <w:color w:val="auto"/>
          <w:kern w:val="0"/>
          <w:highlight w:val="none"/>
          <w:u w:val="single"/>
        </w:rPr>
        <w:t xml:space="preserve">                   </w:t>
      </w:r>
      <w:r>
        <w:rPr>
          <w:rFonts w:hint="eastAsia" w:hAnsi="宋体" w:cs="宋体"/>
          <w:color w:val="auto"/>
          <w:kern w:val="0"/>
          <w:highlight w:val="none"/>
        </w:rPr>
        <w:t>。</w:t>
      </w:r>
    </w:p>
    <w:p w14:paraId="6143FCFF">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）发包人违反第</w:t>
      </w:r>
      <w:r>
        <w:rPr>
          <w:color w:val="auto"/>
          <w:kern w:val="0"/>
          <w:highlight w:val="none"/>
        </w:rPr>
        <w:t>10.1</w:t>
      </w:r>
      <w:r>
        <w:rPr>
          <w:rFonts w:hint="eastAsia" w:hAnsi="宋体" w:cs="宋体"/>
          <w:color w:val="auto"/>
          <w:kern w:val="0"/>
          <w:highlight w:val="none"/>
        </w:rPr>
        <w:t>款〔变更的范围〕第（</w:t>
      </w:r>
      <w:r>
        <w:rPr>
          <w:color w:val="auto"/>
          <w:kern w:val="0"/>
          <w:highlight w:val="none"/>
        </w:rPr>
        <w:t>2</w:t>
      </w:r>
      <w:r>
        <w:rPr>
          <w:rFonts w:hint="eastAsia" w:hAnsi="宋体" w:cs="宋体"/>
          <w:color w:val="auto"/>
          <w:kern w:val="0"/>
          <w:highlight w:val="none"/>
        </w:rPr>
        <w:t>）项约定，自行实施被取消的工作或转由他人实施的违约责任：</w:t>
      </w:r>
      <w:r>
        <w:rPr>
          <w:color w:val="auto"/>
          <w:kern w:val="0"/>
          <w:highlight w:val="none"/>
          <w:u w:val="single"/>
        </w:rPr>
        <w:t xml:space="preserve">    </w:t>
      </w:r>
      <w:r>
        <w:rPr>
          <w:rFonts w:hint="eastAsia" w:ascii="宋体" w:hAnsi="宋体"/>
          <w:color w:val="auto"/>
          <w:kern w:val="0"/>
          <w:szCs w:val="21"/>
          <w:u w:val="single" w:color="000000"/>
        </w:rPr>
        <w:t>无</w:t>
      </w:r>
      <w:r>
        <w:rPr>
          <w:color w:val="auto"/>
          <w:kern w:val="0"/>
          <w:highlight w:val="none"/>
          <w:u w:val="single"/>
        </w:rPr>
        <w:t xml:space="preserve">                                                        </w:t>
      </w:r>
      <w:r>
        <w:rPr>
          <w:rFonts w:hint="eastAsia" w:hAnsi="宋体" w:cs="宋体"/>
          <w:color w:val="auto"/>
          <w:kern w:val="0"/>
          <w:highlight w:val="none"/>
        </w:rPr>
        <w:t>。</w:t>
      </w:r>
    </w:p>
    <w:p w14:paraId="23664D82">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4</w:t>
      </w:r>
      <w:r>
        <w:rPr>
          <w:rFonts w:hint="eastAsia" w:hAnsi="宋体" w:cs="宋体"/>
          <w:color w:val="auto"/>
          <w:kern w:val="0"/>
          <w:highlight w:val="none"/>
        </w:rPr>
        <w:t>）发包人提供的材料、工程设备的规格、数量或质量不符合合同约定，或因发包人原因导致交货日期延误或交货地点变更等情况的违约责任：</w:t>
      </w:r>
      <w:r>
        <w:rPr>
          <w:color w:val="auto"/>
          <w:kern w:val="0"/>
          <w:highlight w:val="none"/>
          <w:u w:val="single"/>
        </w:rPr>
        <w:t xml:space="preserve">          </w:t>
      </w:r>
      <w:r>
        <w:rPr>
          <w:rFonts w:hint="eastAsia" w:ascii="宋体" w:hAnsi="宋体"/>
          <w:color w:val="auto"/>
          <w:kern w:val="0"/>
          <w:szCs w:val="21"/>
          <w:u w:val="single" w:color="000000"/>
        </w:rPr>
        <w:t>无</w:t>
      </w:r>
      <w:r>
        <w:rPr>
          <w:color w:val="auto"/>
          <w:kern w:val="0"/>
          <w:highlight w:val="none"/>
          <w:u w:val="single"/>
        </w:rPr>
        <w:t xml:space="preserve">                     </w:t>
      </w:r>
      <w:r>
        <w:rPr>
          <w:rFonts w:hint="eastAsia" w:hAnsi="宋体" w:cs="宋体"/>
          <w:color w:val="auto"/>
          <w:kern w:val="0"/>
          <w:highlight w:val="none"/>
        </w:rPr>
        <w:t>。</w:t>
      </w:r>
    </w:p>
    <w:p w14:paraId="48396245">
      <w:pPr>
        <w:spacing w:line="360" w:lineRule="auto"/>
        <w:ind w:firstLine="420" w:firstLineChars="200"/>
        <w:jc w:val="left"/>
        <w:rPr>
          <w:color w:val="auto"/>
          <w:kern w:val="0"/>
          <w:highlight w:val="none"/>
          <w:u w:val="single"/>
        </w:rPr>
      </w:pPr>
      <w:r>
        <w:rPr>
          <w:rFonts w:hint="eastAsia" w:hAnsi="宋体" w:cs="宋体"/>
          <w:color w:val="auto"/>
          <w:kern w:val="0"/>
          <w:highlight w:val="none"/>
        </w:rPr>
        <w:t>（</w:t>
      </w:r>
      <w:r>
        <w:rPr>
          <w:color w:val="auto"/>
          <w:kern w:val="0"/>
          <w:highlight w:val="none"/>
        </w:rPr>
        <w:t>5</w:t>
      </w:r>
      <w:r>
        <w:rPr>
          <w:rFonts w:hint="eastAsia" w:hAnsi="宋体" w:cs="宋体"/>
          <w:color w:val="auto"/>
          <w:kern w:val="0"/>
          <w:highlight w:val="none"/>
        </w:rPr>
        <w:t>）因发包人违反合同约定造成暂停施工的违约责任：</w:t>
      </w:r>
      <w:r>
        <w:rPr>
          <w:color w:val="auto"/>
          <w:kern w:val="0"/>
          <w:highlight w:val="none"/>
          <w:u w:val="single"/>
        </w:rPr>
        <w:t xml:space="preserve">     </w:t>
      </w:r>
      <w:r>
        <w:rPr>
          <w:rFonts w:hint="eastAsia" w:ascii="宋体" w:hAnsi="宋体"/>
          <w:color w:val="auto"/>
          <w:spacing w:val="-3"/>
          <w:kern w:val="0"/>
          <w:szCs w:val="21"/>
          <w:u w:val="single" w:color="000000"/>
        </w:rPr>
        <w:t>工期顺延，停工超过</w:t>
      </w:r>
      <w:r>
        <w:rPr>
          <w:rFonts w:ascii="Times New Roman" w:hAnsi="Times New Roman" w:eastAsia="Times New Roman"/>
          <w:color w:val="auto"/>
          <w:kern w:val="0"/>
          <w:szCs w:val="21"/>
          <w:u w:val="single" w:color="000000"/>
        </w:rPr>
        <w:t>10</w:t>
      </w:r>
      <w:r>
        <w:rPr>
          <w:rFonts w:hint="eastAsia" w:ascii="宋体" w:hAnsi="宋体"/>
          <w:color w:val="auto"/>
          <w:spacing w:val="-4"/>
          <w:kern w:val="0"/>
          <w:szCs w:val="21"/>
          <w:u w:val="single" w:color="000000"/>
        </w:rPr>
        <w:t>天的，自</w:t>
      </w:r>
      <w:r>
        <w:rPr>
          <w:rFonts w:hint="eastAsia" w:ascii="宋体" w:hAnsi="宋体"/>
          <w:color w:val="auto"/>
          <w:kern w:val="0"/>
          <w:szCs w:val="21"/>
          <w:u w:val="single" w:color="000000"/>
        </w:rPr>
        <w:t>第</w:t>
      </w:r>
      <w:r>
        <w:rPr>
          <w:rFonts w:ascii="Times New Roman" w:hAnsi="Times New Roman" w:eastAsia="Times New Roman"/>
          <w:color w:val="auto"/>
          <w:kern w:val="0"/>
          <w:szCs w:val="21"/>
          <w:u w:val="single" w:color="000000"/>
        </w:rPr>
        <w:t>11</w:t>
      </w:r>
      <w:r>
        <w:rPr>
          <w:rFonts w:hint="eastAsia" w:ascii="宋体" w:hAnsi="宋体"/>
          <w:color w:val="auto"/>
          <w:kern w:val="0"/>
          <w:szCs w:val="21"/>
          <w:u w:val="single" w:color="000000"/>
        </w:rPr>
        <w:t>天起每天向承包人支付合同价款的万分之四违约金，上限为合同价款</w:t>
      </w:r>
      <w:r>
        <w:rPr>
          <w:rFonts w:ascii="Times New Roman" w:hAnsi="Times New Roman" w:eastAsia="Times New Roman"/>
          <w:color w:val="auto"/>
          <w:kern w:val="0"/>
          <w:szCs w:val="21"/>
          <w:u w:val="single" w:color="000000"/>
        </w:rPr>
        <w:t>1%</w:t>
      </w:r>
      <w:r>
        <w:rPr>
          <w:color w:val="auto"/>
          <w:kern w:val="0"/>
          <w:highlight w:val="none"/>
          <w:u w:val="single"/>
        </w:rPr>
        <w:t xml:space="preserve">    </w:t>
      </w:r>
      <w:r>
        <w:rPr>
          <w:rFonts w:hint="eastAsia" w:hAnsi="宋体" w:cs="宋体"/>
          <w:color w:val="auto"/>
          <w:kern w:val="0"/>
          <w:highlight w:val="none"/>
        </w:rPr>
        <w:t>。</w:t>
      </w:r>
    </w:p>
    <w:p w14:paraId="1DA0D31A">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6</w:t>
      </w:r>
      <w:r>
        <w:rPr>
          <w:rFonts w:hint="eastAsia" w:hAnsi="宋体" w:cs="宋体"/>
          <w:color w:val="auto"/>
          <w:kern w:val="0"/>
          <w:highlight w:val="none"/>
        </w:rPr>
        <w:t>）发包人无正当理由没有在约定期限内发出复工指示，导致承包人无法复工的违约责任：</w:t>
      </w:r>
      <w:r>
        <w:rPr>
          <w:color w:val="auto"/>
          <w:kern w:val="0"/>
          <w:highlight w:val="none"/>
          <w:u w:val="single"/>
        </w:rPr>
        <w:t xml:space="preserve">   </w:t>
      </w:r>
      <w:r>
        <w:rPr>
          <w:rFonts w:hint="eastAsia" w:ascii="宋体" w:hAnsi="宋体"/>
          <w:color w:val="auto"/>
          <w:spacing w:val="-4"/>
          <w:kern w:val="0"/>
          <w:szCs w:val="21"/>
          <w:u w:val="single" w:color="000000"/>
        </w:rPr>
        <w:t>工期顺延，耽误时间超过</w:t>
      </w:r>
      <w:r>
        <w:rPr>
          <w:rFonts w:ascii="Times New Roman" w:hAnsi="Times New Roman" w:eastAsia="Times New Roman"/>
          <w:color w:val="auto"/>
          <w:spacing w:val="-3"/>
          <w:kern w:val="0"/>
          <w:szCs w:val="21"/>
          <w:u w:val="single" w:color="000000"/>
        </w:rPr>
        <w:t>10</w:t>
      </w:r>
      <w:r>
        <w:rPr>
          <w:rFonts w:hint="eastAsia" w:ascii="宋体" w:hAnsi="宋体"/>
          <w:color w:val="auto"/>
          <w:spacing w:val="-6"/>
          <w:kern w:val="0"/>
          <w:szCs w:val="21"/>
          <w:u w:val="single" w:color="000000"/>
        </w:rPr>
        <w:t>天的，自第</w:t>
      </w:r>
      <w:r>
        <w:rPr>
          <w:rFonts w:ascii="Times New Roman" w:hAnsi="Times New Roman" w:eastAsia="Times New Roman"/>
          <w:color w:val="auto"/>
          <w:kern w:val="0"/>
          <w:szCs w:val="21"/>
          <w:u w:val="single" w:color="000000"/>
        </w:rPr>
        <w:t>11</w:t>
      </w:r>
      <w:r>
        <w:rPr>
          <w:rFonts w:hint="eastAsia" w:ascii="宋体" w:hAnsi="宋体"/>
          <w:color w:val="auto"/>
          <w:kern w:val="0"/>
          <w:szCs w:val="21"/>
          <w:u w:val="single" w:color="000000"/>
        </w:rPr>
        <w:t>天起每天向承包人支付合同价款的万分之四违约金，上限为合同价款的</w:t>
      </w:r>
      <w:r>
        <w:rPr>
          <w:rFonts w:ascii="Times New Roman" w:hAnsi="Times New Roman" w:eastAsia="Times New Roman"/>
          <w:color w:val="auto"/>
          <w:kern w:val="0"/>
          <w:szCs w:val="21"/>
          <w:u w:val="single" w:color="000000"/>
        </w:rPr>
        <w:t>1%</w:t>
      </w:r>
      <w:r>
        <w:rPr>
          <w:color w:val="auto"/>
          <w:kern w:val="0"/>
          <w:highlight w:val="none"/>
          <w:u w:val="single"/>
        </w:rPr>
        <w:t xml:space="preserve">    </w:t>
      </w:r>
      <w:r>
        <w:rPr>
          <w:rFonts w:hint="eastAsia" w:hAnsi="宋体" w:cs="宋体"/>
          <w:color w:val="auto"/>
          <w:kern w:val="0"/>
          <w:highlight w:val="none"/>
        </w:rPr>
        <w:t>。</w:t>
      </w:r>
    </w:p>
    <w:p w14:paraId="75B078EA">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7</w:t>
      </w:r>
      <w:r>
        <w:rPr>
          <w:rFonts w:hint="eastAsia" w:hAnsi="宋体" w:cs="宋体"/>
          <w:color w:val="auto"/>
          <w:kern w:val="0"/>
          <w:highlight w:val="none"/>
        </w:rPr>
        <w:t>）其他：</w:t>
      </w:r>
      <w:r>
        <w:rPr>
          <w:color w:val="auto"/>
          <w:kern w:val="0"/>
          <w:highlight w:val="none"/>
          <w:u w:val="single"/>
        </w:rPr>
        <w:t xml:space="preserve">      </w:t>
      </w:r>
      <w:r>
        <w:rPr>
          <w:rFonts w:hint="eastAsia" w:ascii="宋体" w:hAnsi="宋体"/>
          <w:color w:val="auto"/>
          <w:kern w:val="0"/>
          <w:szCs w:val="21"/>
          <w:u w:val="single" w:color="000000"/>
        </w:rPr>
        <w:t>无</w:t>
      </w:r>
      <w:r>
        <w:rPr>
          <w:color w:val="auto"/>
          <w:kern w:val="0"/>
          <w:highlight w:val="none"/>
          <w:u w:val="single"/>
        </w:rPr>
        <w:t xml:space="preserve">                </w:t>
      </w:r>
      <w:r>
        <w:rPr>
          <w:rFonts w:hint="eastAsia" w:hAnsi="宋体" w:cs="宋体"/>
          <w:color w:val="auto"/>
          <w:kern w:val="0"/>
          <w:highlight w:val="none"/>
        </w:rPr>
        <w:t>。</w:t>
      </w:r>
    </w:p>
    <w:p w14:paraId="066BE350">
      <w:pPr>
        <w:spacing w:line="360" w:lineRule="auto"/>
        <w:ind w:firstLine="420" w:firstLineChars="200"/>
        <w:jc w:val="left"/>
        <w:rPr>
          <w:color w:val="auto"/>
          <w:highlight w:val="none"/>
        </w:rPr>
      </w:pPr>
      <w:r>
        <w:rPr>
          <w:color w:val="auto"/>
          <w:highlight w:val="none"/>
        </w:rPr>
        <w:t xml:space="preserve">16.1.3 </w:t>
      </w:r>
      <w:r>
        <w:rPr>
          <w:rFonts w:hint="eastAsia" w:hAnsi="宋体" w:cs="宋体"/>
          <w:color w:val="auto"/>
          <w:highlight w:val="none"/>
        </w:rPr>
        <w:t>因发包人违约解除合同</w:t>
      </w:r>
    </w:p>
    <w:p w14:paraId="017B4ECD">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承包人按</w:t>
      </w:r>
      <w:r>
        <w:rPr>
          <w:color w:val="auto"/>
          <w:kern w:val="0"/>
          <w:highlight w:val="none"/>
        </w:rPr>
        <w:t>16.1.1</w:t>
      </w:r>
      <w:r>
        <w:rPr>
          <w:rFonts w:hint="eastAsia" w:hAnsi="宋体" w:cs="宋体"/>
          <w:color w:val="auto"/>
          <w:kern w:val="0"/>
          <w:highlight w:val="none"/>
        </w:rPr>
        <w:t>项〔发包人违约的情形〕约定暂停施工满</w:t>
      </w:r>
      <w:r>
        <w:rPr>
          <w:color w:val="auto"/>
          <w:kern w:val="0"/>
          <w:highlight w:val="none"/>
          <w:u w:val="single"/>
        </w:rPr>
        <w:t xml:space="preserve"> </w:t>
      </w:r>
      <w:r>
        <w:rPr>
          <w:rFonts w:hint="eastAsia"/>
          <w:color w:val="auto"/>
          <w:kern w:val="0"/>
          <w:highlight w:val="none"/>
          <w:u w:val="single"/>
          <w:lang w:val="en-US" w:eastAsia="zh-CN"/>
        </w:rPr>
        <w:t>14</w:t>
      </w:r>
      <w:r>
        <w:rPr>
          <w:color w:val="auto"/>
          <w:kern w:val="0"/>
          <w:highlight w:val="none"/>
          <w:u w:val="single"/>
        </w:rPr>
        <w:t xml:space="preserve"> </w:t>
      </w:r>
      <w:r>
        <w:rPr>
          <w:rFonts w:hint="eastAsia" w:hAnsi="宋体" w:cs="宋体"/>
          <w:color w:val="auto"/>
          <w:kern w:val="0"/>
          <w:highlight w:val="none"/>
        </w:rPr>
        <w:t>天后发包人仍不纠正其违约行为并致使合同目的不能实现的，承包人有权解除合同。</w:t>
      </w:r>
    </w:p>
    <w:p w14:paraId="64609CA7">
      <w:pPr>
        <w:pStyle w:val="5"/>
        <w:rPr>
          <w:color w:val="auto"/>
          <w:highlight w:val="none"/>
        </w:rPr>
      </w:pPr>
      <w:bookmarkStart w:id="1804" w:name="_Toc61078193"/>
      <w:bookmarkStart w:id="1805" w:name="_Toc407135271"/>
      <w:bookmarkStart w:id="1806" w:name="_Toc78449857"/>
      <w:bookmarkStart w:id="1807" w:name="_Toc373227768"/>
      <w:bookmarkStart w:id="1808" w:name="_Toc389065333"/>
      <w:bookmarkStart w:id="1809" w:name="_Toc373478415"/>
      <w:bookmarkStart w:id="1810" w:name="_Toc25155"/>
      <w:bookmarkStart w:id="1811" w:name="_Toc28597"/>
      <w:r>
        <w:rPr>
          <w:color w:val="auto"/>
          <w:highlight w:val="none"/>
        </w:rPr>
        <w:t xml:space="preserve">16.2 </w:t>
      </w:r>
      <w:r>
        <w:rPr>
          <w:rFonts w:hint="eastAsia" w:hAnsi="宋体" w:cs="黑体"/>
          <w:color w:val="auto"/>
          <w:highlight w:val="none"/>
        </w:rPr>
        <w:t>承包人违约</w:t>
      </w:r>
      <w:bookmarkEnd w:id="1804"/>
      <w:bookmarkEnd w:id="1805"/>
      <w:bookmarkEnd w:id="1806"/>
      <w:bookmarkEnd w:id="1807"/>
      <w:bookmarkEnd w:id="1808"/>
      <w:bookmarkEnd w:id="1809"/>
      <w:bookmarkEnd w:id="1810"/>
      <w:bookmarkEnd w:id="1811"/>
    </w:p>
    <w:p w14:paraId="51B87D57">
      <w:pPr>
        <w:spacing w:line="360" w:lineRule="auto"/>
        <w:ind w:firstLine="420" w:firstLineChars="200"/>
        <w:jc w:val="left"/>
        <w:rPr>
          <w:color w:val="auto"/>
          <w:kern w:val="0"/>
          <w:highlight w:val="none"/>
        </w:rPr>
      </w:pPr>
      <w:r>
        <w:rPr>
          <w:color w:val="auto"/>
          <w:kern w:val="0"/>
          <w:highlight w:val="none"/>
        </w:rPr>
        <w:t xml:space="preserve">16.2.1 </w:t>
      </w:r>
      <w:r>
        <w:rPr>
          <w:rFonts w:hint="eastAsia" w:hAnsi="宋体" w:cs="宋体"/>
          <w:color w:val="auto"/>
          <w:kern w:val="0"/>
          <w:highlight w:val="none"/>
        </w:rPr>
        <w:t>承包人违约的情形</w:t>
      </w:r>
    </w:p>
    <w:p w14:paraId="518A144F">
      <w:pPr>
        <w:spacing w:line="360" w:lineRule="auto"/>
        <w:ind w:firstLine="420" w:firstLineChars="200"/>
        <w:jc w:val="left"/>
        <w:rPr>
          <w:color w:val="auto"/>
          <w:kern w:val="0"/>
          <w:highlight w:val="none"/>
          <w:u w:val="single"/>
        </w:rPr>
      </w:pPr>
      <w:r>
        <w:rPr>
          <w:rFonts w:hint="eastAsia" w:hAnsi="宋体" w:cs="宋体"/>
          <w:color w:val="auto"/>
          <w:kern w:val="0"/>
          <w:highlight w:val="none"/>
        </w:rPr>
        <w:t>承包人违约的其他情形：</w:t>
      </w:r>
      <w:r>
        <w:rPr>
          <w:color w:val="auto"/>
          <w:kern w:val="0"/>
          <w:highlight w:val="none"/>
          <w:u w:val="single"/>
        </w:rPr>
        <w:t xml:space="preserve">    </w:t>
      </w:r>
      <w:r>
        <w:rPr>
          <w:rFonts w:hint="eastAsia" w:ascii="宋体" w:hAnsi="宋体"/>
          <w:color w:val="auto"/>
          <w:kern w:val="0"/>
          <w:szCs w:val="21"/>
          <w:u w:val="single" w:color="000000"/>
        </w:rPr>
        <w:t>承包人有违反《南宁市建设工程造价管理办法》规定的，按规</w:t>
      </w:r>
      <w:r>
        <w:rPr>
          <w:rFonts w:hint="eastAsia" w:ascii="宋体" w:hAnsi="宋体"/>
          <w:color w:val="auto"/>
          <w:spacing w:val="-2"/>
          <w:kern w:val="0"/>
          <w:szCs w:val="21"/>
          <w:u w:val="single" w:color="000000"/>
        </w:rPr>
        <w:t>定向发包人支付违约金</w:t>
      </w:r>
      <w:r>
        <w:rPr>
          <w:color w:val="auto"/>
          <w:kern w:val="0"/>
          <w:highlight w:val="none"/>
          <w:u w:val="single"/>
        </w:rPr>
        <w:t xml:space="preserve">   </w:t>
      </w:r>
      <w:r>
        <w:rPr>
          <w:rFonts w:hint="eastAsia" w:hAnsi="宋体" w:cs="宋体"/>
          <w:color w:val="auto"/>
          <w:kern w:val="0"/>
          <w:highlight w:val="none"/>
        </w:rPr>
        <w:t>。</w:t>
      </w:r>
    </w:p>
    <w:p w14:paraId="25825045">
      <w:pPr>
        <w:spacing w:line="360" w:lineRule="auto"/>
        <w:ind w:firstLine="420" w:firstLineChars="200"/>
        <w:jc w:val="left"/>
        <w:outlineLvl w:val="0"/>
        <w:rPr>
          <w:color w:val="auto"/>
          <w:kern w:val="0"/>
          <w:highlight w:val="none"/>
        </w:rPr>
      </w:pPr>
      <w:r>
        <w:rPr>
          <w:color w:val="auto"/>
          <w:kern w:val="0"/>
          <w:highlight w:val="none"/>
        </w:rPr>
        <w:t>16.2.2</w:t>
      </w:r>
      <w:r>
        <w:rPr>
          <w:rFonts w:hint="eastAsia" w:hAnsi="宋体" w:cs="宋体"/>
          <w:color w:val="auto"/>
          <w:kern w:val="0"/>
          <w:highlight w:val="none"/>
        </w:rPr>
        <w:t>承包人违约的责任</w:t>
      </w:r>
    </w:p>
    <w:p w14:paraId="6195745D">
      <w:pPr>
        <w:spacing w:line="360" w:lineRule="auto"/>
        <w:ind w:firstLine="420" w:firstLineChars="200"/>
        <w:jc w:val="left"/>
        <w:rPr>
          <w:color w:val="auto"/>
          <w:kern w:val="0"/>
          <w:highlight w:val="none"/>
        </w:rPr>
      </w:pPr>
      <w:r>
        <w:rPr>
          <w:rFonts w:hint="eastAsia" w:hAnsi="宋体" w:cs="宋体"/>
          <w:color w:val="auto"/>
          <w:kern w:val="0"/>
          <w:highlight w:val="none"/>
        </w:rPr>
        <w:t>承包人违约责任的承担方式和计算方法：</w:t>
      </w:r>
    </w:p>
    <w:p w14:paraId="406E3DBC">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）承包人有本合同通用条款第</w:t>
      </w:r>
      <w:r>
        <w:rPr>
          <w:color w:val="auto"/>
          <w:kern w:val="0"/>
          <w:highlight w:val="none"/>
        </w:rPr>
        <w:t>16.2.1</w:t>
      </w: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）条内容情形的，承包人无条件返工处理，修复至工程质量要求并承担相关费用，并在发包人规定的时间内完成返工，否则发包人有权扣</w:t>
      </w:r>
      <w:r>
        <w:rPr>
          <w:rFonts w:hint="eastAsia" w:hAnsi="宋体" w:cs="宋体"/>
          <w:color w:val="auto"/>
          <w:kern w:val="0"/>
          <w:highlight w:val="none"/>
          <w:lang w:val="en-US" w:eastAsia="zh-CN"/>
        </w:rPr>
        <w:t>除</w:t>
      </w:r>
      <w:r>
        <w:rPr>
          <w:rFonts w:hint="eastAsia" w:hAnsi="宋体" w:cs="宋体"/>
          <w:color w:val="auto"/>
          <w:kern w:val="0"/>
          <w:highlight w:val="none"/>
        </w:rPr>
        <w:t>该分项工程</w:t>
      </w:r>
      <w:r>
        <w:rPr>
          <w:color w:val="auto"/>
          <w:kern w:val="0"/>
          <w:highlight w:val="none"/>
        </w:rPr>
        <w:t>10%</w:t>
      </w:r>
      <w:r>
        <w:rPr>
          <w:rFonts w:hint="eastAsia" w:hAnsi="宋体" w:cs="宋体"/>
          <w:color w:val="auto"/>
          <w:kern w:val="0"/>
          <w:highlight w:val="none"/>
        </w:rPr>
        <w:t>的工程款作为</w:t>
      </w:r>
      <w:r>
        <w:rPr>
          <w:rFonts w:hint="eastAsia" w:hAnsi="宋体" w:cs="宋体"/>
          <w:color w:val="auto"/>
          <w:kern w:val="0"/>
          <w:highlight w:val="none"/>
          <w:lang w:val="en-US" w:eastAsia="zh-CN"/>
        </w:rPr>
        <w:t>违约金</w:t>
      </w:r>
      <w:r>
        <w:rPr>
          <w:rFonts w:hint="eastAsia" w:hAnsi="宋体" w:cs="宋体"/>
          <w:color w:val="auto"/>
          <w:kern w:val="0"/>
          <w:highlight w:val="none"/>
        </w:rPr>
        <w:t>。</w:t>
      </w:r>
    </w:p>
    <w:p w14:paraId="11296C1C">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）承包人有本合同通用条款第</w:t>
      </w:r>
      <w:r>
        <w:rPr>
          <w:color w:val="auto"/>
          <w:kern w:val="0"/>
          <w:highlight w:val="none"/>
        </w:rPr>
        <w:t>16.2.1</w:t>
      </w:r>
      <w:r>
        <w:rPr>
          <w:rFonts w:hint="eastAsia" w:hAnsi="宋体" w:cs="宋体"/>
          <w:color w:val="auto"/>
          <w:kern w:val="0"/>
          <w:highlight w:val="none"/>
        </w:rPr>
        <w:t>（</w:t>
      </w:r>
      <w:r>
        <w:rPr>
          <w:color w:val="auto"/>
          <w:kern w:val="0"/>
          <w:highlight w:val="none"/>
        </w:rPr>
        <w:t>6</w:t>
      </w:r>
      <w:r>
        <w:rPr>
          <w:rFonts w:hint="eastAsia" w:hAnsi="宋体" w:cs="宋体"/>
          <w:color w:val="auto"/>
          <w:kern w:val="0"/>
          <w:highlight w:val="none"/>
        </w:rPr>
        <w:t>）条情形的，或经监理人检验认为修复质量不合格而承包人拒绝再进行修补的，发包人将扣除承包人全部质量保证金。</w:t>
      </w:r>
    </w:p>
    <w:p w14:paraId="026289BB">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）承包人有本专用合同条款</w:t>
      </w:r>
      <w:r>
        <w:rPr>
          <w:color w:val="auto"/>
          <w:kern w:val="0"/>
          <w:highlight w:val="none"/>
        </w:rPr>
        <w:t>3.</w:t>
      </w:r>
      <w:r>
        <w:rPr>
          <w:rFonts w:hint="eastAsia"/>
          <w:color w:val="auto"/>
          <w:kern w:val="0"/>
          <w:highlight w:val="none"/>
          <w:lang w:eastAsia="zh-CN"/>
        </w:rPr>
        <w:t>2.</w:t>
      </w:r>
      <w:r>
        <w:rPr>
          <w:color w:val="auto"/>
          <w:kern w:val="0"/>
          <w:highlight w:val="none"/>
        </w:rPr>
        <w:t>3.3</w:t>
      </w:r>
      <w:r>
        <w:rPr>
          <w:rFonts w:hint="eastAsia" w:hAnsi="宋体" w:cs="宋体"/>
          <w:color w:val="auto"/>
          <w:kern w:val="0"/>
          <w:highlight w:val="none"/>
        </w:rPr>
        <w:t>条违约责任的，发包人有权扣除承包人的违约金。违约金金额均在承包人的履约保证金及计量支付款内扣除。监理人预先下发含有</w:t>
      </w:r>
      <w:r>
        <w:rPr>
          <w:rFonts w:hint="eastAsia" w:hAnsi="宋体" w:cs="宋体"/>
          <w:color w:val="auto"/>
          <w:kern w:val="0"/>
          <w:highlight w:val="none"/>
          <w:lang w:val="en-US" w:eastAsia="zh-CN"/>
        </w:rPr>
        <w:t>扣除违约金</w:t>
      </w:r>
      <w:r>
        <w:rPr>
          <w:rFonts w:hint="eastAsia" w:hAnsi="宋体" w:cs="宋体"/>
          <w:color w:val="auto"/>
          <w:kern w:val="0"/>
          <w:highlight w:val="none"/>
        </w:rPr>
        <w:t>意向的指令，如承包人不及时采取措施纠正，则在指令下达后十五天下发</w:t>
      </w:r>
      <w:r>
        <w:rPr>
          <w:rFonts w:hint="eastAsia" w:hAnsi="宋体" w:cs="宋体"/>
          <w:color w:val="auto"/>
          <w:kern w:val="0"/>
          <w:highlight w:val="none"/>
          <w:lang w:val="en-US" w:eastAsia="zh-CN"/>
        </w:rPr>
        <w:t>扣除违约金</w:t>
      </w:r>
      <w:r>
        <w:rPr>
          <w:rFonts w:hint="eastAsia" w:hAnsi="宋体" w:cs="宋体"/>
          <w:color w:val="auto"/>
          <w:kern w:val="0"/>
          <w:highlight w:val="none"/>
        </w:rPr>
        <w:t>通知书（不再陈述</w:t>
      </w:r>
      <w:r>
        <w:rPr>
          <w:rFonts w:hint="eastAsia" w:hAnsi="宋体" w:cs="宋体"/>
          <w:color w:val="auto"/>
          <w:kern w:val="0"/>
          <w:highlight w:val="none"/>
          <w:lang w:val="en-US" w:eastAsia="zh-CN"/>
        </w:rPr>
        <w:t>扣除违约金</w:t>
      </w:r>
      <w:r>
        <w:rPr>
          <w:rFonts w:hint="eastAsia" w:hAnsi="宋体" w:cs="宋体"/>
          <w:color w:val="auto"/>
          <w:kern w:val="0"/>
          <w:highlight w:val="none"/>
        </w:rPr>
        <w:t>理由）。承包人履约保证金被</w:t>
      </w:r>
      <w:r>
        <w:rPr>
          <w:rFonts w:hint="eastAsia" w:hAnsi="宋体" w:cs="宋体"/>
          <w:color w:val="auto"/>
          <w:kern w:val="0"/>
          <w:highlight w:val="none"/>
          <w:lang w:val="en-US" w:eastAsia="zh-CN"/>
        </w:rPr>
        <w:t>扣除</w:t>
      </w:r>
      <w:r>
        <w:rPr>
          <w:rFonts w:hint="eastAsia" w:hAnsi="宋体" w:cs="宋体"/>
          <w:color w:val="auto"/>
          <w:kern w:val="0"/>
          <w:highlight w:val="none"/>
        </w:rPr>
        <w:t>后由发包人从最后一次计量支付时扣除相应金额补足履约保证金。承包人在合同期内，完成合同规定的全部工程，且质量合格，在本工程施工竣工验收后十五天内可申请返还全部或部分</w:t>
      </w:r>
      <w:r>
        <w:rPr>
          <w:rFonts w:hint="eastAsia" w:hAnsi="宋体" w:cs="宋体"/>
          <w:color w:val="auto"/>
          <w:kern w:val="0"/>
          <w:highlight w:val="none"/>
          <w:lang w:val="en-US" w:eastAsia="zh-CN"/>
        </w:rPr>
        <w:t>违约金</w:t>
      </w:r>
      <w:r>
        <w:rPr>
          <w:rFonts w:hint="eastAsia" w:hAnsi="宋体" w:cs="宋体"/>
          <w:color w:val="auto"/>
          <w:kern w:val="0"/>
          <w:highlight w:val="none"/>
        </w:rPr>
        <w:t>，返还金额由监理人审核，发包人批准。</w:t>
      </w:r>
      <w:r>
        <w:rPr>
          <w:rFonts w:hint="eastAsia" w:hAnsi="宋体" w:cs="宋体"/>
          <w:color w:val="auto"/>
          <w:kern w:val="0"/>
          <w:highlight w:val="none"/>
          <w:lang w:val="en-US" w:eastAsia="zh-CN"/>
        </w:rPr>
        <w:t>违约金</w:t>
      </w:r>
      <w:r>
        <w:rPr>
          <w:rFonts w:hint="eastAsia" w:hAnsi="宋体" w:cs="宋体"/>
          <w:color w:val="auto"/>
          <w:kern w:val="0"/>
          <w:highlight w:val="none"/>
        </w:rPr>
        <w:t>金额返还时不包括银行利息。</w:t>
      </w:r>
    </w:p>
    <w:p w14:paraId="48C2E515">
      <w:pPr>
        <w:spacing w:line="360" w:lineRule="auto"/>
        <w:ind w:firstLine="420" w:firstLineChars="200"/>
        <w:jc w:val="left"/>
        <w:rPr>
          <w:rFonts w:hAnsi="宋体"/>
          <w:color w:val="auto"/>
          <w:highlight w:val="none"/>
        </w:rPr>
      </w:pPr>
      <w:r>
        <w:rPr>
          <w:color w:val="auto"/>
          <w:highlight w:val="none"/>
        </w:rPr>
        <w:t xml:space="preserve">16.2.3 </w:t>
      </w:r>
      <w:r>
        <w:rPr>
          <w:rFonts w:hint="eastAsia" w:hAnsi="宋体" w:cs="宋体"/>
          <w:color w:val="auto"/>
          <w:highlight w:val="none"/>
        </w:rPr>
        <w:t>因承包人违约解除合同</w:t>
      </w:r>
    </w:p>
    <w:p w14:paraId="0B8EDA03">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关于承包人违约解除合同的特别约定：</w:t>
      </w:r>
      <w:r>
        <w:rPr>
          <w:rFonts w:hint="eastAsia" w:hAnsi="宋体" w:cs="宋体"/>
          <w:color w:val="auto"/>
          <w:kern w:val="0"/>
          <w:highlight w:val="none"/>
          <w:u w:val="none"/>
        </w:rPr>
        <w:t>承包人有违反以下情况之一的，发包人有权解除合同，并没收其全部履约保证金</w:t>
      </w:r>
      <w:r>
        <w:rPr>
          <w:rFonts w:hint="eastAsia" w:hAnsi="宋体" w:cs="宋体"/>
          <w:color w:val="auto"/>
          <w:kern w:val="0"/>
          <w:highlight w:val="none"/>
        </w:rPr>
        <w:t>。</w:t>
      </w:r>
    </w:p>
    <w:p w14:paraId="263C56E6">
      <w:pPr>
        <w:spacing w:line="360" w:lineRule="auto"/>
        <w:ind w:firstLine="420" w:firstLineChars="200"/>
        <w:jc w:val="left"/>
        <w:rPr>
          <w:rFonts w:hAnsi="宋体"/>
          <w:color w:val="auto"/>
          <w:kern w:val="0"/>
          <w:highlight w:val="none"/>
        </w:rPr>
      </w:pPr>
      <w:r>
        <w:rPr>
          <w:rFonts w:hint="eastAsia"/>
          <w:color w:val="auto"/>
          <w:kern w:val="0"/>
          <w:highlight w:val="none"/>
          <w:lang w:eastAsia="zh-CN"/>
        </w:rPr>
        <w:t>（1）</w:t>
      </w:r>
      <w:r>
        <w:rPr>
          <w:rFonts w:hint="eastAsia" w:hAnsi="宋体" w:cs="宋体"/>
          <w:color w:val="auto"/>
          <w:kern w:val="0"/>
          <w:highlight w:val="none"/>
        </w:rPr>
        <w:t>承包人无正当理由不按开工通知的要求及时进场组织施工和不按签订协议书时商定的进度计划有效地开展施工准备，造成工期延误的；</w:t>
      </w:r>
    </w:p>
    <w:p w14:paraId="662FAD50">
      <w:pPr>
        <w:spacing w:line="360" w:lineRule="auto"/>
        <w:ind w:firstLine="420" w:firstLineChars="200"/>
        <w:jc w:val="left"/>
        <w:rPr>
          <w:rFonts w:hAnsi="宋体"/>
          <w:color w:val="auto"/>
          <w:kern w:val="0"/>
          <w:highlight w:val="none"/>
        </w:rPr>
      </w:pPr>
      <w:r>
        <w:rPr>
          <w:rFonts w:hint="eastAsia"/>
          <w:color w:val="auto"/>
          <w:kern w:val="0"/>
          <w:highlight w:val="none"/>
          <w:lang w:eastAsia="zh-CN"/>
        </w:rPr>
        <w:t>（2）</w:t>
      </w:r>
      <w:r>
        <w:rPr>
          <w:rFonts w:hint="eastAsia" w:hAnsi="宋体" w:cs="宋体"/>
          <w:color w:val="auto"/>
          <w:kern w:val="0"/>
          <w:highlight w:val="none"/>
        </w:rPr>
        <w:t>承包人违反本合同通用条款第</w:t>
      </w:r>
      <w:r>
        <w:rPr>
          <w:color w:val="auto"/>
          <w:kern w:val="0"/>
          <w:highlight w:val="none"/>
        </w:rPr>
        <w:t>3.5</w:t>
      </w:r>
      <w:r>
        <w:rPr>
          <w:rFonts w:hint="eastAsia" w:hAnsi="宋体" w:cs="宋体"/>
          <w:color w:val="auto"/>
          <w:kern w:val="0"/>
          <w:highlight w:val="none"/>
        </w:rPr>
        <w:t>条规定私自将合同或合同的任何部分或任何权利转让给其他人，或私自将工程或工程的一部分分包出去的；</w:t>
      </w:r>
    </w:p>
    <w:p w14:paraId="5D9F1DA3">
      <w:pPr>
        <w:spacing w:line="360" w:lineRule="auto"/>
        <w:ind w:firstLine="420" w:firstLineChars="200"/>
        <w:jc w:val="left"/>
        <w:rPr>
          <w:rFonts w:hAnsi="宋体"/>
          <w:color w:val="auto"/>
          <w:kern w:val="0"/>
          <w:highlight w:val="none"/>
        </w:rPr>
      </w:pPr>
      <w:r>
        <w:rPr>
          <w:rFonts w:hint="eastAsia"/>
          <w:color w:val="auto"/>
          <w:kern w:val="0"/>
          <w:highlight w:val="none"/>
          <w:lang w:eastAsia="zh-CN"/>
        </w:rPr>
        <w:t>（3）</w:t>
      </w:r>
      <w:r>
        <w:rPr>
          <w:rFonts w:hint="eastAsia" w:hAnsi="宋体" w:cs="宋体"/>
          <w:color w:val="auto"/>
          <w:kern w:val="0"/>
          <w:highlight w:val="none"/>
        </w:rPr>
        <w:t>未经监理人批准，承包人私自将已按投标文件承诺进入工地的工程设备、施工设备、临时工程或材料撤离工地的；</w:t>
      </w:r>
    </w:p>
    <w:p w14:paraId="075FE2A6">
      <w:pPr>
        <w:spacing w:line="360" w:lineRule="auto"/>
        <w:ind w:firstLine="420" w:firstLineChars="200"/>
        <w:jc w:val="left"/>
        <w:rPr>
          <w:color w:val="auto"/>
          <w:kern w:val="0"/>
          <w:highlight w:val="none"/>
        </w:rPr>
      </w:pPr>
      <w:r>
        <w:rPr>
          <w:rFonts w:hint="eastAsia"/>
          <w:color w:val="auto"/>
          <w:kern w:val="0"/>
          <w:highlight w:val="none"/>
          <w:lang w:eastAsia="zh-CN"/>
        </w:rPr>
        <w:t>（4）</w:t>
      </w:r>
      <w:r>
        <w:rPr>
          <w:rFonts w:hint="eastAsia" w:hAnsi="宋体" w:cs="宋体"/>
          <w:color w:val="auto"/>
          <w:kern w:val="0"/>
          <w:highlight w:val="none"/>
        </w:rPr>
        <w:t>由于承包人原因拒绝按合同进度计划及时完成合同规定的工程，而又未采取有效措施赶上进度，造成工期严重延误的；</w:t>
      </w:r>
    </w:p>
    <w:p w14:paraId="61237E5F">
      <w:pPr>
        <w:spacing w:line="360" w:lineRule="auto"/>
        <w:ind w:firstLine="420" w:firstLineChars="200"/>
        <w:rPr>
          <w:color w:val="auto"/>
          <w:kern w:val="0"/>
          <w:highlight w:val="none"/>
        </w:rPr>
      </w:pPr>
      <w:r>
        <w:rPr>
          <w:rFonts w:hint="eastAsia"/>
          <w:color w:val="auto"/>
          <w:kern w:val="0"/>
          <w:highlight w:val="none"/>
          <w:lang w:eastAsia="zh-CN"/>
        </w:rPr>
        <w:t>（5）</w:t>
      </w:r>
      <w:r>
        <w:rPr>
          <w:rFonts w:hint="eastAsia" w:hAnsi="宋体" w:cs="宋体"/>
          <w:color w:val="auto"/>
          <w:kern w:val="0"/>
          <w:highlight w:val="none"/>
        </w:rPr>
        <w:t>承包人否认合同有效或拒绝履行合同规定的承包人义务，或由于法律、财务等原因导致承包人无法继续履行或实质上已停止履行合同的义务的；</w:t>
      </w:r>
    </w:p>
    <w:p w14:paraId="6C7A603C">
      <w:pPr>
        <w:spacing w:line="360" w:lineRule="auto"/>
        <w:ind w:firstLine="420" w:firstLineChars="200"/>
        <w:rPr>
          <w:color w:val="auto"/>
          <w:kern w:val="0"/>
          <w:highlight w:val="none"/>
        </w:rPr>
      </w:pPr>
      <w:r>
        <w:rPr>
          <w:rFonts w:hint="eastAsia"/>
          <w:color w:val="auto"/>
          <w:kern w:val="0"/>
          <w:highlight w:val="none"/>
          <w:lang w:eastAsia="zh-CN"/>
        </w:rPr>
        <w:t>（6）</w:t>
      </w:r>
      <w:r>
        <w:rPr>
          <w:rFonts w:hint="eastAsia" w:hAnsi="宋体" w:cs="宋体"/>
          <w:color w:val="auto"/>
          <w:kern w:val="0"/>
          <w:highlight w:val="none"/>
        </w:rPr>
        <w:t>合同签订</w:t>
      </w:r>
      <w:r>
        <w:rPr>
          <w:rFonts w:hint="eastAsia" w:ascii="仿宋_GB2312" w:hAnsi="宋体" w:cs="宋体"/>
          <w:color w:val="auto"/>
          <w:highlight w:val="none"/>
        </w:rPr>
        <w:t>且具备法定开工条件后</w:t>
      </w:r>
      <w:r>
        <w:rPr>
          <w:rFonts w:hint="eastAsia" w:hAnsi="宋体" w:cs="宋体"/>
          <w:color w:val="auto"/>
          <w:kern w:val="0"/>
          <w:highlight w:val="none"/>
        </w:rPr>
        <w:t>之日起十五日内，承包人无法按合同规定及投标文件的承诺进场经监理工程师认可的该</w:t>
      </w:r>
      <w:r>
        <w:rPr>
          <w:rFonts w:hAnsi="宋体" w:cs="宋体"/>
          <w:color w:val="auto"/>
          <w:kern w:val="0"/>
          <w:highlight w:val="none"/>
        </w:rPr>
        <w:t>施工</w:t>
      </w:r>
      <w:r>
        <w:rPr>
          <w:rFonts w:hint="eastAsia" w:hAnsi="宋体" w:cs="宋体"/>
          <w:color w:val="auto"/>
          <w:kern w:val="0"/>
          <w:highlight w:val="none"/>
        </w:rPr>
        <w:t>阶段</w:t>
      </w:r>
      <w:r>
        <w:rPr>
          <w:rFonts w:hAnsi="宋体" w:cs="宋体"/>
          <w:color w:val="auto"/>
          <w:kern w:val="0"/>
          <w:highlight w:val="none"/>
        </w:rPr>
        <w:t>应有的</w:t>
      </w:r>
      <w:r>
        <w:rPr>
          <w:rFonts w:hint="eastAsia" w:hAnsi="宋体" w:cs="宋体"/>
          <w:color w:val="auto"/>
          <w:kern w:val="0"/>
          <w:highlight w:val="none"/>
        </w:rPr>
        <w:t>全部人员和机械的。</w:t>
      </w:r>
    </w:p>
    <w:p w14:paraId="01283A67">
      <w:pPr>
        <w:spacing w:line="360" w:lineRule="auto"/>
        <w:ind w:firstLine="420" w:firstLineChars="200"/>
        <w:rPr>
          <w:color w:val="auto"/>
          <w:kern w:val="0"/>
          <w:highlight w:val="none"/>
        </w:rPr>
      </w:pPr>
      <w:r>
        <w:rPr>
          <w:rFonts w:hint="eastAsia" w:hAnsi="宋体" w:cs="宋体"/>
          <w:color w:val="auto"/>
          <w:kern w:val="0"/>
          <w:highlight w:val="none"/>
        </w:rPr>
        <w:t>发包人继续使用承包人在施工现场的材料、设备、临时工程、承包人文件和由承包人或以其名义编制的其他文件的费用承担方式：</w:t>
      </w:r>
      <w:r>
        <w:rPr>
          <w:color w:val="auto"/>
          <w:kern w:val="0"/>
          <w:highlight w:val="none"/>
          <w:u w:val="single"/>
        </w:rPr>
        <w:t xml:space="preserve">         </w:t>
      </w:r>
      <w:r>
        <w:rPr>
          <w:rFonts w:hint="eastAsia"/>
          <w:color w:val="auto"/>
          <w:kern w:val="0"/>
          <w:highlight w:val="none"/>
          <w:u w:val="single"/>
          <w:lang w:val="en-US" w:eastAsia="zh-CN"/>
        </w:rPr>
        <w:t>无</w:t>
      </w:r>
      <w:r>
        <w:rPr>
          <w:color w:val="auto"/>
          <w:kern w:val="0"/>
          <w:highlight w:val="none"/>
          <w:u w:val="single"/>
        </w:rPr>
        <w:t xml:space="preserve">                                  </w:t>
      </w:r>
      <w:r>
        <w:rPr>
          <w:rFonts w:hint="eastAsia" w:hAnsi="宋体" w:cs="宋体"/>
          <w:color w:val="auto"/>
          <w:kern w:val="0"/>
          <w:highlight w:val="none"/>
        </w:rPr>
        <w:t>。</w:t>
      </w:r>
    </w:p>
    <w:p w14:paraId="3729C489">
      <w:pPr>
        <w:pStyle w:val="4"/>
        <w:rPr>
          <w:color w:val="auto"/>
          <w:highlight w:val="none"/>
        </w:rPr>
      </w:pPr>
      <w:bookmarkStart w:id="1812" w:name="_Toc407135272"/>
      <w:bookmarkStart w:id="1813" w:name="_Toc373478416"/>
      <w:bookmarkStart w:id="1814" w:name="_Toc389065334"/>
      <w:bookmarkStart w:id="1815" w:name="_Toc31157"/>
      <w:bookmarkStart w:id="1816" w:name="_Toc351203649"/>
      <w:bookmarkStart w:id="1817" w:name="_Toc1753556740"/>
      <w:bookmarkStart w:id="1818" w:name="_Toc78449858"/>
      <w:bookmarkStart w:id="1819" w:name="_Toc373227769"/>
      <w:r>
        <w:rPr>
          <w:color w:val="auto"/>
          <w:highlight w:val="none"/>
        </w:rPr>
        <w:t xml:space="preserve">17. </w:t>
      </w:r>
      <w:r>
        <w:rPr>
          <w:rFonts w:hint="eastAsia" w:hAnsi="宋体" w:cs="黑体"/>
          <w:color w:val="auto"/>
          <w:highlight w:val="none"/>
        </w:rPr>
        <w:t>不可抗力</w:t>
      </w:r>
      <w:bookmarkEnd w:id="1812"/>
      <w:bookmarkEnd w:id="1813"/>
      <w:bookmarkEnd w:id="1814"/>
      <w:bookmarkEnd w:id="1815"/>
      <w:bookmarkEnd w:id="1816"/>
      <w:bookmarkEnd w:id="1817"/>
      <w:bookmarkEnd w:id="1818"/>
      <w:bookmarkEnd w:id="1819"/>
      <w:r>
        <w:rPr>
          <w:color w:val="auto"/>
          <w:highlight w:val="none"/>
        </w:rPr>
        <w:t xml:space="preserve"> </w:t>
      </w:r>
      <w:bookmarkEnd w:id="1794"/>
    </w:p>
    <w:p w14:paraId="07438F82">
      <w:pPr>
        <w:pStyle w:val="5"/>
        <w:rPr>
          <w:color w:val="auto"/>
          <w:highlight w:val="none"/>
        </w:rPr>
      </w:pPr>
      <w:bookmarkStart w:id="1820" w:name="_Toc78449859"/>
      <w:bookmarkStart w:id="1821" w:name="_Toc373227770"/>
      <w:bookmarkStart w:id="1822" w:name="_Toc12406"/>
      <w:bookmarkStart w:id="1823" w:name="_Toc373478417"/>
      <w:bookmarkStart w:id="1824" w:name="_Toc389065335"/>
      <w:bookmarkStart w:id="1825" w:name="_Toc429574049"/>
      <w:bookmarkStart w:id="1826" w:name="_Toc407135273"/>
      <w:bookmarkStart w:id="1827" w:name="_Toc21791"/>
      <w:r>
        <w:rPr>
          <w:color w:val="auto"/>
          <w:highlight w:val="none"/>
        </w:rPr>
        <w:t xml:space="preserve">17.1 </w:t>
      </w:r>
      <w:r>
        <w:rPr>
          <w:rFonts w:hint="eastAsia" w:cs="黑体"/>
          <w:color w:val="auto"/>
          <w:highlight w:val="none"/>
        </w:rPr>
        <w:t>不可抗力的确认</w:t>
      </w:r>
      <w:bookmarkEnd w:id="1820"/>
      <w:bookmarkEnd w:id="1821"/>
      <w:bookmarkEnd w:id="1822"/>
      <w:bookmarkEnd w:id="1823"/>
      <w:bookmarkEnd w:id="1824"/>
      <w:bookmarkEnd w:id="1825"/>
      <w:bookmarkEnd w:id="1826"/>
      <w:bookmarkEnd w:id="1827"/>
    </w:p>
    <w:p w14:paraId="6A0C0956">
      <w:pPr>
        <w:spacing w:line="360" w:lineRule="auto"/>
        <w:ind w:firstLine="420" w:firstLineChars="200"/>
        <w:jc w:val="left"/>
        <w:rPr>
          <w:color w:val="auto"/>
          <w:kern w:val="0"/>
          <w:highlight w:val="none"/>
          <w:u w:val="single"/>
        </w:rPr>
      </w:pPr>
      <w:r>
        <w:rPr>
          <w:rFonts w:hint="eastAsia" w:hAnsi="宋体" w:cs="宋体"/>
          <w:color w:val="auto"/>
          <w:highlight w:val="none"/>
        </w:rPr>
        <w:t>除通用合同条款约定的不可抗力事件之外，视为不可抗力的其他情形：</w:t>
      </w:r>
      <w:r>
        <w:rPr>
          <w:color w:val="auto"/>
          <w:kern w:val="0"/>
          <w:highlight w:val="none"/>
          <w:u w:val="single"/>
        </w:rPr>
        <w:t xml:space="preserve">    </w:t>
      </w:r>
      <w:r>
        <w:rPr>
          <w:rFonts w:hint="eastAsia"/>
          <w:color w:val="auto"/>
          <w:kern w:val="0"/>
          <w:highlight w:val="none"/>
          <w:u w:val="single"/>
          <w:lang w:val="en-US" w:eastAsia="zh-CN"/>
        </w:rPr>
        <w:t>无</w:t>
      </w:r>
      <w:r>
        <w:rPr>
          <w:color w:val="auto"/>
          <w:kern w:val="0"/>
          <w:highlight w:val="none"/>
          <w:u w:val="single"/>
        </w:rPr>
        <w:t xml:space="preserve">         </w:t>
      </w:r>
      <w:r>
        <w:rPr>
          <w:rFonts w:hint="eastAsia" w:hAnsi="宋体" w:cs="宋体"/>
          <w:color w:val="auto"/>
          <w:kern w:val="0"/>
          <w:highlight w:val="none"/>
        </w:rPr>
        <w:t>。</w:t>
      </w:r>
    </w:p>
    <w:p w14:paraId="00DAA829">
      <w:pPr>
        <w:pStyle w:val="5"/>
        <w:rPr>
          <w:color w:val="auto"/>
          <w:highlight w:val="none"/>
        </w:rPr>
      </w:pPr>
      <w:bookmarkStart w:id="1828" w:name="_Toc1951449751"/>
      <w:bookmarkStart w:id="1829" w:name="_Toc78449860"/>
      <w:bookmarkStart w:id="1830" w:name="_Toc15401"/>
      <w:bookmarkStart w:id="1831" w:name="_Toc29972"/>
      <w:bookmarkStart w:id="1832" w:name="_Toc373478418"/>
      <w:bookmarkStart w:id="1833" w:name="_Toc407135274"/>
      <w:bookmarkStart w:id="1834" w:name="_Toc389065336"/>
      <w:bookmarkStart w:id="1835" w:name="_Toc373227771"/>
      <w:r>
        <w:rPr>
          <w:color w:val="auto"/>
          <w:highlight w:val="none"/>
        </w:rPr>
        <w:t xml:space="preserve">17.4 </w:t>
      </w:r>
      <w:r>
        <w:rPr>
          <w:rFonts w:hint="eastAsia" w:cs="黑体"/>
          <w:color w:val="auto"/>
          <w:highlight w:val="none"/>
        </w:rPr>
        <w:t>因不可抗力解除合同</w:t>
      </w:r>
      <w:bookmarkEnd w:id="1828"/>
      <w:bookmarkEnd w:id="1829"/>
      <w:bookmarkEnd w:id="1830"/>
      <w:bookmarkEnd w:id="1831"/>
      <w:bookmarkEnd w:id="1832"/>
      <w:bookmarkEnd w:id="1833"/>
      <w:bookmarkEnd w:id="1834"/>
      <w:bookmarkEnd w:id="1835"/>
    </w:p>
    <w:p w14:paraId="62C2BBB6">
      <w:pPr>
        <w:spacing w:line="360" w:lineRule="auto"/>
        <w:ind w:firstLine="420" w:firstLineChars="200"/>
        <w:jc w:val="left"/>
        <w:rPr>
          <w:color w:val="auto"/>
          <w:highlight w:val="none"/>
        </w:rPr>
      </w:pPr>
      <w:r>
        <w:rPr>
          <w:rFonts w:hint="eastAsia" w:hAnsi="宋体" w:cs="宋体"/>
          <w:color w:val="auto"/>
          <w:highlight w:val="none"/>
        </w:rPr>
        <w:t>合同解除后，发包人应在商定或确定发包人应支付款项后</w:t>
      </w:r>
      <w:r>
        <w:rPr>
          <w:color w:val="auto"/>
          <w:highlight w:val="none"/>
          <w:u w:val="single"/>
        </w:rPr>
        <w:t xml:space="preserve">  </w:t>
      </w:r>
      <w:r>
        <w:rPr>
          <w:rFonts w:hint="eastAsia"/>
          <w:color w:val="auto"/>
          <w:highlight w:val="none"/>
          <w:u w:val="single"/>
          <w:lang w:val="en-US" w:eastAsia="zh-CN"/>
        </w:rPr>
        <w:t>28</w:t>
      </w:r>
      <w:r>
        <w:rPr>
          <w:color w:val="auto"/>
          <w:highlight w:val="none"/>
          <w:u w:val="single"/>
        </w:rPr>
        <w:t xml:space="preserve">  </w:t>
      </w:r>
      <w:r>
        <w:rPr>
          <w:rFonts w:hint="eastAsia" w:hAnsi="宋体" w:cs="宋体"/>
          <w:color w:val="auto"/>
          <w:highlight w:val="none"/>
        </w:rPr>
        <w:t>天内完成款项的支付。</w:t>
      </w:r>
    </w:p>
    <w:p w14:paraId="09F28B06">
      <w:pPr>
        <w:pStyle w:val="4"/>
        <w:rPr>
          <w:color w:val="auto"/>
          <w:highlight w:val="none"/>
        </w:rPr>
      </w:pPr>
      <w:bookmarkStart w:id="1836" w:name="_Toc389065337"/>
      <w:bookmarkStart w:id="1837" w:name="_Toc351203650"/>
      <w:bookmarkStart w:id="1838" w:name="_Toc373227772"/>
      <w:bookmarkStart w:id="1839" w:name="_Toc407135275"/>
      <w:bookmarkStart w:id="1840" w:name="_Toc373478419"/>
      <w:bookmarkStart w:id="1841" w:name="_Toc56822299"/>
      <w:bookmarkStart w:id="1842" w:name="_Toc78449861"/>
      <w:bookmarkStart w:id="1843" w:name="_Toc30795"/>
      <w:r>
        <w:rPr>
          <w:color w:val="auto"/>
          <w:highlight w:val="none"/>
        </w:rPr>
        <w:t xml:space="preserve">18. </w:t>
      </w:r>
      <w:r>
        <w:rPr>
          <w:rFonts w:hint="eastAsia" w:hAnsi="宋体" w:cs="黑体"/>
          <w:color w:val="auto"/>
          <w:highlight w:val="none"/>
        </w:rPr>
        <w:t>保险</w:t>
      </w:r>
      <w:bookmarkEnd w:id="1836"/>
      <w:bookmarkEnd w:id="1837"/>
      <w:bookmarkEnd w:id="1838"/>
      <w:bookmarkEnd w:id="1839"/>
      <w:bookmarkEnd w:id="1840"/>
      <w:bookmarkEnd w:id="1841"/>
      <w:bookmarkEnd w:id="1842"/>
      <w:bookmarkEnd w:id="1843"/>
    </w:p>
    <w:bookmarkEnd w:id="1795"/>
    <w:p w14:paraId="201BA891">
      <w:pPr>
        <w:pStyle w:val="5"/>
        <w:rPr>
          <w:color w:val="auto"/>
          <w:highlight w:val="none"/>
        </w:rPr>
      </w:pPr>
      <w:bookmarkStart w:id="1844" w:name="_Toc78449862"/>
      <w:bookmarkStart w:id="1845" w:name="_Toc373478420"/>
      <w:bookmarkStart w:id="1846" w:name="_Toc373227773"/>
      <w:bookmarkStart w:id="1847" w:name="_Toc6222"/>
      <w:bookmarkStart w:id="1848" w:name="_Toc16039"/>
      <w:bookmarkStart w:id="1849" w:name="_Toc2075285517"/>
      <w:bookmarkStart w:id="1850" w:name="_Toc389065338"/>
      <w:bookmarkStart w:id="1851" w:name="_Toc407135276"/>
      <w:r>
        <w:rPr>
          <w:color w:val="auto"/>
          <w:highlight w:val="none"/>
        </w:rPr>
        <w:t xml:space="preserve">18.1 </w:t>
      </w:r>
      <w:r>
        <w:rPr>
          <w:rFonts w:hint="eastAsia" w:hAnsi="宋体" w:cs="黑体"/>
          <w:color w:val="auto"/>
          <w:highlight w:val="none"/>
        </w:rPr>
        <w:t>工程保险</w:t>
      </w:r>
      <w:bookmarkEnd w:id="1844"/>
      <w:bookmarkEnd w:id="1845"/>
      <w:bookmarkEnd w:id="1846"/>
      <w:bookmarkEnd w:id="1847"/>
      <w:bookmarkEnd w:id="1848"/>
      <w:bookmarkEnd w:id="1849"/>
      <w:bookmarkEnd w:id="1850"/>
      <w:bookmarkEnd w:id="1851"/>
    </w:p>
    <w:p w14:paraId="6E97ED49">
      <w:pPr>
        <w:spacing w:line="360" w:lineRule="auto"/>
        <w:ind w:firstLine="420" w:firstLineChars="200"/>
        <w:jc w:val="left"/>
        <w:rPr>
          <w:color w:val="auto"/>
          <w:highlight w:val="none"/>
        </w:rPr>
      </w:pPr>
      <w:r>
        <w:rPr>
          <w:rFonts w:hint="eastAsia" w:hAnsi="宋体" w:cs="宋体"/>
          <w:color w:val="auto"/>
          <w:highlight w:val="none"/>
        </w:rPr>
        <w:t>关于工程保险的特别约定：</w:t>
      </w:r>
      <w:r>
        <w:rPr>
          <w:color w:val="auto"/>
          <w:kern w:val="0"/>
          <w:highlight w:val="none"/>
          <w:u w:val="single"/>
        </w:rPr>
        <w:t xml:space="preserve">   </w:t>
      </w:r>
      <w:r>
        <w:rPr>
          <w:rFonts w:hint="eastAsia"/>
          <w:color w:val="auto"/>
          <w:kern w:val="0"/>
          <w:highlight w:val="none"/>
          <w:u w:val="single"/>
          <w:lang w:val="en-US" w:eastAsia="zh-CN"/>
        </w:rPr>
        <w:t>无</w:t>
      </w:r>
      <w:r>
        <w:rPr>
          <w:color w:val="auto"/>
          <w:kern w:val="0"/>
          <w:highlight w:val="none"/>
          <w:u w:val="single"/>
        </w:rPr>
        <w:t xml:space="preserve">    </w:t>
      </w:r>
      <w:r>
        <w:rPr>
          <w:rFonts w:hint="eastAsia" w:hAnsi="宋体" w:cs="宋体"/>
          <w:color w:val="auto"/>
          <w:kern w:val="0"/>
          <w:highlight w:val="none"/>
        </w:rPr>
        <w:t>。</w:t>
      </w:r>
    </w:p>
    <w:p w14:paraId="26EE08A0">
      <w:pPr>
        <w:pStyle w:val="5"/>
        <w:rPr>
          <w:color w:val="auto"/>
          <w:highlight w:val="none"/>
        </w:rPr>
      </w:pPr>
      <w:bookmarkStart w:id="1852" w:name="_Toc389065339"/>
      <w:bookmarkStart w:id="1853" w:name="_Toc407135277"/>
      <w:bookmarkStart w:id="1854" w:name="_Toc639"/>
      <w:bookmarkStart w:id="1855" w:name="_Toc380"/>
      <w:bookmarkStart w:id="1856" w:name="_Toc454766369"/>
      <w:bookmarkStart w:id="1857" w:name="_Toc373227774"/>
      <w:bookmarkStart w:id="1858" w:name="_Toc373478421"/>
      <w:bookmarkStart w:id="1859" w:name="_Toc78449863"/>
      <w:r>
        <w:rPr>
          <w:color w:val="auto"/>
          <w:highlight w:val="none"/>
        </w:rPr>
        <w:t xml:space="preserve">18.3 </w:t>
      </w:r>
      <w:r>
        <w:rPr>
          <w:rFonts w:hint="eastAsia" w:hAnsi="宋体" w:cs="黑体"/>
          <w:color w:val="auto"/>
          <w:highlight w:val="none"/>
        </w:rPr>
        <w:t>其他保险</w:t>
      </w:r>
      <w:bookmarkEnd w:id="1852"/>
      <w:bookmarkEnd w:id="1853"/>
      <w:bookmarkEnd w:id="1854"/>
      <w:bookmarkEnd w:id="1855"/>
      <w:bookmarkEnd w:id="1856"/>
      <w:bookmarkEnd w:id="1857"/>
      <w:bookmarkEnd w:id="1858"/>
      <w:bookmarkEnd w:id="1859"/>
    </w:p>
    <w:p w14:paraId="5A868122">
      <w:pPr>
        <w:spacing w:line="360" w:lineRule="auto"/>
        <w:ind w:firstLine="420" w:firstLineChars="200"/>
        <w:jc w:val="left"/>
        <w:rPr>
          <w:color w:val="auto"/>
          <w:kern w:val="0"/>
          <w:highlight w:val="none"/>
        </w:rPr>
      </w:pPr>
      <w:r>
        <w:rPr>
          <w:rFonts w:hint="eastAsia" w:hAnsi="宋体" w:cs="宋体"/>
          <w:color w:val="auto"/>
          <w:highlight w:val="none"/>
        </w:rPr>
        <w:t>关于其他保险的约定：</w:t>
      </w:r>
      <w:r>
        <w:rPr>
          <w:rFonts w:hAnsi="宋体"/>
          <w:color w:val="auto"/>
          <w:highlight w:val="none"/>
          <w:u w:val="single"/>
        </w:rPr>
        <w:t xml:space="preserve">   </w:t>
      </w:r>
      <w:r>
        <w:rPr>
          <w:rFonts w:hint="eastAsia" w:ascii="宋体" w:hAnsi="宋体"/>
          <w:color w:val="auto"/>
          <w:kern w:val="0"/>
          <w:szCs w:val="21"/>
          <w:u w:val="single" w:color="000000"/>
        </w:rPr>
        <w:t>承包人可以为其施工现场的全部人员办理意外伤害保险并支付保险费，包括其员工及为履行合同聘请的第三方的人员</w:t>
      </w:r>
      <w:r>
        <w:rPr>
          <w:rFonts w:hAnsi="宋体"/>
          <w:color w:val="auto"/>
          <w:highlight w:val="none"/>
          <w:u w:val="single"/>
        </w:rPr>
        <w:t xml:space="preserve">    </w:t>
      </w:r>
      <w:r>
        <w:rPr>
          <w:rFonts w:hint="eastAsia" w:hAnsi="宋体" w:cs="宋体"/>
          <w:color w:val="auto"/>
          <w:highlight w:val="none"/>
        </w:rPr>
        <w:t>。</w:t>
      </w:r>
    </w:p>
    <w:p w14:paraId="5CD9881A">
      <w:pPr>
        <w:spacing w:line="360" w:lineRule="auto"/>
        <w:ind w:firstLine="420" w:firstLineChars="200"/>
        <w:jc w:val="left"/>
        <w:rPr>
          <w:color w:val="auto"/>
          <w:highlight w:val="none"/>
          <w:u w:val="single"/>
        </w:rPr>
      </w:pPr>
      <w:r>
        <w:rPr>
          <w:rFonts w:hint="eastAsia" w:hAnsi="宋体" w:cs="宋体"/>
          <w:color w:val="auto"/>
          <w:highlight w:val="none"/>
        </w:rPr>
        <w:t>承包人是否应为其施工设备等办理财产保险：</w:t>
      </w:r>
      <w:r>
        <w:rPr>
          <w:color w:val="auto"/>
          <w:highlight w:val="none"/>
          <w:u w:val="single"/>
        </w:rPr>
        <w:t xml:space="preserve">  </w:t>
      </w:r>
      <w:r>
        <w:rPr>
          <w:rFonts w:hint="eastAsia" w:ascii="宋体" w:hAnsi="宋体"/>
          <w:color w:val="auto"/>
          <w:spacing w:val="-8"/>
          <w:kern w:val="0"/>
          <w:szCs w:val="21"/>
          <w:u w:val="single" w:color="000000"/>
        </w:rPr>
        <w:t>承包人应为其施工设备等办理财产保险</w:t>
      </w:r>
      <w:r>
        <w:rPr>
          <w:color w:val="auto"/>
          <w:highlight w:val="none"/>
          <w:u w:val="single"/>
        </w:rPr>
        <w:t xml:space="preserve">     </w:t>
      </w:r>
      <w:r>
        <w:rPr>
          <w:rFonts w:hint="eastAsia" w:hAnsi="宋体" w:cs="宋体"/>
          <w:color w:val="auto"/>
          <w:highlight w:val="none"/>
        </w:rPr>
        <w:t>。</w:t>
      </w:r>
    </w:p>
    <w:p w14:paraId="0DC06A22">
      <w:pPr>
        <w:pStyle w:val="5"/>
        <w:rPr>
          <w:color w:val="auto"/>
          <w:highlight w:val="none"/>
        </w:rPr>
      </w:pPr>
      <w:bookmarkStart w:id="1860" w:name="_Toc407135278"/>
      <w:bookmarkStart w:id="1861" w:name="_Toc373478422"/>
      <w:bookmarkStart w:id="1862" w:name="_Toc20403"/>
      <w:bookmarkStart w:id="1863" w:name="_Toc9387"/>
      <w:bookmarkStart w:id="1864" w:name="_Toc389065340"/>
      <w:bookmarkStart w:id="1865" w:name="_Toc373227775"/>
      <w:bookmarkStart w:id="1866" w:name="_Toc2102614655"/>
      <w:bookmarkStart w:id="1867" w:name="_Toc78449864"/>
      <w:r>
        <w:rPr>
          <w:color w:val="auto"/>
          <w:highlight w:val="none"/>
        </w:rPr>
        <w:t xml:space="preserve">18.7 </w:t>
      </w:r>
      <w:r>
        <w:rPr>
          <w:rFonts w:hint="eastAsia" w:hAnsi="宋体" w:cs="黑体"/>
          <w:color w:val="auto"/>
          <w:highlight w:val="none"/>
        </w:rPr>
        <w:t>通知义务</w:t>
      </w:r>
      <w:bookmarkEnd w:id="1860"/>
      <w:bookmarkEnd w:id="1861"/>
      <w:bookmarkEnd w:id="1862"/>
      <w:bookmarkEnd w:id="1863"/>
      <w:bookmarkEnd w:id="1864"/>
      <w:bookmarkEnd w:id="1865"/>
      <w:bookmarkEnd w:id="1866"/>
      <w:bookmarkEnd w:id="1867"/>
    </w:p>
    <w:p w14:paraId="70C87C09">
      <w:pPr>
        <w:spacing w:line="360" w:lineRule="auto"/>
        <w:ind w:firstLine="420" w:firstLineChars="200"/>
        <w:jc w:val="left"/>
        <w:rPr>
          <w:rFonts w:hint="eastAsia" w:hAnsi="宋体" w:cs="宋体"/>
          <w:color w:val="auto"/>
          <w:highlight w:val="none"/>
        </w:rPr>
      </w:pPr>
      <w:r>
        <w:rPr>
          <w:rFonts w:hint="eastAsia" w:hAnsi="宋体" w:cs="宋体"/>
          <w:color w:val="auto"/>
          <w:kern w:val="0"/>
          <w:highlight w:val="none"/>
        </w:rPr>
        <w:t>关于变更保险合同时的通知义务的约定：</w:t>
      </w:r>
      <w:r>
        <w:rPr>
          <w:color w:val="auto"/>
          <w:highlight w:val="none"/>
          <w:u w:val="single"/>
        </w:rPr>
        <w:t xml:space="preserve">       </w:t>
      </w:r>
      <w:r>
        <w:rPr>
          <w:rFonts w:hint="eastAsia"/>
          <w:color w:val="auto"/>
          <w:highlight w:val="none"/>
          <w:u w:val="single"/>
          <w:lang w:val="en-US" w:eastAsia="zh-CN"/>
        </w:rPr>
        <w:t>无</w:t>
      </w:r>
      <w:r>
        <w:rPr>
          <w:color w:val="auto"/>
          <w:highlight w:val="none"/>
          <w:u w:val="single"/>
        </w:rPr>
        <w:t xml:space="preserve">           </w:t>
      </w:r>
      <w:r>
        <w:rPr>
          <w:rFonts w:hint="eastAsia" w:hAnsi="宋体" w:cs="宋体"/>
          <w:color w:val="auto"/>
          <w:highlight w:val="none"/>
        </w:rPr>
        <w:t>。</w:t>
      </w:r>
    </w:p>
    <w:bookmarkEnd w:id="1740"/>
    <w:bookmarkEnd w:id="1741"/>
    <w:bookmarkEnd w:id="1742"/>
    <w:bookmarkEnd w:id="1743"/>
    <w:bookmarkEnd w:id="1744"/>
    <w:bookmarkEnd w:id="1745"/>
    <w:bookmarkEnd w:id="1746"/>
    <w:bookmarkEnd w:id="1747"/>
    <w:bookmarkEnd w:id="1748"/>
    <w:bookmarkEnd w:id="1749"/>
    <w:bookmarkEnd w:id="1750"/>
    <w:bookmarkEnd w:id="1751"/>
    <w:p w14:paraId="58ABAE4E">
      <w:pPr>
        <w:pStyle w:val="4"/>
        <w:rPr>
          <w:rFonts w:hint="eastAsia"/>
          <w:color w:val="auto"/>
          <w:highlight w:val="none"/>
        </w:rPr>
      </w:pPr>
      <w:bookmarkStart w:id="1868" w:name="_Toc17775"/>
      <w:bookmarkStart w:id="1869" w:name="_Toc373227776"/>
      <w:bookmarkStart w:id="1870" w:name="_Toc373478423"/>
      <w:bookmarkStart w:id="1871" w:name="_Toc78449865"/>
      <w:bookmarkStart w:id="1872" w:name="_Toc1959910599"/>
      <w:bookmarkStart w:id="1873" w:name="_Toc407135279"/>
      <w:bookmarkStart w:id="1874" w:name="_Toc351203651"/>
      <w:bookmarkStart w:id="1875" w:name="_Toc389065341"/>
      <w:r>
        <w:rPr>
          <w:rFonts w:hint="eastAsia"/>
          <w:color w:val="auto"/>
          <w:highlight w:val="none"/>
        </w:rPr>
        <w:t>19.索赔</w:t>
      </w:r>
      <w:bookmarkEnd w:id="1868"/>
    </w:p>
    <w:p w14:paraId="71667A6D">
      <w:pPr>
        <w:pStyle w:val="4"/>
        <w:spacing w:line="360" w:lineRule="auto"/>
        <w:ind w:firstLine="420" w:firstLineChars="200"/>
        <w:rPr>
          <w:rFonts w:hint="eastAsia" w:ascii="Times New Roman" w:hAnsi="宋体" w:eastAsia="宋体" w:cs="宋体"/>
          <w:b w:val="0"/>
          <w:bCs w:val="0"/>
          <w:color w:val="auto"/>
          <w:sz w:val="21"/>
          <w:szCs w:val="21"/>
          <w:highlight w:val="none"/>
          <w:lang w:val="en-US"/>
        </w:rPr>
      </w:pPr>
      <w:bookmarkStart w:id="1876" w:name="_Toc874"/>
      <w:bookmarkStart w:id="1877" w:name="_Toc2598"/>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 xml:space="preserve"> 索赔事项确定</w:t>
      </w:r>
      <w:bookmarkEnd w:id="1876"/>
      <w:bookmarkEnd w:id="1877"/>
    </w:p>
    <w:p w14:paraId="60A1111A">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.1 按本合同约定计算工期延误</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或延长</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及其引起的索赔费用时，索赔工期所对应的工作应是关键线路上的工作，或索赔事件引起关键线路改变的工作，发包人按本合同约定批准给承包人的工期延长为合同工期延长的时间。发包人对承包人的所有工期延误</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或延长</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的索赔费用应对每一索赔事件进行独立评估，不包括前期发生的工期延误</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或延长</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对后期进行的工程造成相应延误</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或延长</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 xml:space="preserve"> 的费用索赔。</w:t>
      </w:r>
    </w:p>
    <w:p w14:paraId="2A09AF88">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.2 当发生工期延误事件时，发承包双方根据批准的施工进度计划，确定该事件是否发生在关键线路上，以及是否引发关键线路上的工期延误，并可按以下约定计算索赔的工期：</w:t>
      </w:r>
    </w:p>
    <w:p w14:paraId="24A4A1C0">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（1）延误事件为关键线路上的工作，则延误的时间为索赔的工期；</w:t>
      </w:r>
    </w:p>
    <w:p w14:paraId="6010BFE0">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（2）延误事件为非关键线路上的工作，当该工作由于延误超过总时差而成为关键工作时，其延误时间与总时差的差值为索赔的工期；</w:t>
      </w:r>
    </w:p>
    <w:p w14:paraId="001FAEE2">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（3）工期延误后事件仍为非关键线路上的工作，则不发生工期索赔。</w:t>
      </w:r>
    </w:p>
    <w:p w14:paraId="358C71C9">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.3 因非承包人的原因发生下列事件，给承包人造成经济损失及费用增加和</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工期延误的，承包人可按蒙受的经济损失及费用增加和</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受影响延误的工期，提出一项或多项索赔：</w:t>
      </w:r>
    </w:p>
    <w:p w14:paraId="471400FA">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（1）因停工、待工、降效、工期延长等造成的人工、材料、施工机具、水电消耗等的费用损失，政府主管部门要求进行的暂停施工按本合同工19.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.7 条约定执行；</w:t>
      </w:r>
    </w:p>
    <w:p w14:paraId="535D12E6">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（2）因合同工期调整所造成的人工费、材料费、施工机具费物价变化增减的直接费用，但按本合同第11.2.4条约定调整的除外；</w:t>
      </w:r>
    </w:p>
    <w:p w14:paraId="054113FC">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（3）因停工、复工、维护施工现场等发生（包括建设、使用、拆除）的必要措施费用；</w:t>
      </w:r>
    </w:p>
    <w:p w14:paraId="35291981">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（4）因返工、拆改与修复等发生的直接费用，以及报废（损）的材料的直接损失；</w:t>
      </w:r>
    </w:p>
    <w:p w14:paraId="1E4FA4A5">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（5）因额外增加的检查、检验、试验等发生的相关费用；</w:t>
      </w:r>
    </w:p>
    <w:p w14:paraId="172DFF65">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（6）因合同价款未能按合同约定支付引起的损失；</w:t>
      </w:r>
    </w:p>
    <w:p w14:paraId="12BCAC22">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（7）因发掘出文物、古迹以及具有地质研究或考古价值的遗迹、化石、钱币或物品造成的暂缓、间断施工或停工的影响；</w:t>
      </w:r>
    </w:p>
    <w:p w14:paraId="26454AB7">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（8）承包人可举证的上述费用之外的其他损失；</w:t>
      </w:r>
    </w:p>
    <w:p w14:paraId="08463DE9">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（9）因事件影响造成的延误（或延长）的合理工期。</w:t>
      </w:r>
    </w:p>
    <w:p w14:paraId="6986FE4C">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.4  因发包人的原因发生下列事件，给承包人造成经济损失的，承包人除</w:t>
      </w:r>
      <w:r>
        <w:rPr>
          <w:rFonts w:hint="eastAsia" w:hAnsi="宋体" w:cs="宋体"/>
          <w:b w:val="0"/>
          <w:bCs w:val="0"/>
          <w:color w:val="auto"/>
          <w:sz w:val="21"/>
          <w:szCs w:val="21"/>
          <w:highlight w:val="none"/>
          <w:lang w:val="en-US" w:eastAsia="zh-CN"/>
        </w:rPr>
        <w:t>可</w:t>
      </w:r>
      <w:r>
        <w:rPr>
          <w:rFonts w:hint="eastAsia" w:ascii="Times New Roman" w:hAnsi="宋体" w:eastAsia="宋体" w:cs="宋体"/>
          <w:b w:val="0"/>
          <w:bCs w:val="0"/>
          <w:color w:val="auto"/>
          <w:sz w:val="21"/>
          <w:szCs w:val="21"/>
          <w:highlight w:val="none"/>
          <w:lang w:val="en-US"/>
        </w:rPr>
        <w:t>进行经济损失和（或）工期延误索赔外，可索赔利润。</w:t>
      </w:r>
    </w:p>
    <w:p w14:paraId="6220A79D">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（1）发包人将合同中的某项工作改变为其他承包人负责完成；</w:t>
      </w:r>
    </w:p>
    <w:p w14:paraId="182D8E28">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（2）发包人延迟提供图纸或施工场地；</w:t>
      </w:r>
    </w:p>
    <w:p w14:paraId="57717A43">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（3）发包人提供材料的质量不合格或延迟提供或改变交货地点等引起工程不合格；</w:t>
      </w:r>
    </w:p>
    <w:p w14:paraId="4E880461">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（4）发包人原因引起承包人测量放线错误、工程返工；</w:t>
      </w:r>
    </w:p>
    <w:p w14:paraId="061FE721">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（5）发包人提供的工程项目原始数据和基准资料错误；</w:t>
      </w:r>
    </w:p>
    <w:p w14:paraId="56ECE4C9">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（6）发包人对施工场地额外限制、未按时履约审批、干扰正常施工顺序等；</w:t>
      </w:r>
    </w:p>
    <w:p w14:paraId="13B6C439">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（7）发包人原因引起工期延误、暂停施工、工程暂停后无法按时复工；</w:t>
      </w:r>
    </w:p>
    <w:p w14:paraId="6B305D93">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（8）发包人在工程竣工前提前占用工程；</w:t>
      </w:r>
    </w:p>
    <w:p w14:paraId="09D72481">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（9）发包人原因导致工程试运行失败、缺陷责任期内因非承包人原因引起的缺陷或损坏的修复。</w:t>
      </w:r>
    </w:p>
    <w:p w14:paraId="1FA91F0D">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.5 因发包人的原因引起下列事件给承包人造成经济损失和</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工期延长的，发包人应合理延长受影响的工期，并补偿给承包人造成的损失和</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直接费用，不包括利润：</w:t>
      </w:r>
    </w:p>
    <w:p w14:paraId="1449F370">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（1）按发包人或监理人的要求对材料和工程</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包括已覆盖的隐蔽工程</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进行重新检测、且检测结果质量合格引起的直接费用，以及修复受影响工程的费用；</w:t>
      </w:r>
    </w:p>
    <w:p w14:paraId="404FC680">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（2）额外增加的检查、检验、试验等的直接费用；</w:t>
      </w:r>
    </w:p>
    <w:p w14:paraId="24D6044D">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（3）工程试运行失败引起的直接费用；</w:t>
      </w:r>
    </w:p>
    <w:p w14:paraId="68545F63">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（4）其他情况的直接损失和</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费用。</w:t>
      </w:r>
    </w:p>
    <w:p w14:paraId="5E1038EB">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  除本合同约定发包人购买工程一切险及第三者责任险外，因不可抗力事件引起的人员伤亡、财产损失、费用增加和</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或</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工期延误等工程索赔，发承包双方应遵循下列原则承担相应损失及费用：</w:t>
      </w:r>
    </w:p>
    <w:p w14:paraId="55BA1707">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（1）永久工程、已运至施工现场的材料的损坏及修复费用，以及因不可抗力事件引起施工场地内及工程损坏造成的第三方人员伤亡和财产损失应由发包人承担；</w:t>
      </w:r>
    </w:p>
    <w:p w14:paraId="7147FC6A">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（2）承包人施工机具的损坏及停工损失和措施项目的损坏、清理、修复费用，以及因承包人原因发生的第三方人员伤亡和财产损失应由承包人承担；</w:t>
      </w:r>
    </w:p>
    <w:p w14:paraId="591C72EE">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（3）发包人和承包人应承担各自人员伤亡和本条第（1）款、第（2）款约定外的其他财产的损失；</w:t>
      </w:r>
    </w:p>
    <w:p w14:paraId="102DC753">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（4）因不可抗力引起暂停施工的，停工期间按照发包人要求照管、清理、修复工程的费用和发包人要求留驻施工现场必要的管理与保卫人员工资，以及按发包人要求留驻现场待工人员的工资应由发包人承担；</w:t>
      </w:r>
    </w:p>
    <w:p w14:paraId="7456B963">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（5）因不可抗力影响承包人履行合同约定的义务，引起工期延误的，应当顺延工期，发包人要求赶工的，由此增加的赶工费用应由发包人承担；</w:t>
      </w:r>
    </w:p>
    <w:p w14:paraId="18EA77B5">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（6）其他情形按法律法规规定执行。</w:t>
      </w:r>
    </w:p>
    <w:p w14:paraId="6A7023F7">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.7  除本合同11.3条法律法规及政策性变化引起的价格调整，第19.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.6条第（4）款、第（5）款规定外，因发生具有不可抗力性质的下列例外事件引起工期延误的，受影响的工期应相应顺延，发承包双方应各自承担相应的损失：</w:t>
      </w:r>
    </w:p>
    <w:p w14:paraId="7156C4AD">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（1）动乱和暴动等类似事件</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不包括工地现场发生的</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w:t>
      </w:r>
    </w:p>
    <w:p w14:paraId="1B376DC7">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（2）因国家及地方政府有关部门要求而</w:t>
      </w:r>
      <w:r>
        <w:rPr>
          <w:rFonts w:hint="eastAsia" w:hAnsi="宋体" w:cs="宋体"/>
          <w:b w:val="0"/>
          <w:bCs w:val="0"/>
          <w:color w:val="auto"/>
          <w:sz w:val="21"/>
          <w:szCs w:val="21"/>
          <w:highlight w:val="none"/>
          <w:lang w:val="en-US" w:eastAsia="zh-CN"/>
        </w:rPr>
        <w:t>必需的</w:t>
      </w:r>
      <w:r>
        <w:rPr>
          <w:rFonts w:hint="eastAsia" w:ascii="Times New Roman" w:hAnsi="宋体" w:eastAsia="宋体" w:cs="宋体"/>
          <w:b w:val="0"/>
          <w:bCs w:val="0"/>
          <w:color w:val="auto"/>
          <w:sz w:val="21"/>
          <w:szCs w:val="21"/>
          <w:highlight w:val="none"/>
          <w:lang w:val="en-US"/>
        </w:rPr>
        <w:t>停工、暂停（暂缓）施工、间断施工或区域性施工管控造成的影响；</w:t>
      </w:r>
    </w:p>
    <w:p w14:paraId="0D4BA658">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（3）地方建设行政主管部门就安全、环保要求停止施工造成的影响；</w:t>
      </w:r>
    </w:p>
    <w:p w14:paraId="267012A0">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（4）地方政府主管部门就健康卫生防疫管控要求停止施工造成的影响；</w:t>
      </w:r>
    </w:p>
    <w:p w14:paraId="37984A54">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.8  因发生不可抗力引起工期延长，且在延长工期内遭遇物价变化、法律法规及政策性变化的，所引起的影响费用按本合同11.2条、11.3条、19.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.3条的约定处理，调整受影响项目的合同价格。</w:t>
      </w:r>
    </w:p>
    <w:p w14:paraId="10D5295E">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.9  因发承包双方中的一方原因导致工期延误，且在延长的工期内遭遇不可抗力的，不可抗力事件产生的损失由责任方承担。发承包双方对工期延误均有责任，且在延长的工期内遭遇不可抗力的，按双方责任分担比例承担相应责任。</w:t>
      </w:r>
    </w:p>
    <w:p w14:paraId="5F02F173">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.10  本合同约定发包人负责购买工程一切险及第三者责任险，且保险范围包括相关的施工机具、人员伤亡，如发生本合同19.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 条约定的事件，发承包双方按下列原则承担相应损失和增加费用：</w:t>
      </w:r>
    </w:p>
    <w:p w14:paraId="35C7550F">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（1）发包人按合同约定购买建筑工程一切险及第三者责任险的，承包人通过发包人按保险条款向保险人理赔本合同19.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.6条第（1）款～第（4）款约定的财产损失和增加的费用，保险规定免赔额部分的损失及费用和超出理赔部分的本合同19.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.6条第（2）款、第（3）款约定的损失及费用由发承包双方各自承担，超出理赔部分的本合同19.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 条第（1）款、第（4）款约定的损失及费用由发包人承担；</w:t>
      </w:r>
    </w:p>
    <w:p w14:paraId="221AAC64">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（2）发包人未按合同约定购买建筑工程一切险及第三者责任险或购买的保险未生效的，本合同19.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 条第（1）款和第（</w:t>
      </w:r>
      <w:r>
        <w:rPr>
          <w:rFonts w:hint="eastAsia" w:hAnsi="宋体" w:cs="宋体"/>
          <w:b w:val="0"/>
          <w:bCs w:val="0"/>
          <w:color w:val="auto"/>
          <w:sz w:val="21"/>
          <w:szCs w:val="21"/>
          <w:highlight w:val="none"/>
          <w:lang w:val="en-US" w:eastAsia="zh-CN"/>
        </w:rPr>
        <w:t>4</w:t>
      </w:r>
      <w:r>
        <w:rPr>
          <w:rFonts w:hint="eastAsia" w:ascii="Times New Roman" w:hAnsi="宋体" w:eastAsia="宋体" w:cs="宋体"/>
          <w:b w:val="0"/>
          <w:bCs w:val="0"/>
          <w:color w:val="auto"/>
          <w:sz w:val="21"/>
          <w:szCs w:val="21"/>
          <w:highlight w:val="none"/>
          <w:lang w:val="en-US"/>
        </w:rPr>
        <w:t>）款约定的损失及费用由发包人负责，按相关保险条款可以理赔的本合同19.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.6 条第（2）款、第（3）款约定的损失及费用由发包人承担，超出理赔的损失及费用由发承包双方各自承担。</w:t>
      </w:r>
    </w:p>
    <w:p w14:paraId="20C44AE4">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.11  因发生提前竣工</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赶工）事件引起的工程索赔，发承包双方可按下列原则分别承担相应费用，并调整合同价格和工期：</w:t>
      </w:r>
    </w:p>
    <w:p w14:paraId="22BF4D8A">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（1）发包人要求合同工程提前竣工的，承包人应制定合理的加快工程进度的措施并修订进度计划，经发包人同意后实施，由此增加的提前竣工费用</w:t>
      </w:r>
      <w:r>
        <w:rPr>
          <w:rFonts w:hint="eastAsia" w:hAnsi="宋体" w:cs="宋体"/>
          <w:b w:val="0"/>
          <w:bCs w:val="0"/>
          <w:color w:val="auto"/>
          <w:sz w:val="21"/>
          <w:szCs w:val="21"/>
          <w:highlight w:val="none"/>
          <w:lang w:val="en-US" w:eastAsia="zh-CN"/>
        </w:rPr>
        <w:t>（</w:t>
      </w:r>
      <w:r>
        <w:rPr>
          <w:rFonts w:hint="eastAsia" w:ascii="Times New Roman" w:hAnsi="宋体" w:eastAsia="宋体" w:cs="宋体"/>
          <w:b w:val="0"/>
          <w:bCs w:val="0"/>
          <w:color w:val="auto"/>
          <w:sz w:val="21"/>
          <w:szCs w:val="21"/>
          <w:highlight w:val="none"/>
          <w:lang w:val="en-US"/>
        </w:rPr>
        <w:t>赶工费）由发包人承担；</w:t>
      </w:r>
    </w:p>
    <w:p w14:paraId="2049A7F7">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（2）非发包人要求，因承包人原因自行提前竣工的，应征得发包人的同意，由此增加的费用应由承包人承担。</w:t>
      </w:r>
    </w:p>
    <w:p w14:paraId="355416D7">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 xml:space="preserve">.12  因承包人原因发生下列事件，引起工期延误和（或）给发包人造成经济损失的，发包人可根据工期受影响延误的时间和（或）经济损失，提出以下一项或多项索赔： </w:t>
      </w:r>
    </w:p>
    <w:p w14:paraId="1D556D91">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（1）承包人未尽承包义务、未按合同约定执行发包人的工程指令等引起发包人发生的额外费用或额外支出；</w:t>
      </w:r>
    </w:p>
    <w:p w14:paraId="59A6E7C9">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（2）承包人未按合同要求正确履行对发包人提供材料、专业分包人的总承包服务造成发包人的损失；</w:t>
      </w:r>
    </w:p>
    <w:p w14:paraId="1286C5C8">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（3）承包人责任事件造成的发包人向政府部门缴纳的罚款或向第三人的赔偿费用；</w:t>
      </w:r>
    </w:p>
    <w:p w14:paraId="693CB900">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（4）承包人原因引起合同工程发生误期造成发包人的损失；</w:t>
      </w:r>
    </w:p>
    <w:p w14:paraId="30A39FBB">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（5）承包人完成的工程质量不符合合同约定标准引起发包人的损失；</w:t>
      </w:r>
    </w:p>
    <w:p w14:paraId="627FF057">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（6）发包人可举证的上述费用之外的其他损失。</w:t>
      </w:r>
    </w:p>
    <w:p w14:paraId="3B26897B">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.13  因承包人原因引起发包人的损失，发包人可以选择以下一项或多项方式获得补偿：</w:t>
      </w:r>
    </w:p>
    <w:p w14:paraId="3AF8E849">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（1）延长质量缺陷保修期限；</w:t>
      </w:r>
    </w:p>
    <w:p w14:paraId="3ED58EFF">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（2）要求承包人支付受影响发生的额外费用；</w:t>
      </w:r>
    </w:p>
    <w:p w14:paraId="5C5D4ECF">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（3）要求承包人支付误期赔偿费；</w:t>
      </w:r>
    </w:p>
    <w:p w14:paraId="60F3F80D">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（4）要求承包人按合同的约定支付违约金。</w:t>
      </w:r>
    </w:p>
    <w:p w14:paraId="475A85BC">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.14  发承包双方均应采取措施尽量避免和减少因索赔事件导致的损失扩大，应采取措施的一方当事人不采取积极措施导致损失扩大的，应对扩大的损失承担责任。</w:t>
      </w:r>
    </w:p>
    <w:p w14:paraId="3F71F1B9">
      <w:pPr>
        <w:spacing w:line="400" w:lineRule="exact"/>
        <w:ind w:firstLine="420" w:firstLineChars="200"/>
        <w:jc w:val="left"/>
        <w:rPr>
          <w:rFonts w:ascii="Times New Roman" w:hAnsi="Times New Roman" w:cs="Times New Roman"/>
          <w:color w:val="auto"/>
          <w:szCs w:val="21"/>
          <w:highlight w:val="none"/>
          <w:shd w:val="clear" w:color="auto" w:fill="auto"/>
        </w:rPr>
      </w:pPr>
      <w:r>
        <w:rPr>
          <w:rFonts w:hint="default" w:ascii="Times New Roman" w:hAnsi="Times New Roman" w:cs="Times New Roman"/>
          <w:b w:val="0"/>
          <w:bCs w:val="0"/>
          <w:color w:val="auto"/>
          <w:szCs w:val="21"/>
          <w:highlight w:val="none"/>
          <w:shd w:val="clear" w:color="auto" w:fill="auto"/>
        </w:rPr>
        <w:t>1</w:t>
      </w:r>
      <w:r>
        <w:rPr>
          <w:rFonts w:hint="default" w:ascii="Times New Roman" w:hAnsi="Times New Roman" w:cs="Times New Roman"/>
          <w:b w:val="0"/>
          <w:color w:val="auto"/>
          <w:szCs w:val="21"/>
          <w:highlight w:val="none"/>
          <w:shd w:val="clear" w:color="auto" w:fill="auto"/>
          <w:lang w:val="en-US" w:eastAsia="zh-CN"/>
        </w:rPr>
        <w:t>9</w:t>
      </w:r>
      <w:r>
        <w:rPr>
          <w:rFonts w:hint="default" w:ascii="Times New Roman" w:hAnsi="Times New Roman" w:cs="Times New Roman"/>
          <w:b w:val="0"/>
          <w:color w:val="auto"/>
          <w:szCs w:val="21"/>
          <w:highlight w:val="none"/>
          <w:shd w:val="clear" w:color="auto" w:fill="auto"/>
        </w:rPr>
        <w:t>.</w:t>
      </w:r>
      <w:r>
        <w:rPr>
          <w:rFonts w:hint="eastAsia" w:ascii="Times New Roman" w:hAnsi="Times New Roman" w:cs="Times New Roman"/>
          <w:b w:val="0"/>
          <w:color w:val="auto"/>
          <w:szCs w:val="21"/>
          <w:highlight w:val="none"/>
          <w:shd w:val="clear" w:color="auto" w:fill="auto"/>
          <w:lang w:val="en-US" w:eastAsia="zh-CN"/>
        </w:rPr>
        <w:t>6</w:t>
      </w:r>
      <w:r>
        <w:rPr>
          <w:rFonts w:hint="default" w:ascii="Times New Roman" w:hAnsi="Times New Roman" w:cs="Times New Roman"/>
          <w:b w:val="0"/>
          <w:color w:val="auto"/>
          <w:szCs w:val="21"/>
          <w:highlight w:val="none"/>
          <w:shd w:val="clear" w:color="auto" w:fill="auto"/>
        </w:rPr>
        <w:t>.</w:t>
      </w:r>
      <w:r>
        <w:rPr>
          <w:rFonts w:hint="default" w:ascii="Times New Roman" w:hAnsi="Times New Roman" w:cs="Times New Roman"/>
          <w:b w:val="0"/>
          <w:color w:val="auto"/>
          <w:szCs w:val="21"/>
          <w:highlight w:val="none"/>
          <w:shd w:val="clear" w:color="auto" w:fill="auto"/>
          <w:lang w:val="en-US" w:eastAsia="zh-CN"/>
        </w:rPr>
        <w:t>15</w:t>
      </w:r>
      <w:r>
        <w:rPr>
          <w:rFonts w:hint="default" w:ascii="Times New Roman" w:hAnsi="Times New Roman" w:cs="Times New Roman"/>
          <w:color w:val="auto"/>
          <w:szCs w:val="21"/>
          <w:highlight w:val="none"/>
          <w:shd w:val="clear" w:color="auto" w:fill="auto"/>
        </w:rPr>
        <w:t xml:space="preserve">  在相关索赔事件发生后</w:t>
      </w:r>
      <w:r>
        <w:rPr>
          <w:rFonts w:hint="default"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发承包双方应及时就调整的工期和索赔的费用及时进行确认签署</w:t>
      </w:r>
      <w:r>
        <w:rPr>
          <w:rFonts w:hint="default"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并应作为工程进度款和工程结算的依据。</w:t>
      </w:r>
    </w:p>
    <w:p w14:paraId="7E7EE362">
      <w:pPr>
        <w:spacing w:line="400" w:lineRule="exact"/>
        <w:ind w:firstLine="0" w:firstLineChars="0"/>
        <w:jc w:val="left"/>
        <w:outlineLvl w:val="9"/>
        <w:rPr>
          <w:rFonts w:hint="eastAsia" w:ascii="Times New Roman" w:hAnsi="宋体" w:eastAsia="宋体" w:cs="宋体"/>
          <w:b w:val="0"/>
          <w:bCs w:val="0"/>
          <w:color w:val="auto"/>
          <w:sz w:val="21"/>
          <w:szCs w:val="21"/>
          <w:highlight w:val="none"/>
          <w:lang w:val="en-US"/>
        </w:rPr>
      </w:pPr>
      <w:r>
        <w:rPr>
          <w:rFonts w:hint="eastAsia" w:eastAsia="宋体" w:cs="Times New Roman"/>
          <w:b w:val="0"/>
          <w:bCs w:val="0"/>
          <w:color w:val="auto"/>
          <w:szCs w:val="21"/>
          <w:highlight w:val="none"/>
          <w:shd w:val="clear" w:color="auto" w:fill="auto"/>
          <w:lang w:val="en-US" w:eastAsia="zh-CN"/>
        </w:rPr>
        <w:t xml:space="preserve">    </w:t>
      </w:r>
      <w:r>
        <w:rPr>
          <w:rFonts w:hint="default" w:ascii="Times New Roman" w:hAnsi="Times New Roman" w:cs="Times New Roman"/>
          <w:b w:val="0"/>
          <w:bCs w:val="0"/>
          <w:color w:val="auto"/>
          <w:szCs w:val="21"/>
          <w:highlight w:val="none"/>
          <w:shd w:val="clear" w:color="auto" w:fill="auto"/>
        </w:rPr>
        <w:t>1</w:t>
      </w:r>
      <w:r>
        <w:rPr>
          <w:rFonts w:hint="eastAsia" w:eastAsia="宋体" w:cs="Times New Roman"/>
          <w:b w:val="0"/>
          <w:color w:val="auto"/>
          <w:szCs w:val="21"/>
          <w:highlight w:val="none"/>
          <w:shd w:val="clear" w:color="auto" w:fill="auto"/>
          <w:lang w:eastAsia="zh-CN"/>
        </w:rPr>
        <w:t>9</w:t>
      </w:r>
      <w:r>
        <w:rPr>
          <w:rFonts w:hint="default" w:ascii="Times New Roman" w:hAnsi="Times New Roman" w:cs="Times New Roman"/>
          <w:b w:val="0"/>
          <w:color w:val="auto"/>
          <w:szCs w:val="21"/>
          <w:highlight w:val="none"/>
          <w:shd w:val="clear" w:color="auto" w:fill="auto"/>
        </w:rPr>
        <w:t>.</w:t>
      </w:r>
      <w:r>
        <w:rPr>
          <w:rFonts w:hint="eastAsia" w:eastAsia="宋体" w:cs="Times New Roman"/>
          <w:b w:val="0"/>
          <w:color w:val="auto"/>
          <w:szCs w:val="21"/>
          <w:highlight w:val="none"/>
          <w:shd w:val="clear" w:color="auto" w:fill="auto"/>
          <w:lang w:val="en-US" w:eastAsia="zh-CN"/>
        </w:rPr>
        <w:t>6</w:t>
      </w:r>
      <w:r>
        <w:rPr>
          <w:rFonts w:hint="default" w:ascii="Times New Roman" w:hAnsi="Times New Roman" w:cs="Times New Roman"/>
          <w:b w:val="0"/>
          <w:color w:val="auto"/>
          <w:szCs w:val="21"/>
          <w:highlight w:val="none"/>
          <w:shd w:val="clear" w:color="auto" w:fill="auto"/>
        </w:rPr>
        <w:t>.</w:t>
      </w:r>
      <w:r>
        <w:rPr>
          <w:rFonts w:hint="eastAsia" w:eastAsia="宋体" w:cs="Times New Roman"/>
          <w:b w:val="0"/>
          <w:color w:val="auto"/>
          <w:szCs w:val="21"/>
          <w:highlight w:val="none"/>
          <w:shd w:val="clear" w:color="auto" w:fill="auto"/>
          <w:lang w:val="en-US" w:eastAsia="zh-CN"/>
        </w:rPr>
        <w:t>16</w:t>
      </w:r>
      <w:r>
        <w:rPr>
          <w:rFonts w:hint="default" w:ascii="Times New Roman" w:hAnsi="Times New Roman" w:cs="Times New Roman"/>
          <w:color w:val="auto"/>
          <w:szCs w:val="21"/>
          <w:highlight w:val="none"/>
          <w:shd w:val="clear" w:color="auto" w:fill="auto"/>
        </w:rPr>
        <w:t xml:space="preserve">  在发承包双方已按合同约定完成了工程竣工结算书签署确定及已办理了竣工结算确定后</w:t>
      </w:r>
      <w:r>
        <w:rPr>
          <w:rFonts w:hint="default"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双方应无权再向对方提出关于竣工结算前所发生事件的工程索赔。</w:t>
      </w:r>
    </w:p>
    <w:p w14:paraId="5B0B4FB7">
      <w:pPr>
        <w:spacing w:line="360" w:lineRule="auto"/>
        <w:ind w:firstLine="420" w:firstLineChars="200"/>
        <w:outlineLvl w:val="9"/>
        <w:rPr>
          <w:rFonts w:hint="eastAsia" w:ascii="Times New Roman" w:hAnsi="宋体" w:eastAsia="宋体" w:cs="宋体"/>
          <w:b w:val="0"/>
          <w:bCs w:val="0"/>
          <w:color w:val="auto"/>
          <w:sz w:val="21"/>
          <w:szCs w:val="21"/>
          <w:highlight w:val="none"/>
          <w:lang w:val="en-US"/>
        </w:rPr>
      </w:pPr>
      <w:r>
        <w:rPr>
          <w:rFonts w:hint="eastAsia" w:ascii="Times New Roman" w:hAnsi="宋体" w:eastAsia="宋体" w:cs="宋体"/>
          <w:b w:val="0"/>
          <w:bCs w:val="0"/>
          <w:color w:val="auto"/>
          <w:sz w:val="21"/>
          <w:szCs w:val="21"/>
          <w:highlight w:val="none"/>
          <w:lang w:val="en-US"/>
        </w:rPr>
        <w:t>19.</w:t>
      </w:r>
      <w:r>
        <w:rPr>
          <w:rFonts w:hint="eastAsia" w:ascii="Times New Roman" w:hAnsi="宋体" w:eastAsia="宋体" w:cs="宋体"/>
          <w:b w:val="0"/>
          <w:bCs w:val="0"/>
          <w:color w:val="auto"/>
          <w:sz w:val="21"/>
          <w:szCs w:val="21"/>
          <w:highlight w:val="none"/>
          <w:lang w:val="en-US" w:eastAsia="zh-CN"/>
        </w:rPr>
        <w:t>6</w:t>
      </w:r>
      <w:r>
        <w:rPr>
          <w:rFonts w:hint="eastAsia" w:ascii="Times New Roman" w:hAnsi="宋体" w:eastAsia="宋体" w:cs="宋体"/>
          <w:b w:val="0"/>
          <w:bCs w:val="0"/>
          <w:color w:val="auto"/>
          <w:sz w:val="21"/>
          <w:szCs w:val="21"/>
          <w:highlight w:val="none"/>
          <w:lang w:val="en-US"/>
        </w:rPr>
        <w:t>.1</w:t>
      </w:r>
      <w:r>
        <w:rPr>
          <w:rFonts w:hint="eastAsia" w:hAnsi="宋体" w:cs="宋体"/>
          <w:b w:val="0"/>
          <w:bCs w:val="0"/>
          <w:color w:val="auto"/>
          <w:sz w:val="21"/>
          <w:szCs w:val="21"/>
          <w:highlight w:val="none"/>
          <w:lang w:val="en-US" w:eastAsia="zh-CN"/>
        </w:rPr>
        <w:t>7</w:t>
      </w:r>
      <w:r>
        <w:rPr>
          <w:rFonts w:hint="eastAsia" w:ascii="Times New Roman" w:hAnsi="宋体" w:eastAsia="宋体" w:cs="宋体"/>
          <w:b w:val="0"/>
          <w:bCs w:val="0"/>
          <w:color w:val="auto"/>
          <w:sz w:val="21"/>
          <w:szCs w:val="21"/>
          <w:highlight w:val="none"/>
          <w:lang w:val="en-US"/>
        </w:rPr>
        <w:t xml:space="preserve">  发承包双方宜通过协商方式解决工程索赔，经协商不能达成一致意见的，可按本合同第20条争议解决的约定执行，引起合同解除的，按本合同第</w:t>
      </w:r>
      <w:r>
        <w:rPr>
          <w:rFonts w:hint="eastAsia" w:ascii="Times New Roman" w:hAnsi="宋体" w:eastAsia="宋体" w:cs="宋体"/>
          <w:b w:val="0"/>
          <w:bCs w:val="0"/>
          <w:color w:val="auto"/>
          <w:sz w:val="21"/>
          <w:szCs w:val="21"/>
          <w:highlight w:val="none"/>
          <w:lang w:val="en-US" w:eastAsia="zh-CN"/>
        </w:rPr>
        <w:t>16</w:t>
      </w:r>
      <w:r>
        <w:rPr>
          <w:rFonts w:hint="eastAsia" w:ascii="Times New Roman" w:hAnsi="宋体" w:eastAsia="宋体" w:cs="宋体"/>
          <w:b w:val="0"/>
          <w:bCs w:val="0"/>
          <w:color w:val="auto"/>
          <w:sz w:val="21"/>
          <w:szCs w:val="21"/>
          <w:highlight w:val="none"/>
          <w:lang w:val="en-US"/>
        </w:rPr>
        <w:t>条</w:t>
      </w:r>
      <w:r>
        <w:rPr>
          <w:rFonts w:hint="eastAsia" w:hAnsi="宋体" w:cs="宋体"/>
          <w:b w:val="0"/>
          <w:bCs w:val="0"/>
          <w:strike w:val="0"/>
          <w:color w:val="auto"/>
          <w:sz w:val="21"/>
          <w:szCs w:val="21"/>
          <w:highlight w:val="none"/>
          <w:lang w:val="en-US" w:eastAsia="zh-CN"/>
        </w:rPr>
        <w:t>解除合同相关</w:t>
      </w:r>
      <w:r>
        <w:rPr>
          <w:rFonts w:hint="eastAsia" w:ascii="Times New Roman" w:hAnsi="宋体" w:eastAsia="宋体" w:cs="宋体"/>
          <w:b w:val="0"/>
          <w:bCs w:val="0"/>
          <w:color w:val="auto"/>
          <w:sz w:val="21"/>
          <w:szCs w:val="21"/>
          <w:highlight w:val="none"/>
          <w:lang w:val="en-US"/>
        </w:rPr>
        <w:t>的约定处理。</w:t>
      </w:r>
    </w:p>
    <w:p w14:paraId="5B4B78C1">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63C7B5F1">
      <w:pPr>
        <w:pStyle w:val="4"/>
        <w:rPr>
          <w:color w:val="auto"/>
          <w:highlight w:val="none"/>
        </w:rPr>
      </w:pPr>
      <w:bookmarkStart w:id="1878" w:name="_Toc20588"/>
      <w:r>
        <w:rPr>
          <w:color w:val="auto"/>
          <w:highlight w:val="none"/>
        </w:rPr>
        <w:t xml:space="preserve">20. </w:t>
      </w:r>
      <w:r>
        <w:rPr>
          <w:rFonts w:hint="eastAsia" w:hAnsi="宋体" w:cs="黑体"/>
          <w:color w:val="auto"/>
          <w:highlight w:val="none"/>
        </w:rPr>
        <w:t>争议解决</w:t>
      </w:r>
      <w:bookmarkEnd w:id="1869"/>
      <w:bookmarkEnd w:id="1870"/>
      <w:bookmarkEnd w:id="1871"/>
      <w:bookmarkEnd w:id="1872"/>
      <w:bookmarkEnd w:id="1873"/>
      <w:bookmarkEnd w:id="1874"/>
      <w:bookmarkEnd w:id="1875"/>
      <w:bookmarkEnd w:id="1878"/>
    </w:p>
    <w:bookmarkEnd w:id="1752"/>
    <w:bookmarkEnd w:id="1753"/>
    <w:p w14:paraId="6B52FDF5">
      <w:pPr>
        <w:pStyle w:val="5"/>
        <w:rPr>
          <w:color w:val="auto"/>
          <w:highlight w:val="none"/>
        </w:rPr>
      </w:pPr>
      <w:bookmarkStart w:id="1879" w:name="_Toc373227777"/>
      <w:bookmarkStart w:id="1880" w:name="_Toc389065342"/>
      <w:bookmarkStart w:id="1881" w:name="_Toc28101"/>
      <w:bookmarkStart w:id="1882" w:name="_Toc17992"/>
      <w:bookmarkStart w:id="1883" w:name="_Toc373478424"/>
      <w:bookmarkStart w:id="1884" w:name="_Toc78449866"/>
      <w:bookmarkStart w:id="1885" w:name="_Toc1645489822"/>
      <w:bookmarkStart w:id="1886" w:name="_Toc407135280"/>
      <w:r>
        <w:rPr>
          <w:color w:val="auto"/>
          <w:highlight w:val="none"/>
        </w:rPr>
        <w:t xml:space="preserve">20.3 </w:t>
      </w:r>
      <w:r>
        <w:rPr>
          <w:rFonts w:hint="eastAsia" w:hAnsi="宋体" w:cs="黑体"/>
          <w:color w:val="auto"/>
          <w:highlight w:val="none"/>
        </w:rPr>
        <w:t>争</w:t>
      </w:r>
      <w:bookmarkEnd w:id="1754"/>
      <w:r>
        <w:rPr>
          <w:rFonts w:hint="eastAsia" w:hAnsi="宋体" w:cs="黑体"/>
          <w:color w:val="auto"/>
          <w:highlight w:val="none"/>
        </w:rPr>
        <w:t>议评审</w:t>
      </w:r>
      <w:bookmarkEnd w:id="1879"/>
      <w:bookmarkEnd w:id="1880"/>
      <w:bookmarkEnd w:id="1881"/>
      <w:bookmarkEnd w:id="1882"/>
      <w:bookmarkEnd w:id="1883"/>
      <w:bookmarkEnd w:id="1884"/>
      <w:bookmarkEnd w:id="1885"/>
      <w:bookmarkEnd w:id="1886"/>
    </w:p>
    <w:p w14:paraId="69E158A3">
      <w:pPr>
        <w:spacing w:line="360" w:lineRule="auto"/>
        <w:ind w:left="149" w:leftChars="71" w:firstLine="315" w:firstLineChars="150"/>
        <w:jc w:val="left"/>
        <w:rPr>
          <w:color w:val="auto"/>
          <w:highlight w:val="none"/>
          <w:u w:val="single"/>
        </w:rPr>
      </w:pPr>
      <w:r>
        <w:rPr>
          <w:rFonts w:hint="eastAsia" w:hAnsi="宋体" w:cs="宋体"/>
          <w:color w:val="auto"/>
          <w:highlight w:val="none"/>
        </w:rPr>
        <w:t>合同当事人是否同意将工程争议提交争议评审小组决定：</w:t>
      </w:r>
      <w:r>
        <w:rPr>
          <w:color w:val="auto"/>
          <w:highlight w:val="none"/>
          <w:u w:val="single"/>
        </w:rPr>
        <w:t xml:space="preserve">                        </w:t>
      </w:r>
      <w:r>
        <w:rPr>
          <w:rFonts w:hint="eastAsia" w:hAnsi="宋体" w:cs="宋体"/>
          <w:color w:val="auto"/>
          <w:highlight w:val="none"/>
        </w:rPr>
        <w:t>。</w:t>
      </w:r>
    </w:p>
    <w:p w14:paraId="6A8ED038">
      <w:pPr>
        <w:spacing w:line="360" w:lineRule="auto"/>
        <w:ind w:firstLine="420" w:firstLineChars="200"/>
        <w:jc w:val="left"/>
        <w:outlineLvl w:val="0"/>
        <w:rPr>
          <w:color w:val="auto"/>
          <w:highlight w:val="none"/>
        </w:rPr>
      </w:pPr>
      <w:r>
        <w:rPr>
          <w:color w:val="auto"/>
          <w:highlight w:val="none"/>
        </w:rPr>
        <w:t xml:space="preserve">20.3.1 </w:t>
      </w:r>
      <w:r>
        <w:rPr>
          <w:rFonts w:hint="eastAsia" w:hAnsi="宋体" w:cs="宋体"/>
          <w:color w:val="auto"/>
          <w:highlight w:val="none"/>
        </w:rPr>
        <w:t>争议评审小组的确定</w:t>
      </w:r>
    </w:p>
    <w:p w14:paraId="59A8682B">
      <w:pPr>
        <w:spacing w:line="360" w:lineRule="auto"/>
        <w:ind w:firstLine="420" w:firstLineChars="200"/>
        <w:jc w:val="left"/>
        <w:rPr>
          <w:color w:val="auto"/>
          <w:highlight w:val="none"/>
          <w:u w:val="single"/>
        </w:rPr>
      </w:pPr>
      <w:r>
        <w:rPr>
          <w:rFonts w:hint="eastAsia" w:hAnsi="宋体" w:cs="宋体"/>
          <w:color w:val="auto"/>
          <w:highlight w:val="none"/>
        </w:rPr>
        <w:t>争议评审小组成员的确定：</w:t>
      </w:r>
      <w:r>
        <w:rPr>
          <w:color w:val="auto"/>
          <w:highlight w:val="none"/>
          <w:u w:val="single"/>
        </w:rPr>
        <w:t xml:space="preserve">                             </w:t>
      </w:r>
      <w:r>
        <w:rPr>
          <w:rFonts w:hint="eastAsia" w:hAnsi="宋体" w:cs="宋体"/>
          <w:color w:val="auto"/>
          <w:highlight w:val="none"/>
        </w:rPr>
        <w:t>。</w:t>
      </w:r>
    </w:p>
    <w:p w14:paraId="65A847E9">
      <w:pPr>
        <w:spacing w:line="360" w:lineRule="auto"/>
        <w:ind w:firstLine="420" w:firstLineChars="200"/>
        <w:jc w:val="left"/>
        <w:rPr>
          <w:color w:val="auto"/>
          <w:highlight w:val="none"/>
        </w:rPr>
      </w:pPr>
      <w:r>
        <w:rPr>
          <w:rFonts w:hint="eastAsia" w:hAnsi="宋体" w:cs="宋体"/>
          <w:color w:val="auto"/>
          <w:highlight w:val="none"/>
        </w:rPr>
        <w:t>选定争议评审员的期限：</w:t>
      </w:r>
      <w:r>
        <w:rPr>
          <w:color w:val="auto"/>
          <w:highlight w:val="none"/>
          <w:u w:val="single"/>
        </w:rPr>
        <w:t xml:space="preserve">                               </w:t>
      </w:r>
      <w:r>
        <w:rPr>
          <w:rFonts w:hint="eastAsia" w:hAnsi="宋体" w:cs="宋体"/>
          <w:color w:val="auto"/>
          <w:highlight w:val="none"/>
        </w:rPr>
        <w:t>。</w:t>
      </w:r>
    </w:p>
    <w:p w14:paraId="7CB4665D">
      <w:pPr>
        <w:spacing w:line="360" w:lineRule="auto"/>
        <w:ind w:firstLine="420" w:firstLineChars="200"/>
        <w:jc w:val="left"/>
        <w:rPr>
          <w:color w:val="auto"/>
          <w:highlight w:val="none"/>
        </w:rPr>
      </w:pPr>
      <w:r>
        <w:rPr>
          <w:rFonts w:hint="eastAsia" w:hAnsi="宋体" w:cs="宋体"/>
          <w:color w:val="auto"/>
          <w:highlight w:val="none"/>
        </w:rPr>
        <w:t>争议评审小组成员的报酬承担方式：</w:t>
      </w:r>
      <w:r>
        <w:rPr>
          <w:color w:val="auto"/>
          <w:highlight w:val="none"/>
          <w:u w:val="single"/>
        </w:rPr>
        <w:t xml:space="preserve">                     </w:t>
      </w:r>
      <w:r>
        <w:rPr>
          <w:rFonts w:hint="eastAsia" w:hAnsi="宋体" w:cs="宋体"/>
          <w:color w:val="auto"/>
          <w:highlight w:val="none"/>
        </w:rPr>
        <w:t>。</w:t>
      </w:r>
    </w:p>
    <w:p w14:paraId="31A2C539">
      <w:pPr>
        <w:spacing w:line="360" w:lineRule="auto"/>
        <w:ind w:firstLine="420" w:firstLineChars="200"/>
        <w:jc w:val="left"/>
        <w:rPr>
          <w:color w:val="auto"/>
          <w:highlight w:val="none"/>
        </w:rPr>
      </w:pPr>
      <w:r>
        <w:rPr>
          <w:rFonts w:hint="eastAsia" w:hAnsi="宋体" w:cs="宋体"/>
          <w:color w:val="auto"/>
          <w:highlight w:val="none"/>
        </w:rPr>
        <w:t>其他事项的约定：</w:t>
      </w:r>
      <w:r>
        <w:rPr>
          <w:color w:val="auto"/>
          <w:highlight w:val="none"/>
          <w:u w:val="single"/>
        </w:rPr>
        <w:t xml:space="preserve">                                     </w:t>
      </w:r>
      <w:r>
        <w:rPr>
          <w:rFonts w:hint="eastAsia" w:hAnsi="宋体" w:cs="宋体"/>
          <w:color w:val="auto"/>
          <w:highlight w:val="none"/>
        </w:rPr>
        <w:t>。</w:t>
      </w:r>
    </w:p>
    <w:p w14:paraId="12B8AB22">
      <w:pPr>
        <w:autoSpaceDE w:val="0"/>
        <w:autoSpaceDN w:val="0"/>
        <w:adjustRightInd w:val="0"/>
        <w:spacing w:line="360" w:lineRule="auto"/>
        <w:ind w:firstLine="420" w:firstLineChars="200"/>
        <w:jc w:val="left"/>
        <w:rPr>
          <w:color w:val="auto"/>
          <w:kern w:val="0"/>
          <w:highlight w:val="none"/>
        </w:rPr>
      </w:pPr>
      <w:r>
        <w:rPr>
          <w:color w:val="auto"/>
          <w:kern w:val="0"/>
          <w:highlight w:val="none"/>
        </w:rPr>
        <w:t xml:space="preserve">20.3.2 </w:t>
      </w:r>
      <w:r>
        <w:rPr>
          <w:rFonts w:hint="eastAsia" w:hAnsi="宋体" w:cs="宋体"/>
          <w:color w:val="auto"/>
          <w:kern w:val="0"/>
          <w:highlight w:val="none"/>
        </w:rPr>
        <w:t>争议评审小组的决定</w:t>
      </w:r>
    </w:p>
    <w:p w14:paraId="6B42841B">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合同当事人关于本项的约定：</w:t>
      </w:r>
      <w:r>
        <w:rPr>
          <w:color w:val="auto"/>
          <w:highlight w:val="none"/>
          <w:u w:val="single"/>
        </w:rPr>
        <w:t xml:space="preserve">                           </w:t>
      </w:r>
      <w:r>
        <w:rPr>
          <w:rFonts w:hint="eastAsia" w:hAnsi="宋体" w:cs="宋体"/>
          <w:color w:val="auto"/>
          <w:highlight w:val="none"/>
        </w:rPr>
        <w:t>。</w:t>
      </w:r>
    </w:p>
    <w:p w14:paraId="5E4824E4">
      <w:pPr>
        <w:spacing w:line="360" w:lineRule="auto"/>
        <w:ind w:firstLine="420" w:firstLineChars="200"/>
        <w:jc w:val="left"/>
        <w:rPr>
          <w:rFonts w:hint="eastAsia" w:hAnsi="宋体" w:cs="宋体"/>
          <w:color w:val="auto"/>
          <w:highlight w:val="none"/>
        </w:rPr>
      </w:pPr>
      <w:bookmarkStart w:id="1887" w:name="_Toc1456517022"/>
      <w:bookmarkStart w:id="1888" w:name="_Toc373227778"/>
      <w:bookmarkStart w:id="1889" w:name="_Toc389065343"/>
      <w:bookmarkStart w:id="1890" w:name="_Toc407135281"/>
      <w:bookmarkStart w:id="1891" w:name="_Toc78449867"/>
      <w:bookmarkStart w:id="1892" w:name="_Toc373478425"/>
      <w:r>
        <w:rPr>
          <w:rFonts w:hint="eastAsia" w:hAnsi="宋体" w:cs="宋体"/>
          <w:color w:val="auto"/>
          <w:highlight w:val="none"/>
        </w:rPr>
        <w:t>20.3.4 争议评审小组决定的效力</w:t>
      </w:r>
    </w:p>
    <w:p w14:paraId="68A76FCC">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合同当事人未签字确认争议评审小组作出的书面决定的，对双方无约束力，但双方在争议评审期间提交的证明材料、认可的事实可作为后续仲裁或诉讼的证据使用。</w:t>
      </w:r>
    </w:p>
    <w:p w14:paraId="09D3364A">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7E0E7D16">
      <w:pPr>
        <w:pStyle w:val="5"/>
        <w:rPr>
          <w:color w:val="auto"/>
          <w:highlight w:val="none"/>
        </w:rPr>
      </w:pPr>
      <w:bookmarkStart w:id="1893" w:name="_Toc31980"/>
      <w:bookmarkStart w:id="1894" w:name="_Toc18668"/>
      <w:r>
        <w:rPr>
          <w:color w:val="auto"/>
          <w:highlight w:val="none"/>
        </w:rPr>
        <w:t xml:space="preserve">20.4 </w:t>
      </w:r>
      <w:r>
        <w:rPr>
          <w:rFonts w:hint="eastAsia" w:hAnsi="宋体" w:cs="黑体"/>
          <w:color w:val="auto"/>
          <w:highlight w:val="none"/>
        </w:rPr>
        <w:t>仲裁或诉讼</w:t>
      </w:r>
      <w:bookmarkEnd w:id="1755"/>
      <w:bookmarkEnd w:id="1887"/>
      <w:bookmarkEnd w:id="1888"/>
      <w:bookmarkEnd w:id="1889"/>
      <w:bookmarkEnd w:id="1890"/>
      <w:bookmarkEnd w:id="1891"/>
      <w:bookmarkEnd w:id="1892"/>
      <w:bookmarkEnd w:id="1893"/>
      <w:bookmarkEnd w:id="1894"/>
    </w:p>
    <w:p w14:paraId="27907C87">
      <w:pPr>
        <w:spacing w:line="360" w:lineRule="auto"/>
        <w:ind w:firstLine="420" w:firstLineChars="200"/>
        <w:rPr>
          <w:color w:val="auto"/>
          <w:highlight w:val="none"/>
        </w:rPr>
      </w:pPr>
      <w:r>
        <w:rPr>
          <w:rFonts w:hint="eastAsia" w:hAnsi="宋体" w:cs="宋体"/>
          <w:color w:val="auto"/>
          <w:highlight w:val="none"/>
        </w:rPr>
        <w:t>因合同及合同有关事项发生的争议，</w:t>
      </w:r>
      <w:r>
        <w:rPr>
          <w:rFonts w:hint="eastAsia" w:hAnsi="宋体" w:cs="宋体"/>
          <w:color w:val="auto"/>
          <w:highlight w:val="none"/>
          <w:lang w:eastAsia="zh-CN"/>
        </w:rPr>
        <w:t>☑</w:t>
      </w:r>
      <w:r>
        <w:rPr>
          <w:rFonts w:hint="eastAsia" w:hAnsi="宋体" w:cs="宋体"/>
          <w:color w:val="auto"/>
          <w:highlight w:val="none"/>
        </w:rPr>
        <w:t>是 □否 同意先进行调解或争议评审，未达成一致后，按下列第</w:t>
      </w:r>
      <w:r>
        <w:rPr>
          <w:rFonts w:hint="eastAsia" w:hAnsi="宋体" w:cs="宋体"/>
          <w:color w:val="auto"/>
          <w:highlight w:val="none"/>
          <w:u w:val="single"/>
        </w:rPr>
        <w:t xml:space="preserve">  </w:t>
      </w:r>
      <w:r>
        <w:rPr>
          <w:rFonts w:hint="eastAsia" w:hAnsi="宋体" w:cs="宋体"/>
          <w:color w:val="auto"/>
          <w:highlight w:val="none"/>
          <w:u w:val="single"/>
          <w:lang w:val="en-US" w:eastAsia="zh-CN"/>
        </w:rPr>
        <w:t>2</w:t>
      </w:r>
      <w:r>
        <w:rPr>
          <w:rFonts w:hint="eastAsia" w:hAnsi="宋体" w:cs="宋体"/>
          <w:color w:val="auto"/>
          <w:highlight w:val="none"/>
          <w:u w:val="single"/>
        </w:rPr>
        <w:t xml:space="preserve">  </w:t>
      </w:r>
      <w:r>
        <w:rPr>
          <w:rFonts w:hint="eastAsia" w:hAnsi="宋体" w:cs="宋体"/>
          <w:color w:val="auto"/>
          <w:highlight w:val="none"/>
        </w:rPr>
        <w:t>种方式解决：</w:t>
      </w:r>
    </w:p>
    <w:p w14:paraId="6BDE2390">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（1）向</w:t>
      </w:r>
      <w:r>
        <w:rPr>
          <w:rFonts w:hint="eastAsia" w:hAnsi="宋体" w:cs="宋体"/>
          <w:color w:val="auto"/>
          <w:highlight w:val="none"/>
          <w:u w:val="single"/>
        </w:rPr>
        <w:t xml:space="preserve">     </w:t>
      </w:r>
      <w:r>
        <w:rPr>
          <w:rFonts w:hint="eastAsia" w:ascii="宋体" w:hAnsi="宋体"/>
          <w:color w:val="auto"/>
          <w:spacing w:val="-2"/>
          <w:kern w:val="0"/>
          <w:szCs w:val="21"/>
          <w:u w:val="single" w:color="000000"/>
        </w:rPr>
        <w:t>项目所在地</w:t>
      </w:r>
      <w:r>
        <w:rPr>
          <w:rFonts w:hint="eastAsia" w:hAnsi="宋体" w:cs="宋体"/>
          <w:color w:val="auto"/>
          <w:highlight w:val="none"/>
          <w:u w:val="single"/>
        </w:rPr>
        <w:t xml:space="preserve">  </w:t>
      </w:r>
      <w:r>
        <w:rPr>
          <w:rFonts w:hint="eastAsia" w:hAnsi="宋体" w:cs="宋体"/>
          <w:color w:val="auto"/>
          <w:highlight w:val="none"/>
        </w:rPr>
        <w:t>仲裁委员会申请仲裁；</w:t>
      </w:r>
    </w:p>
    <w:p w14:paraId="6CF34888">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1）对于未能友好协商，或未能通过调解或争议评审解决的争议，发包人或承包人任一方均有权提交给约定的仲裁委员会仲裁。</w:t>
      </w:r>
    </w:p>
    <w:p w14:paraId="1153F90F">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2）仲裁可在工程竣工验收之前或之后进行，但发包人、监理人和承包人各自的义务不得因在工程实施期间进行仲裁而有所改变。如果仲裁是在终止合同的情况下进行， 则对合同工程应采取保护措施，措施费由败诉方承担。</w:t>
      </w:r>
    </w:p>
    <w:p w14:paraId="1E4DA44A">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3）仲裁裁决是终局性的并对发包人和承包人双方具有约束力。</w:t>
      </w:r>
    </w:p>
    <w:p w14:paraId="5B770A93">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4）全部仲裁费用应由败诉方承担；或按仲裁委员会裁决的比例分担。</w:t>
      </w:r>
    </w:p>
    <w:p w14:paraId="6FA279F0">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）向</w:t>
      </w:r>
      <w:r>
        <w:rPr>
          <w:color w:val="auto"/>
          <w:highlight w:val="none"/>
          <w:u w:val="single"/>
        </w:rPr>
        <w:t xml:space="preserve">     </w:t>
      </w:r>
      <w:r>
        <w:rPr>
          <w:rFonts w:hint="eastAsia" w:ascii="宋体" w:hAnsi="宋体"/>
          <w:color w:val="auto"/>
          <w:spacing w:val="-2"/>
          <w:kern w:val="0"/>
          <w:szCs w:val="21"/>
          <w:u w:val="single" w:color="000000"/>
        </w:rPr>
        <w:t>项目所在地</w:t>
      </w:r>
      <w:r>
        <w:rPr>
          <w:color w:val="auto"/>
          <w:highlight w:val="none"/>
          <w:u w:val="single"/>
        </w:rPr>
        <w:t xml:space="preserve">    </w:t>
      </w:r>
      <w:r>
        <w:rPr>
          <w:rFonts w:hint="eastAsia" w:hAnsi="宋体" w:cs="宋体"/>
          <w:color w:val="auto"/>
          <w:highlight w:val="none"/>
        </w:rPr>
        <w:t>人民法院起诉。</w:t>
      </w:r>
      <w:bookmarkEnd w:id="1756"/>
      <w:bookmarkEnd w:id="1757"/>
      <w:bookmarkEnd w:id="1758"/>
      <w:bookmarkEnd w:id="1759"/>
      <w:bookmarkEnd w:id="1760"/>
      <w:bookmarkEnd w:id="1761"/>
    </w:p>
    <w:p w14:paraId="156A6295">
      <w:pPr>
        <w:spacing w:line="360" w:lineRule="auto"/>
        <w:ind w:firstLine="420" w:firstLineChars="200"/>
        <w:jc w:val="left"/>
        <w:rPr>
          <w:rFonts w:hint="eastAsia" w:hAnsi="宋体" w:cs="宋体"/>
          <w:color w:val="auto"/>
          <w:highlight w:val="none"/>
        </w:rPr>
      </w:pPr>
    </w:p>
    <w:p w14:paraId="1F32FED3">
      <w:pPr>
        <w:spacing w:line="360" w:lineRule="auto"/>
        <w:ind w:firstLine="420" w:firstLineChars="200"/>
        <w:jc w:val="left"/>
        <w:rPr>
          <w:rFonts w:hint="eastAsia" w:hAnsi="宋体" w:cs="宋体"/>
          <w:color w:val="auto"/>
          <w:highlight w:val="none"/>
        </w:rPr>
      </w:pPr>
    </w:p>
    <w:p w14:paraId="23AB858F">
      <w:pPr>
        <w:spacing w:line="360" w:lineRule="auto"/>
        <w:ind w:firstLine="420" w:firstLineChars="200"/>
        <w:jc w:val="left"/>
        <w:rPr>
          <w:rFonts w:hint="eastAsia" w:hAnsi="宋体" w:cs="宋体"/>
          <w:color w:val="auto"/>
          <w:highlight w:val="none"/>
        </w:rPr>
      </w:pPr>
    </w:p>
    <w:p w14:paraId="6FCB0FAA">
      <w:pPr>
        <w:spacing w:line="360" w:lineRule="auto"/>
        <w:ind w:firstLine="420" w:firstLineChars="200"/>
        <w:jc w:val="left"/>
        <w:rPr>
          <w:rFonts w:hint="eastAsia" w:hAnsi="宋体" w:cs="宋体"/>
          <w:color w:val="auto"/>
          <w:highlight w:val="none"/>
        </w:rPr>
      </w:pPr>
    </w:p>
    <w:p w14:paraId="42577A4B">
      <w:pPr>
        <w:spacing w:line="360" w:lineRule="auto"/>
        <w:ind w:firstLine="420" w:firstLineChars="200"/>
        <w:jc w:val="left"/>
        <w:rPr>
          <w:rFonts w:hint="eastAsia" w:hAnsi="宋体" w:cs="宋体"/>
          <w:color w:val="auto"/>
          <w:highlight w:val="none"/>
        </w:rPr>
      </w:pPr>
    </w:p>
    <w:p w14:paraId="51BEA068">
      <w:pPr>
        <w:spacing w:line="360" w:lineRule="auto"/>
        <w:ind w:firstLine="420" w:firstLineChars="200"/>
        <w:jc w:val="left"/>
        <w:rPr>
          <w:rFonts w:hint="eastAsia" w:hAnsi="宋体" w:cs="宋体"/>
          <w:color w:val="auto"/>
          <w:highlight w:val="none"/>
        </w:rPr>
      </w:pPr>
    </w:p>
    <w:p w14:paraId="75ACB810">
      <w:pPr>
        <w:spacing w:line="360" w:lineRule="auto"/>
        <w:jc w:val="left"/>
        <w:rPr>
          <w:rFonts w:eastAsia="黑体"/>
          <w:b/>
          <w:bCs/>
          <w:color w:val="auto"/>
          <w:sz w:val="28"/>
          <w:szCs w:val="28"/>
          <w:highlight w:val="none"/>
        </w:rPr>
      </w:pPr>
      <w:bookmarkStart w:id="1895" w:name="_Toc351203652"/>
      <w:r>
        <w:rPr>
          <w:rFonts w:hint="eastAsia" w:eastAsia="黑体" w:cs="黑体"/>
          <w:b/>
          <w:bCs/>
          <w:color w:val="auto"/>
          <w:sz w:val="28"/>
          <w:szCs w:val="28"/>
          <w:highlight w:val="none"/>
        </w:rPr>
        <w:t>附件</w:t>
      </w:r>
      <w:bookmarkEnd w:id="1895"/>
    </w:p>
    <w:p w14:paraId="4BB7F25B">
      <w:pPr>
        <w:spacing w:line="360" w:lineRule="auto"/>
        <w:jc w:val="left"/>
        <w:rPr>
          <w:rFonts w:hint="eastAsia" w:ascii="宋体" w:hAnsi="宋体" w:cs="宋体"/>
          <w:color w:val="auto"/>
          <w:highlight w:val="none"/>
        </w:rPr>
      </w:pPr>
      <w:r>
        <w:rPr>
          <w:rFonts w:hint="eastAsia" w:ascii="宋体" w:hAnsi="宋体" w:cs="宋体"/>
          <w:color w:val="auto"/>
          <w:highlight w:val="none"/>
        </w:rPr>
        <w:t>附件</w:t>
      </w:r>
      <w:r>
        <w:rPr>
          <w:rFonts w:ascii="宋体" w:hAnsi="宋体" w:cs="宋体"/>
          <w:color w:val="auto"/>
          <w:highlight w:val="none"/>
        </w:rPr>
        <w:t>1</w:t>
      </w:r>
      <w:r>
        <w:rPr>
          <w:rFonts w:hint="eastAsia" w:ascii="宋体" w:hAnsi="宋体" w:cs="宋体"/>
          <w:color w:val="auto"/>
          <w:highlight w:val="none"/>
        </w:rPr>
        <w:t>：承包人承揽工程项目一览表</w:t>
      </w:r>
    </w:p>
    <w:p w14:paraId="05D6C7AB">
      <w:pPr>
        <w:spacing w:line="360" w:lineRule="auto"/>
        <w:jc w:val="left"/>
        <w:rPr>
          <w:rFonts w:ascii="宋体" w:hAnsi="宋体" w:cs="宋体"/>
          <w:color w:val="auto"/>
          <w:highlight w:val="none"/>
        </w:rPr>
      </w:pPr>
      <w:r>
        <w:rPr>
          <w:rFonts w:hint="eastAsia" w:ascii="宋体" w:hAnsi="宋体" w:cs="宋体"/>
          <w:color w:val="auto"/>
          <w:highlight w:val="none"/>
        </w:rPr>
        <w:t>附件2：工程质量保修书</w:t>
      </w:r>
    </w:p>
    <w:p w14:paraId="1037B974">
      <w:pPr>
        <w:spacing w:line="360" w:lineRule="auto"/>
        <w:jc w:val="left"/>
        <w:rPr>
          <w:rFonts w:hint="eastAsia" w:ascii="宋体" w:hAnsi="宋体" w:cs="宋体"/>
          <w:color w:val="auto"/>
          <w:highlight w:val="none"/>
        </w:rPr>
      </w:pPr>
      <w:r>
        <w:rPr>
          <w:rFonts w:ascii="宋体" w:hAnsi="宋体" w:cs="宋体"/>
          <w:color w:val="auto"/>
          <w:highlight w:val="none"/>
        </w:rPr>
        <w:t>附件</w:t>
      </w:r>
      <w:r>
        <w:rPr>
          <w:rFonts w:hint="eastAsia" w:ascii="宋体" w:hAnsi="宋体" w:cs="宋体"/>
          <w:color w:val="auto"/>
          <w:highlight w:val="none"/>
        </w:rPr>
        <w:t>3</w:t>
      </w:r>
      <w:r>
        <w:rPr>
          <w:rFonts w:ascii="宋体" w:hAnsi="宋体" w:cs="宋体"/>
          <w:color w:val="auto"/>
          <w:highlight w:val="none"/>
        </w:rPr>
        <w:t>：主要建设工程文件目录</w:t>
      </w:r>
    </w:p>
    <w:p w14:paraId="59139F9D">
      <w:pPr>
        <w:spacing w:line="360" w:lineRule="auto"/>
        <w:jc w:val="left"/>
        <w:rPr>
          <w:rFonts w:ascii="宋体" w:hAnsi="宋体" w:cs="宋体"/>
          <w:color w:val="auto"/>
          <w:highlight w:val="none"/>
        </w:rPr>
      </w:pPr>
      <w:r>
        <w:rPr>
          <w:rFonts w:hint="eastAsia" w:ascii="宋体" w:hAnsi="宋体" w:cs="宋体"/>
          <w:color w:val="auto"/>
          <w:highlight w:val="none"/>
        </w:rPr>
        <w:t>附件4：承包人用于本工程施工的机械设备表</w:t>
      </w:r>
    </w:p>
    <w:p w14:paraId="1CD79B40">
      <w:pPr>
        <w:spacing w:line="360" w:lineRule="auto"/>
        <w:jc w:val="left"/>
        <w:rPr>
          <w:rFonts w:ascii="宋体"/>
          <w:color w:val="auto"/>
          <w:highlight w:val="none"/>
        </w:rPr>
      </w:pPr>
      <w:r>
        <w:rPr>
          <w:rFonts w:hint="eastAsia" w:ascii="宋体" w:hAnsi="宋体" w:cs="宋体"/>
          <w:color w:val="auto"/>
          <w:highlight w:val="none"/>
        </w:rPr>
        <w:t>附件5：承包人主要施工管理人员表</w:t>
      </w:r>
    </w:p>
    <w:p w14:paraId="1F44E7E8">
      <w:pPr>
        <w:spacing w:line="360" w:lineRule="auto"/>
        <w:jc w:val="left"/>
        <w:rPr>
          <w:rFonts w:ascii="宋体"/>
          <w:color w:val="auto"/>
          <w:highlight w:val="none"/>
        </w:rPr>
      </w:pPr>
      <w:r>
        <w:rPr>
          <w:rFonts w:hint="eastAsia" w:ascii="宋体" w:hAnsi="宋体" w:cs="宋体"/>
          <w:color w:val="auto"/>
          <w:highlight w:val="none"/>
        </w:rPr>
        <w:t>附件6：分包人主要施工管理人员表</w:t>
      </w:r>
    </w:p>
    <w:p w14:paraId="3D6D7D67">
      <w:pPr>
        <w:spacing w:line="360" w:lineRule="auto"/>
        <w:jc w:val="left"/>
        <w:rPr>
          <w:rFonts w:ascii="宋体"/>
          <w:color w:val="auto"/>
          <w:highlight w:val="none"/>
        </w:rPr>
      </w:pPr>
      <w:r>
        <w:rPr>
          <w:rFonts w:hint="eastAsia" w:ascii="宋体" w:hAnsi="宋体" w:cs="宋体"/>
          <w:color w:val="auto"/>
          <w:highlight w:val="none"/>
        </w:rPr>
        <w:t>附件7：履约担保格式（独立保函、非独立保函）</w:t>
      </w:r>
    </w:p>
    <w:p w14:paraId="121918F1">
      <w:pPr>
        <w:spacing w:line="360" w:lineRule="auto"/>
        <w:jc w:val="left"/>
        <w:rPr>
          <w:rFonts w:hint="eastAsia" w:ascii="宋体" w:hAnsi="宋体" w:cs="宋体"/>
          <w:color w:val="auto"/>
          <w:highlight w:val="none"/>
        </w:rPr>
      </w:pPr>
      <w:r>
        <w:rPr>
          <w:rFonts w:hint="eastAsia" w:ascii="宋体" w:hAnsi="宋体" w:cs="宋体"/>
          <w:color w:val="auto"/>
          <w:highlight w:val="none"/>
        </w:rPr>
        <w:t>附件8：预付款担保格式（独立保函、非独立保函）</w:t>
      </w:r>
    </w:p>
    <w:p w14:paraId="7AC132D4">
      <w:pPr>
        <w:spacing w:line="360" w:lineRule="auto"/>
        <w:jc w:val="left"/>
        <w:rPr>
          <w:rFonts w:ascii="宋体" w:hAnsi="宋体" w:cs="宋体"/>
          <w:color w:val="auto"/>
          <w:highlight w:val="none"/>
        </w:rPr>
      </w:pPr>
      <w:r>
        <w:rPr>
          <w:rFonts w:hint="eastAsia" w:ascii="宋体" w:hAnsi="宋体" w:cs="宋体"/>
          <w:color w:val="auto"/>
          <w:highlight w:val="none"/>
        </w:rPr>
        <w:t>附件9：支付担保格式（独立保函、非独立保函）</w:t>
      </w:r>
    </w:p>
    <w:p w14:paraId="09BB7765">
      <w:pPr>
        <w:spacing w:line="360" w:lineRule="auto"/>
        <w:jc w:val="left"/>
        <w:rPr>
          <w:rFonts w:hint="eastAsia"/>
          <w:color w:val="auto"/>
          <w:highlight w:val="none"/>
        </w:rPr>
      </w:pPr>
      <w:r>
        <w:rPr>
          <w:rFonts w:hint="eastAsia" w:ascii="宋体" w:hAnsi="宋体" w:cs="宋体"/>
          <w:color w:val="auto"/>
          <w:highlight w:val="none"/>
        </w:rPr>
        <w:t>附件10：预付款</w:t>
      </w:r>
      <w:r>
        <w:rPr>
          <w:rFonts w:hint="eastAsia"/>
          <w:color w:val="auto"/>
          <w:highlight w:val="none"/>
        </w:rPr>
        <w:t>支付申请（核准）表</w:t>
      </w:r>
    </w:p>
    <w:p w14:paraId="4E7D5B39">
      <w:pPr>
        <w:spacing w:line="360" w:lineRule="auto"/>
        <w:jc w:val="left"/>
        <w:rPr>
          <w:rFonts w:hint="eastAsia"/>
          <w:color w:val="auto"/>
          <w:highlight w:val="none"/>
        </w:rPr>
      </w:pPr>
      <w:r>
        <w:rPr>
          <w:rFonts w:hint="eastAsia" w:ascii="宋体" w:hAnsi="宋体" w:cs="宋体"/>
          <w:color w:val="auto"/>
          <w:highlight w:val="none"/>
        </w:rPr>
        <w:t>附件11：</w:t>
      </w:r>
      <w:r>
        <w:rPr>
          <w:rFonts w:hint="eastAsia"/>
          <w:color w:val="auto"/>
          <w:highlight w:val="none"/>
        </w:rPr>
        <w:t>进度款支付申请（核准）表</w:t>
      </w:r>
    </w:p>
    <w:p w14:paraId="5F6596C6">
      <w:pPr>
        <w:spacing w:line="360" w:lineRule="auto"/>
        <w:jc w:val="left"/>
        <w:rPr>
          <w:rFonts w:hint="eastAsia"/>
          <w:color w:val="auto"/>
          <w:highlight w:val="none"/>
        </w:rPr>
      </w:pPr>
      <w:r>
        <w:rPr>
          <w:rFonts w:hint="eastAsia" w:ascii="宋体" w:hAnsi="宋体" w:cs="宋体"/>
          <w:color w:val="auto"/>
          <w:highlight w:val="none"/>
        </w:rPr>
        <w:t>附件12：竣工</w:t>
      </w:r>
      <w:r>
        <w:rPr>
          <w:rFonts w:hint="eastAsia" w:ascii="宋体" w:hAnsi="宋体" w:cs="宋体"/>
          <w:color w:val="auto"/>
          <w:highlight w:val="none"/>
          <w:lang w:eastAsia="zh-CN"/>
        </w:rPr>
        <w:t>（施工过程）</w:t>
      </w:r>
      <w:r>
        <w:rPr>
          <w:rFonts w:hint="eastAsia" w:ascii="宋体" w:hAnsi="宋体" w:cs="宋体"/>
          <w:color w:val="auto"/>
          <w:highlight w:val="none"/>
        </w:rPr>
        <w:t>结算</w:t>
      </w:r>
      <w:r>
        <w:rPr>
          <w:rFonts w:hint="eastAsia"/>
          <w:color w:val="auto"/>
          <w:highlight w:val="none"/>
        </w:rPr>
        <w:t>款支付申请（核准）表</w:t>
      </w:r>
    </w:p>
    <w:p w14:paraId="67ED5ADB">
      <w:pPr>
        <w:spacing w:line="360" w:lineRule="auto"/>
        <w:jc w:val="left"/>
        <w:rPr>
          <w:rFonts w:hint="eastAsia"/>
          <w:color w:val="auto"/>
          <w:highlight w:val="none"/>
        </w:rPr>
      </w:pPr>
      <w:r>
        <w:rPr>
          <w:rFonts w:hint="eastAsia" w:ascii="宋体" w:hAnsi="宋体" w:cs="宋体"/>
          <w:color w:val="auto"/>
          <w:highlight w:val="none"/>
        </w:rPr>
        <w:t>附件13：工程保修与结清结算支付申请（核准）表</w:t>
      </w:r>
    </w:p>
    <w:p w14:paraId="5D9E219D">
      <w:pPr>
        <w:spacing w:line="360" w:lineRule="auto"/>
        <w:jc w:val="left"/>
        <w:rPr>
          <w:rFonts w:hint="eastAsia"/>
          <w:color w:val="auto"/>
          <w:highlight w:val="none"/>
        </w:rPr>
      </w:pPr>
      <w:r>
        <w:rPr>
          <w:rFonts w:hint="eastAsia"/>
          <w:color w:val="auto"/>
          <w:highlight w:val="none"/>
        </w:rPr>
        <w:t>附件14：总价合同进度款支付分解表</w:t>
      </w:r>
    </w:p>
    <w:p w14:paraId="7BD77508">
      <w:pPr>
        <w:spacing w:line="360" w:lineRule="auto"/>
        <w:jc w:val="left"/>
        <w:rPr>
          <w:rFonts w:hint="eastAsia"/>
          <w:color w:val="auto"/>
          <w:highlight w:val="none"/>
          <w:lang w:eastAsia="zh-CN"/>
        </w:rPr>
      </w:pPr>
      <w:r>
        <w:rPr>
          <w:rFonts w:hint="eastAsia"/>
          <w:color w:val="auto"/>
          <w:highlight w:val="none"/>
        </w:rPr>
        <w:t>附件15</w:t>
      </w:r>
      <w:r>
        <w:rPr>
          <w:rFonts w:hint="eastAsia"/>
          <w:color w:val="auto"/>
          <w:highlight w:val="none"/>
          <w:lang w:eastAsia="zh-CN"/>
        </w:rPr>
        <w:t>：措施项目费用分拆表</w:t>
      </w:r>
    </w:p>
    <w:p w14:paraId="1FF87588">
      <w:pPr>
        <w:spacing w:line="360" w:lineRule="auto"/>
        <w:jc w:val="left"/>
        <w:rPr>
          <w:rFonts w:hint="eastAsia"/>
          <w:color w:val="auto"/>
          <w:highlight w:val="none"/>
        </w:rPr>
      </w:pPr>
      <w:r>
        <w:rPr>
          <w:rFonts w:hint="eastAsia"/>
          <w:color w:val="auto"/>
          <w:highlight w:val="none"/>
          <w:lang w:eastAsia="zh-CN"/>
        </w:rPr>
        <w:t>附件</w:t>
      </w:r>
      <w:r>
        <w:rPr>
          <w:rFonts w:hint="eastAsia"/>
          <w:color w:val="auto"/>
          <w:highlight w:val="none"/>
          <w:lang w:val="en-US" w:eastAsia="zh-CN"/>
        </w:rPr>
        <w:t>16：零星签证费用确认单</w:t>
      </w:r>
    </w:p>
    <w:p w14:paraId="29B59C7D">
      <w:pPr>
        <w:pBdr>
          <w:top w:val="none" w:color="auto" w:sz="0" w:space="0"/>
          <w:left w:val="none" w:color="auto" w:sz="0" w:space="0"/>
          <w:right w:val="none" w:color="auto" w:sz="0" w:space="0"/>
          <w:between w:val="none" w:color="auto" w:sz="0" w:space="0"/>
        </w:pBdr>
        <w:spacing w:line="360" w:lineRule="auto"/>
        <w:jc w:val="left"/>
        <w:rPr>
          <w:rFonts w:hint="eastAsia" w:eastAsia="宋体"/>
          <w:color w:val="auto"/>
          <w:sz w:val="21"/>
          <w:szCs w:val="21"/>
          <w:highlight w:val="none"/>
          <w:lang w:val="en-US" w:eastAsia="zh-CN"/>
        </w:rPr>
      </w:pPr>
      <w:r>
        <w:rPr>
          <w:rFonts w:hint="eastAsia"/>
          <w:color w:val="auto"/>
          <w:sz w:val="21"/>
          <w:szCs w:val="21"/>
          <w:highlight w:val="none"/>
          <w:lang w:eastAsia="zh-CN"/>
        </w:rPr>
        <w:t>附件</w:t>
      </w:r>
      <w:r>
        <w:rPr>
          <w:rFonts w:hint="eastAsia"/>
          <w:color w:val="auto"/>
          <w:sz w:val="21"/>
          <w:szCs w:val="21"/>
          <w:highlight w:val="none"/>
          <w:lang w:val="en-US" w:eastAsia="zh-CN"/>
        </w:rPr>
        <w:t>17：索赔费用申请（核准）表</w:t>
      </w:r>
    </w:p>
    <w:p w14:paraId="02E60BBD">
      <w:pPr>
        <w:pBdr>
          <w:top w:val="none" w:color="auto" w:sz="0" w:space="0"/>
          <w:left w:val="none" w:color="auto" w:sz="0" w:space="0"/>
          <w:right w:val="none" w:color="auto" w:sz="0" w:space="0"/>
          <w:between w:val="none" w:color="auto" w:sz="0" w:space="0"/>
        </w:pBdr>
        <w:spacing w:line="360" w:lineRule="auto"/>
        <w:rPr>
          <w:rFonts w:hint="eastAsia"/>
          <w:color w:val="auto"/>
          <w:sz w:val="21"/>
          <w:szCs w:val="21"/>
          <w:highlight w:val="none"/>
          <w:lang w:val="en-US" w:eastAsia="zh-CN"/>
        </w:rPr>
      </w:pPr>
      <w:r>
        <w:rPr>
          <w:rFonts w:hint="eastAsia"/>
          <w:color w:val="auto"/>
          <w:sz w:val="21"/>
          <w:szCs w:val="21"/>
          <w:highlight w:val="none"/>
          <w:lang w:eastAsia="zh-CN"/>
        </w:rPr>
        <w:t>附件</w:t>
      </w:r>
      <w:r>
        <w:rPr>
          <w:rFonts w:hint="eastAsia"/>
          <w:color w:val="auto"/>
          <w:sz w:val="21"/>
          <w:szCs w:val="21"/>
          <w:highlight w:val="none"/>
          <w:lang w:val="en-US" w:eastAsia="zh-CN"/>
        </w:rPr>
        <w:t>18：安全生产费支付申请（核准）表</w:t>
      </w:r>
    </w:p>
    <w:p w14:paraId="6A2F4F9A">
      <w:pPr>
        <w:pBdr>
          <w:top w:val="none" w:color="auto" w:sz="0" w:space="0"/>
          <w:left w:val="none" w:color="auto" w:sz="0" w:space="0"/>
          <w:right w:val="none" w:color="auto" w:sz="0" w:space="0"/>
          <w:between w:val="none" w:color="auto" w:sz="0" w:space="0"/>
        </w:pBdr>
        <w:tabs>
          <w:tab w:val="center" w:pos="4153"/>
          <w:tab w:val="right" w:pos="8306"/>
        </w:tabs>
        <w:spacing w:line="360" w:lineRule="auto"/>
        <w:rPr>
          <w:rFonts w:hint="eastAsia"/>
          <w:color w:val="auto"/>
          <w:sz w:val="21"/>
          <w:szCs w:val="21"/>
          <w:highlight w:val="none"/>
          <w:lang w:val="en-US" w:eastAsia="zh-CN"/>
        </w:rPr>
      </w:pPr>
      <w:r>
        <w:rPr>
          <w:rFonts w:hint="eastAsia"/>
          <w:color w:val="auto"/>
          <w:sz w:val="21"/>
          <w:szCs w:val="21"/>
          <w:highlight w:val="none"/>
          <w:lang w:eastAsia="zh-CN"/>
        </w:rPr>
        <w:t>附件</w:t>
      </w:r>
      <w:r>
        <w:rPr>
          <w:rFonts w:hint="eastAsia"/>
          <w:color w:val="auto"/>
          <w:sz w:val="21"/>
          <w:szCs w:val="21"/>
          <w:highlight w:val="none"/>
          <w:lang w:val="en-US" w:eastAsia="zh-CN"/>
        </w:rPr>
        <w:t>19：发包人提供材料一览表</w:t>
      </w:r>
    </w:p>
    <w:p w14:paraId="6B4B760B">
      <w:pPr>
        <w:pBdr>
          <w:top w:val="none" w:color="auto" w:sz="0" w:space="0"/>
          <w:left w:val="none" w:color="auto" w:sz="0" w:space="0"/>
          <w:right w:val="none" w:color="auto" w:sz="0" w:space="0"/>
          <w:between w:val="none" w:color="auto" w:sz="0" w:space="0"/>
        </w:pBdr>
        <w:tabs>
          <w:tab w:val="center" w:pos="4153"/>
          <w:tab w:val="right" w:pos="8306"/>
        </w:tabs>
        <w:spacing w:line="360" w:lineRule="auto"/>
        <w:rPr>
          <w:rFonts w:hint="eastAsia"/>
          <w:color w:val="auto"/>
          <w:highlight w:val="none"/>
        </w:rPr>
        <w:sectPr>
          <w:pgSz w:w="11907" w:h="16840"/>
          <w:pgMar w:top="1440" w:right="1440" w:bottom="1797" w:left="1440" w:header="851" w:footer="850" w:gutter="0"/>
          <w:cols w:space="0" w:num="1"/>
          <w:rtlGutter w:val="0"/>
          <w:docGrid w:linePitch="312" w:charSpace="0"/>
        </w:sectPr>
      </w:pPr>
      <w:r>
        <w:rPr>
          <w:rFonts w:hint="eastAsia"/>
          <w:color w:val="auto"/>
          <w:sz w:val="21"/>
          <w:szCs w:val="21"/>
          <w:highlight w:val="none"/>
          <w:lang w:eastAsia="zh-CN"/>
        </w:rPr>
        <w:t>附件</w:t>
      </w:r>
      <w:r>
        <w:rPr>
          <w:rFonts w:hint="eastAsia"/>
          <w:color w:val="auto"/>
          <w:sz w:val="21"/>
          <w:szCs w:val="21"/>
          <w:highlight w:val="none"/>
          <w:lang w:val="en-US" w:eastAsia="zh-CN"/>
        </w:rPr>
        <w:t>20：允许调整价格的主要材料一览表</w:t>
      </w:r>
    </w:p>
    <w:p w14:paraId="5C92D9D3">
      <w:pPr>
        <w:pStyle w:val="28"/>
        <w:pBdr>
          <w:top w:val="none" w:color="auto" w:sz="0" w:space="0"/>
          <w:left w:val="none" w:color="auto" w:sz="0" w:space="0"/>
          <w:bottom w:val="none" w:color="auto" w:sz="0" w:space="1"/>
          <w:right w:val="none" w:color="auto" w:sz="0" w:space="0"/>
          <w:between w:val="none" w:color="auto" w:sz="0" w:space="0"/>
        </w:pBdr>
        <w:rPr>
          <w:rFonts w:hint="eastAsia"/>
          <w:color w:val="auto"/>
          <w:highlight w:val="none"/>
        </w:rPr>
      </w:pPr>
    </w:p>
    <w:p w14:paraId="3764781D">
      <w:pPr>
        <w:spacing w:before="120" w:beforeLines="50" w:after="120" w:afterLines="50" w:line="440" w:lineRule="exact"/>
        <w:jc w:val="left"/>
        <w:rPr>
          <w:rFonts w:hint="eastAsia" w:ascii="仿宋_GB2312" w:eastAsia="仿宋_GB2312" w:cs="仿宋_GB2312"/>
          <w:color w:val="auto"/>
          <w:sz w:val="30"/>
          <w:szCs w:val="30"/>
          <w:highlight w:val="none"/>
        </w:rPr>
      </w:pPr>
      <w:r>
        <w:rPr>
          <w:rFonts w:hint="eastAsia" w:ascii="仿宋_GB2312" w:eastAsia="仿宋_GB2312" w:cs="仿宋_GB2312"/>
          <w:color w:val="auto"/>
          <w:sz w:val="30"/>
          <w:szCs w:val="30"/>
          <w:highlight w:val="none"/>
        </w:rPr>
        <w:t>附件</w:t>
      </w:r>
      <w:r>
        <w:rPr>
          <w:rFonts w:ascii="仿宋_GB2312" w:eastAsia="仿宋_GB2312" w:cs="仿宋_GB2312"/>
          <w:color w:val="auto"/>
          <w:sz w:val="30"/>
          <w:szCs w:val="30"/>
          <w:highlight w:val="none"/>
        </w:rPr>
        <w:t>1</w:t>
      </w:r>
      <w:r>
        <w:rPr>
          <w:rFonts w:hint="eastAsia" w:ascii="仿宋_GB2312" w:eastAsia="仿宋_GB2312" w:cs="仿宋_GB2312"/>
          <w:color w:val="auto"/>
          <w:sz w:val="30"/>
          <w:szCs w:val="30"/>
          <w:highlight w:val="none"/>
        </w:rPr>
        <w:t>：承包人承揽工程项目一览表</w:t>
      </w:r>
    </w:p>
    <w:p w14:paraId="02F2F908">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承包人承揽工程项目一览表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40"/>
        <w:gridCol w:w="1440"/>
        <w:gridCol w:w="1620"/>
        <w:gridCol w:w="1661"/>
        <w:gridCol w:w="850"/>
        <w:gridCol w:w="1560"/>
        <w:gridCol w:w="2126"/>
        <w:gridCol w:w="1417"/>
        <w:gridCol w:w="851"/>
        <w:gridCol w:w="850"/>
      </w:tblGrid>
      <w:tr w14:paraId="4434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40" w:type="dxa"/>
            <w:noWrap w:val="0"/>
            <w:vAlign w:val="center"/>
          </w:tcPr>
          <w:p w14:paraId="5EB29FB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单位工程名称</w:t>
            </w:r>
          </w:p>
        </w:tc>
        <w:tc>
          <w:tcPr>
            <w:tcW w:w="1440" w:type="dxa"/>
            <w:noWrap w:val="0"/>
            <w:vAlign w:val="center"/>
          </w:tcPr>
          <w:p w14:paraId="14307DD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建设规模</w:t>
            </w:r>
          </w:p>
        </w:tc>
        <w:tc>
          <w:tcPr>
            <w:tcW w:w="1620" w:type="dxa"/>
            <w:noWrap w:val="0"/>
            <w:vAlign w:val="center"/>
          </w:tcPr>
          <w:p w14:paraId="775BDA6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建筑面积</w:t>
            </w:r>
            <w:r>
              <w:rPr>
                <w:rFonts w:hint="eastAsia" w:ascii="Calibri" w:hAnsi="Calibri" w:eastAsia="仿宋_GB2312" w:cs="仿宋_GB2312"/>
                <w:color w:val="auto"/>
                <w:sz w:val="28"/>
                <w:szCs w:val="28"/>
                <w:highlight w:val="none"/>
                <w:lang w:eastAsia="zh-CN"/>
              </w:rPr>
              <w:t>（</w:t>
            </w:r>
            <w:r>
              <w:rPr>
                <w:rFonts w:hint="eastAsia" w:ascii="Calibri" w:hAnsi="Calibri" w:eastAsia="仿宋_GB2312" w:cs="仿宋_GB2312"/>
                <w:color w:val="auto"/>
                <w:sz w:val="28"/>
                <w:szCs w:val="28"/>
                <w:highlight w:val="none"/>
              </w:rPr>
              <w:t>平方米</w:t>
            </w:r>
            <w:r>
              <w:rPr>
                <w:rFonts w:hint="eastAsia" w:ascii="Calibri" w:hAnsi="Calibri" w:eastAsia="仿宋_GB2312" w:cs="仿宋_GB2312"/>
                <w:color w:val="auto"/>
                <w:sz w:val="28"/>
                <w:szCs w:val="28"/>
                <w:highlight w:val="none"/>
                <w:lang w:eastAsia="zh-CN"/>
              </w:rPr>
              <w:t>）</w:t>
            </w:r>
          </w:p>
        </w:tc>
        <w:tc>
          <w:tcPr>
            <w:tcW w:w="1661" w:type="dxa"/>
            <w:noWrap w:val="0"/>
            <w:vAlign w:val="center"/>
          </w:tcPr>
          <w:p w14:paraId="195D009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结构形式</w:t>
            </w:r>
          </w:p>
        </w:tc>
        <w:tc>
          <w:tcPr>
            <w:tcW w:w="850" w:type="dxa"/>
            <w:noWrap w:val="0"/>
            <w:vAlign w:val="center"/>
          </w:tcPr>
          <w:p w14:paraId="079EF0B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层数</w:t>
            </w:r>
          </w:p>
        </w:tc>
        <w:tc>
          <w:tcPr>
            <w:tcW w:w="1560" w:type="dxa"/>
            <w:noWrap w:val="0"/>
            <w:vAlign w:val="center"/>
          </w:tcPr>
          <w:p w14:paraId="6071AAD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生产能力</w:t>
            </w:r>
          </w:p>
        </w:tc>
        <w:tc>
          <w:tcPr>
            <w:tcW w:w="2126" w:type="dxa"/>
            <w:noWrap w:val="0"/>
            <w:vAlign w:val="center"/>
          </w:tcPr>
          <w:p w14:paraId="254E508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设备安装内容</w:t>
            </w:r>
          </w:p>
        </w:tc>
        <w:tc>
          <w:tcPr>
            <w:tcW w:w="1417" w:type="dxa"/>
            <w:noWrap w:val="0"/>
            <w:vAlign w:val="center"/>
          </w:tcPr>
          <w:p w14:paraId="455EE1F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合同价格（元）</w:t>
            </w:r>
          </w:p>
        </w:tc>
        <w:tc>
          <w:tcPr>
            <w:tcW w:w="851" w:type="dxa"/>
            <w:noWrap w:val="0"/>
            <w:vAlign w:val="center"/>
          </w:tcPr>
          <w:p w14:paraId="1F73232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开工日期</w:t>
            </w:r>
          </w:p>
        </w:tc>
        <w:tc>
          <w:tcPr>
            <w:tcW w:w="850" w:type="dxa"/>
            <w:noWrap w:val="0"/>
            <w:vAlign w:val="center"/>
          </w:tcPr>
          <w:p w14:paraId="3455166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竣工日期</w:t>
            </w:r>
          </w:p>
        </w:tc>
      </w:tr>
      <w:tr w14:paraId="30D2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0AC0212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4E3D00E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1CDC98E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63D1E45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3E0BFF5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24322DA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6E07A24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2B52C30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51E8847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78BCFCE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D8E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322168E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7F16032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53CE8F6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6590562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7718361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70EC9D9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2884211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2CFEE37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7FAF14C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1AAB884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63DC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5B03586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08D968D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26B720D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5466908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48417C3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1FC18D2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1CDBE6D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6E68E50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43DF4AA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4259A49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526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39D1841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2425049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25D154D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3934CC3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15E82CD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7D247B9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721768E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4A727E6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46631BC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644BD67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6E61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2B15A06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00C3C7F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54CAC2A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35316EA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2053CFD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1BD12C3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2A4E953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4FFD48C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7F5DD7E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56F78AD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B90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7D4BF65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12991E5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5B2B3C3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5601DC9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1553A29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4902B2D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65DF6B3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5873101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30A0CBB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1A97279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B48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2B57F3B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3BA9224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703A7DC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4B1BC2F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571C8C5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1D92127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31F1FEC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20C8DA2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75D73F9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4F69F24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CFC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19F2113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662FA9A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1178329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49249D2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71C54C6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5692DB7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5F24790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6AE8814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65C629D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43AF26F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690C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40" w:type="dxa"/>
            <w:noWrap w:val="0"/>
            <w:vAlign w:val="center"/>
          </w:tcPr>
          <w:p w14:paraId="0C58B06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0BBE90D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37D251E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71EA120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1CE5CAD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7221A25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54E3A9E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149394A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53CC111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1AE5311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1444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noWrap w:val="0"/>
            <w:vAlign w:val="center"/>
          </w:tcPr>
          <w:p w14:paraId="1909247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40" w:type="dxa"/>
            <w:noWrap w:val="0"/>
            <w:vAlign w:val="center"/>
          </w:tcPr>
          <w:p w14:paraId="38635FD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20" w:type="dxa"/>
            <w:noWrap w:val="0"/>
            <w:vAlign w:val="center"/>
          </w:tcPr>
          <w:p w14:paraId="6460C71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1" w:type="dxa"/>
            <w:noWrap w:val="0"/>
            <w:vAlign w:val="center"/>
          </w:tcPr>
          <w:p w14:paraId="650B96C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3693A6C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560" w:type="dxa"/>
            <w:noWrap w:val="0"/>
            <w:vAlign w:val="center"/>
          </w:tcPr>
          <w:p w14:paraId="193A81C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2126" w:type="dxa"/>
            <w:noWrap w:val="0"/>
            <w:vAlign w:val="center"/>
          </w:tcPr>
          <w:p w14:paraId="631D950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7" w:type="dxa"/>
            <w:noWrap w:val="0"/>
            <w:vAlign w:val="center"/>
          </w:tcPr>
          <w:p w14:paraId="5100CA7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1" w:type="dxa"/>
            <w:noWrap w:val="0"/>
            <w:vAlign w:val="center"/>
          </w:tcPr>
          <w:p w14:paraId="378D07F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1B583AB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bl>
    <w:p w14:paraId="30EFB173">
      <w:pPr>
        <w:spacing w:line="460" w:lineRule="exact"/>
        <w:ind w:firstLine="420" w:firstLineChars="200"/>
        <w:rPr>
          <w:color w:val="auto"/>
          <w:highlight w:val="none"/>
        </w:rPr>
      </w:pPr>
    </w:p>
    <w:p w14:paraId="72B5B67D">
      <w:pPr>
        <w:spacing w:line="460" w:lineRule="exact"/>
        <w:ind w:firstLine="420" w:firstLineChars="200"/>
        <w:rPr>
          <w:color w:val="auto"/>
          <w:highlight w:val="none"/>
        </w:rPr>
        <w:sectPr>
          <w:pgSz w:w="16840" w:h="11907" w:orient="landscape"/>
          <w:pgMar w:top="1440" w:right="1440" w:bottom="1440" w:left="1797" w:header="851" w:footer="851" w:gutter="0"/>
          <w:cols w:space="720" w:num="1"/>
          <w:docGrid w:linePitch="312" w:charSpace="0"/>
        </w:sectPr>
      </w:pPr>
    </w:p>
    <w:p w14:paraId="55685AB0">
      <w:pPr>
        <w:spacing w:before="120" w:beforeLines="50" w:after="120" w:afterLines="50" w:line="440" w:lineRule="exact"/>
        <w:jc w:val="left"/>
        <w:rPr>
          <w:rFonts w:hint="eastAsia" w:ascii="仿宋_GB2312" w:eastAsia="仿宋_GB2312" w:cs="仿宋_GB2312"/>
          <w:color w:val="auto"/>
          <w:sz w:val="30"/>
          <w:szCs w:val="30"/>
          <w:highlight w:val="none"/>
        </w:rPr>
      </w:pPr>
      <w:r>
        <w:rPr>
          <w:rFonts w:hint="eastAsia" w:ascii="仿宋_GB2312" w:eastAsia="仿宋_GB2312" w:cs="仿宋_GB2312"/>
          <w:color w:val="auto"/>
          <w:sz w:val="30"/>
          <w:szCs w:val="30"/>
          <w:highlight w:val="none"/>
        </w:rPr>
        <w:t>附件2：</w:t>
      </w:r>
      <w:r>
        <w:rPr>
          <w:rFonts w:hint="eastAsia" w:ascii="仿宋_GB2312" w:eastAsia="仿宋_GB2312" w:cs="仿宋_GB2312"/>
          <w:color w:val="auto"/>
          <w:sz w:val="30"/>
          <w:szCs w:val="30"/>
          <w:highlight w:val="none"/>
          <w:lang w:val="en-US" w:eastAsia="zh-CN"/>
        </w:rPr>
        <w:t>工程质量保修书</w:t>
      </w:r>
    </w:p>
    <w:p w14:paraId="4E81C14B">
      <w:pPr>
        <w:spacing w:before="120" w:beforeLines="50" w:after="120" w:afterLines="50" w:line="440" w:lineRule="exact"/>
        <w:jc w:val="center"/>
        <w:rPr>
          <w:rFonts w:ascii="黑体" w:eastAsia="黑体"/>
          <w:color w:val="auto"/>
          <w:sz w:val="32"/>
          <w:szCs w:val="32"/>
          <w:highlight w:val="none"/>
        </w:rPr>
      </w:pPr>
      <w:r>
        <w:rPr>
          <w:rFonts w:hint="eastAsia" w:ascii="黑体" w:hAnsi="宋体" w:eastAsia="黑体" w:cs="黑体"/>
          <w:color w:val="auto"/>
          <w:sz w:val="32"/>
          <w:szCs w:val="32"/>
          <w:highlight w:val="none"/>
        </w:rPr>
        <w:t>工程质量保修书（房屋建筑工程）</w:t>
      </w:r>
    </w:p>
    <w:p w14:paraId="2A7F5E99">
      <w:pPr>
        <w:spacing w:line="440" w:lineRule="exact"/>
        <w:ind w:firstLine="420" w:firstLineChars="200"/>
        <w:rPr>
          <w:color w:val="auto"/>
          <w:highlight w:val="none"/>
        </w:rPr>
      </w:pPr>
      <w:r>
        <w:rPr>
          <w:rFonts w:hint="eastAsia" w:hAnsi="宋体" w:cs="宋体"/>
          <w:color w:val="auto"/>
          <w:highlight w:val="none"/>
        </w:rPr>
        <w:t>发包人（全称）：</w:t>
      </w:r>
      <w:r>
        <w:rPr>
          <w:color w:val="auto"/>
          <w:highlight w:val="none"/>
          <w:u w:val="single"/>
        </w:rPr>
        <w:t xml:space="preserve">                                </w:t>
      </w:r>
      <w:r>
        <w:rPr>
          <w:color w:val="auto"/>
          <w:highlight w:val="none"/>
        </w:rPr>
        <w:t xml:space="preserve"> </w:t>
      </w:r>
    </w:p>
    <w:p w14:paraId="7D7BCFC2">
      <w:pPr>
        <w:spacing w:line="440" w:lineRule="exact"/>
        <w:ind w:firstLine="420" w:firstLineChars="200"/>
        <w:rPr>
          <w:color w:val="auto"/>
          <w:highlight w:val="none"/>
        </w:rPr>
      </w:pPr>
      <w:r>
        <w:rPr>
          <w:rFonts w:hint="eastAsia" w:hAnsi="宋体" w:cs="宋体"/>
          <w:color w:val="auto"/>
          <w:highlight w:val="none"/>
        </w:rPr>
        <w:t>承包人（全称）：</w:t>
      </w:r>
      <w:r>
        <w:rPr>
          <w:color w:val="auto"/>
          <w:highlight w:val="none"/>
          <w:u w:val="single"/>
        </w:rPr>
        <w:t xml:space="preserve">                                </w:t>
      </w:r>
      <w:r>
        <w:rPr>
          <w:color w:val="auto"/>
          <w:highlight w:val="none"/>
        </w:rPr>
        <w:t xml:space="preserve"> </w:t>
      </w:r>
    </w:p>
    <w:p w14:paraId="321D4FB9">
      <w:pPr>
        <w:spacing w:line="440" w:lineRule="exact"/>
        <w:rPr>
          <w:color w:val="auto"/>
          <w:highlight w:val="none"/>
        </w:rPr>
      </w:pPr>
    </w:p>
    <w:p w14:paraId="2FE2E77E">
      <w:pPr>
        <w:spacing w:line="360" w:lineRule="auto"/>
        <w:ind w:firstLine="420" w:firstLineChars="200"/>
        <w:rPr>
          <w:rFonts w:hAnsi="宋体"/>
          <w:color w:val="auto"/>
          <w:highlight w:val="none"/>
        </w:rPr>
      </w:pPr>
      <w:r>
        <w:rPr>
          <w:rFonts w:hint="eastAsia" w:hAnsi="宋体" w:cs="宋体"/>
          <w:color w:val="auto"/>
          <w:highlight w:val="none"/>
        </w:rPr>
        <w:t>发包人和承包人根据《中华人民共和国建筑法》和《建设工程质量管理条例》，经协商一致就</w:t>
      </w:r>
      <w:r>
        <w:rPr>
          <w:color w:val="auto"/>
          <w:highlight w:val="none"/>
          <w:u w:val="single"/>
        </w:rPr>
        <w:t xml:space="preserve">                                   </w:t>
      </w:r>
      <w:r>
        <w:rPr>
          <w:rFonts w:hint="eastAsia" w:hAnsi="宋体" w:cs="宋体"/>
          <w:color w:val="auto"/>
          <w:highlight w:val="none"/>
        </w:rPr>
        <w:t>（工程全称）签订工程质量保修书。</w:t>
      </w:r>
    </w:p>
    <w:p w14:paraId="5E043EE4">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一、工程质量保修范围和内容</w:t>
      </w:r>
    </w:p>
    <w:p w14:paraId="099785B1">
      <w:pPr>
        <w:spacing w:line="360" w:lineRule="auto"/>
        <w:ind w:firstLine="420" w:firstLineChars="200"/>
        <w:rPr>
          <w:color w:val="auto"/>
          <w:highlight w:val="none"/>
        </w:rPr>
      </w:pPr>
      <w:r>
        <w:rPr>
          <w:rFonts w:hint="eastAsia" w:hAnsi="宋体" w:cs="宋体"/>
          <w:color w:val="auto"/>
          <w:highlight w:val="none"/>
        </w:rPr>
        <w:t>承包人在质量保修期内，按照有关法律规定和合同约定，承担工程质量保修责任。</w:t>
      </w:r>
    </w:p>
    <w:p w14:paraId="6122C0A7">
      <w:pPr>
        <w:spacing w:line="360" w:lineRule="auto"/>
        <w:ind w:firstLine="420"/>
        <w:rPr>
          <w:rFonts w:hAnsi="宋体"/>
          <w:color w:val="auto"/>
          <w:highlight w:val="none"/>
        </w:rPr>
      </w:pPr>
      <w:r>
        <w:rPr>
          <w:rFonts w:hint="eastAsia" w:hAnsi="宋体" w:cs="宋体"/>
          <w:color w:val="auto"/>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52E91A04">
      <w:pPr>
        <w:spacing w:line="360" w:lineRule="auto"/>
        <w:ind w:firstLine="420"/>
        <w:rPr>
          <w:rFonts w:hAnsi="宋体"/>
          <w:color w:val="auto"/>
          <w:highlight w:val="none"/>
        </w:rPr>
      </w:pPr>
      <w:r>
        <w:rPr>
          <w:color w:val="auto"/>
          <w:highlight w:val="none"/>
          <w:u w:val="single"/>
        </w:rPr>
        <w:t xml:space="preserve">                                                                                                                                                            </w:t>
      </w:r>
      <w:r>
        <w:rPr>
          <w:rFonts w:hint="eastAsia" w:hAnsi="宋体" w:cs="宋体"/>
          <w:color w:val="auto"/>
          <w:highlight w:val="none"/>
        </w:rPr>
        <w:t>。</w:t>
      </w:r>
    </w:p>
    <w:p w14:paraId="6E0D3025">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二、质量保修期</w:t>
      </w:r>
    </w:p>
    <w:p w14:paraId="50892BFB">
      <w:pPr>
        <w:spacing w:line="360" w:lineRule="auto"/>
        <w:ind w:firstLine="420"/>
        <w:rPr>
          <w:rFonts w:hAnsi="宋体"/>
          <w:color w:val="auto"/>
          <w:highlight w:val="none"/>
        </w:rPr>
      </w:pPr>
      <w:r>
        <w:rPr>
          <w:rFonts w:hint="eastAsia" w:hAnsi="宋体" w:cs="宋体"/>
          <w:color w:val="auto"/>
          <w:highlight w:val="none"/>
        </w:rPr>
        <w:t>根据《建设工程质量管理条例》及有关规定，工程的质量保修期如下：</w:t>
      </w:r>
    </w:p>
    <w:p w14:paraId="2ACBFCBB">
      <w:pPr>
        <w:spacing w:line="360" w:lineRule="auto"/>
        <w:ind w:firstLine="420"/>
        <w:rPr>
          <w:rFonts w:hAnsi="宋体"/>
          <w:color w:val="auto"/>
          <w:highlight w:val="none"/>
        </w:rPr>
      </w:pPr>
      <w:r>
        <w:rPr>
          <w:rFonts w:hint="eastAsia"/>
          <w:color w:val="auto"/>
          <w:highlight w:val="none"/>
          <w:lang w:eastAsia="zh-CN"/>
        </w:rPr>
        <w:t>1.</w:t>
      </w:r>
      <w:r>
        <w:rPr>
          <w:rFonts w:hint="eastAsia" w:hAnsi="宋体" w:cs="宋体"/>
          <w:color w:val="auto"/>
          <w:highlight w:val="none"/>
        </w:rPr>
        <w:t>地基基础工程和主体结构工程为设计文件规定的工程合理使用年限；</w:t>
      </w:r>
    </w:p>
    <w:p w14:paraId="6A12B87A">
      <w:pPr>
        <w:spacing w:line="360" w:lineRule="auto"/>
        <w:ind w:firstLine="420"/>
        <w:rPr>
          <w:rFonts w:hAnsi="宋体"/>
          <w:color w:val="auto"/>
          <w:highlight w:val="none"/>
        </w:rPr>
      </w:pPr>
      <w:r>
        <w:rPr>
          <w:rFonts w:hint="eastAsia"/>
          <w:color w:val="auto"/>
          <w:highlight w:val="none"/>
          <w:lang w:eastAsia="zh-CN"/>
        </w:rPr>
        <w:t>2.</w:t>
      </w:r>
      <w:r>
        <w:rPr>
          <w:rFonts w:hint="eastAsia" w:hAnsi="宋体" w:cs="宋体"/>
          <w:color w:val="auto"/>
          <w:highlight w:val="none"/>
        </w:rPr>
        <w:t>屋面防水工程、有防水要求的卫生间、房间和外墙面的防渗为</w:t>
      </w:r>
      <w:r>
        <w:rPr>
          <w:color w:val="auto"/>
          <w:highlight w:val="none"/>
          <w:u w:val="single"/>
        </w:rPr>
        <w:t xml:space="preserve">    </w:t>
      </w:r>
      <w:r>
        <w:rPr>
          <w:rFonts w:hint="eastAsia"/>
          <w:color w:val="auto"/>
          <w:highlight w:val="none"/>
          <w:u w:val="single"/>
          <w:lang w:val="en-US" w:eastAsia="zh-CN"/>
        </w:rPr>
        <w:t>5</w:t>
      </w:r>
      <w:r>
        <w:rPr>
          <w:color w:val="auto"/>
          <w:highlight w:val="none"/>
          <w:u w:val="single"/>
        </w:rPr>
        <w:t xml:space="preserve">    </w:t>
      </w:r>
      <w:r>
        <w:rPr>
          <w:rFonts w:hint="eastAsia" w:hAnsi="宋体" w:cs="宋体"/>
          <w:color w:val="auto"/>
          <w:highlight w:val="none"/>
        </w:rPr>
        <w:t>年；</w:t>
      </w:r>
    </w:p>
    <w:p w14:paraId="0045F957">
      <w:pPr>
        <w:spacing w:line="360" w:lineRule="auto"/>
        <w:ind w:firstLine="420"/>
        <w:rPr>
          <w:rFonts w:hAnsi="宋体"/>
          <w:color w:val="auto"/>
          <w:highlight w:val="none"/>
        </w:rPr>
      </w:pPr>
      <w:r>
        <w:rPr>
          <w:rFonts w:hint="eastAsia"/>
          <w:color w:val="auto"/>
          <w:highlight w:val="none"/>
          <w:lang w:eastAsia="zh-CN"/>
        </w:rPr>
        <w:t>3.</w:t>
      </w:r>
      <w:r>
        <w:rPr>
          <w:rFonts w:hint="eastAsia" w:hAnsi="宋体" w:cs="宋体"/>
          <w:color w:val="auto"/>
          <w:highlight w:val="none"/>
        </w:rPr>
        <w:t>装修工程为</w:t>
      </w:r>
      <w:r>
        <w:rPr>
          <w:color w:val="auto"/>
          <w:highlight w:val="none"/>
          <w:u w:val="single"/>
        </w:rPr>
        <w:t xml:space="preserve">   </w:t>
      </w:r>
      <w:r>
        <w:rPr>
          <w:rFonts w:hint="eastAsia"/>
          <w:color w:val="auto"/>
          <w:highlight w:val="none"/>
          <w:u w:val="single"/>
          <w:lang w:val="en-US" w:eastAsia="zh-CN"/>
        </w:rPr>
        <w:t>2</w:t>
      </w:r>
      <w:r>
        <w:rPr>
          <w:color w:val="auto"/>
          <w:highlight w:val="none"/>
          <w:u w:val="single"/>
        </w:rPr>
        <w:t xml:space="preserve">   </w:t>
      </w:r>
      <w:r>
        <w:rPr>
          <w:rFonts w:hint="eastAsia" w:hAnsi="宋体" w:cs="宋体"/>
          <w:color w:val="auto"/>
          <w:highlight w:val="none"/>
        </w:rPr>
        <w:t>年；</w:t>
      </w:r>
    </w:p>
    <w:p w14:paraId="017232BC">
      <w:pPr>
        <w:spacing w:line="360" w:lineRule="auto"/>
        <w:ind w:firstLine="420"/>
        <w:rPr>
          <w:rFonts w:hAnsi="宋体"/>
          <w:color w:val="auto"/>
          <w:highlight w:val="none"/>
        </w:rPr>
      </w:pPr>
      <w:r>
        <w:rPr>
          <w:rFonts w:hint="eastAsia"/>
          <w:color w:val="auto"/>
          <w:highlight w:val="none"/>
          <w:lang w:eastAsia="zh-CN"/>
        </w:rPr>
        <w:t>4.</w:t>
      </w:r>
      <w:r>
        <w:rPr>
          <w:rFonts w:hint="eastAsia" w:hAnsi="宋体" w:cs="宋体"/>
          <w:color w:val="auto"/>
          <w:highlight w:val="none"/>
        </w:rPr>
        <w:t>电气管线、给排水管道、设备安装工程为</w:t>
      </w:r>
      <w:r>
        <w:rPr>
          <w:color w:val="auto"/>
          <w:highlight w:val="none"/>
          <w:u w:val="single"/>
        </w:rPr>
        <w:t xml:space="preserve">   </w:t>
      </w:r>
      <w:r>
        <w:rPr>
          <w:rFonts w:hint="eastAsia"/>
          <w:color w:val="auto"/>
          <w:highlight w:val="none"/>
          <w:u w:val="single"/>
          <w:lang w:val="en-US" w:eastAsia="zh-CN"/>
        </w:rPr>
        <w:t>2</w:t>
      </w:r>
      <w:r>
        <w:rPr>
          <w:color w:val="auto"/>
          <w:highlight w:val="none"/>
          <w:u w:val="single"/>
        </w:rPr>
        <w:t xml:space="preserve">    </w:t>
      </w:r>
      <w:r>
        <w:rPr>
          <w:rFonts w:hint="eastAsia" w:hAnsi="宋体" w:cs="宋体"/>
          <w:color w:val="auto"/>
          <w:highlight w:val="none"/>
        </w:rPr>
        <w:t>年；</w:t>
      </w:r>
    </w:p>
    <w:p w14:paraId="0A954A20">
      <w:pPr>
        <w:spacing w:line="360" w:lineRule="auto"/>
        <w:ind w:firstLine="420"/>
        <w:rPr>
          <w:rFonts w:hAnsi="宋体"/>
          <w:color w:val="auto"/>
          <w:highlight w:val="none"/>
        </w:rPr>
      </w:pPr>
      <w:r>
        <w:rPr>
          <w:rFonts w:hint="eastAsia"/>
          <w:color w:val="auto"/>
          <w:highlight w:val="none"/>
          <w:lang w:eastAsia="zh-CN"/>
        </w:rPr>
        <w:t>5.</w:t>
      </w:r>
      <w:r>
        <w:rPr>
          <w:rFonts w:hint="eastAsia" w:hAnsi="宋体" w:cs="宋体"/>
          <w:color w:val="auto"/>
          <w:highlight w:val="none"/>
        </w:rPr>
        <w:t>供热与供冷系统为</w:t>
      </w:r>
      <w:r>
        <w:rPr>
          <w:color w:val="auto"/>
          <w:highlight w:val="none"/>
          <w:u w:val="single"/>
        </w:rPr>
        <w:t xml:space="preserve">    </w:t>
      </w:r>
      <w:r>
        <w:rPr>
          <w:rFonts w:hint="eastAsia"/>
          <w:color w:val="auto"/>
          <w:highlight w:val="none"/>
          <w:u w:val="single"/>
          <w:lang w:val="en-US" w:eastAsia="zh-CN"/>
        </w:rPr>
        <w:t>2</w:t>
      </w:r>
      <w:r>
        <w:rPr>
          <w:color w:val="auto"/>
          <w:highlight w:val="none"/>
          <w:u w:val="single"/>
        </w:rPr>
        <w:t xml:space="preserve">     </w:t>
      </w:r>
      <w:r>
        <w:rPr>
          <w:rFonts w:hint="eastAsia" w:hAnsi="宋体" w:cs="宋体"/>
          <w:color w:val="auto"/>
          <w:highlight w:val="none"/>
        </w:rPr>
        <w:t>个采暖期、供冷期；</w:t>
      </w:r>
    </w:p>
    <w:p w14:paraId="4CD3FF59">
      <w:pPr>
        <w:spacing w:line="360" w:lineRule="auto"/>
        <w:ind w:firstLine="420"/>
        <w:rPr>
          <w:rFonts w:hAnsi="宋体"/>
          <w:color w:val="auto"/>
          <w:highlight w:val="none"/>
        </w:rPr>
      </w:pPr>
      <w:r>
        <w:rPr>
          <w:rFonts w:hint="eastAsia"/>
          <w:color w:val="auto"/>
          <w:highlight w:val="none"/>
          <w:lang w:eastAsia="zh-CN"/>
        </w:rPr>
        <w:t>6.</w:t>
      </w:r>
      <w:r>
        <w:rPr>
          <w:rFonts w:hint="eastAsia" w:hAnsi="宋体" w:cs="宋体"/>
          <w:color w:val="auto"/>
          <w:highlight w:val="none"/>
        </w:rPr>
        <w:t>住宅小区内的给排水设施、道路等配套工程为</w:t>
      </w:r>
      <w:r>
        <w:rPr>
          <w:color w:val="auto"/>
          <w:highlight w:val="none"/>
          <w:u w:val="single"/>
        </w:rPr>
        <w:t xml:space="preserve">    </w:t>
      </w:r>
      <w:r>
        <w:rPr>
          <w:rFonts w:hint="eastAsia"/>
          <w:color w:val="auto"/>
          <w:highlight w:val="none"/>
          <w:u w:val="single"/>
          <w:lang w:val="en-US" w:eastAsia="zh-CN"/>
        </w:rPr>
        <w:t>2</w:t>
      </w:r>
      <w:r>
        <w:rPr>
          <w:color w:val="auto"/>
          <w:highlight w:val="none"/>
          <w:u w:val="single"/>
        </w:rPr>
        <w:t xml:space="preserve">     </w:t>
      </w:r>
      <w:r>
        <w:rPr>
          <w:rFonts w:hint="eastAsia" w:hAnsi="宋体" w:cs="宋体"/>
          <w:color w:val="auto"/>
          <w:highlight w:val="none"/>
        </w:rPr>
        <w:t>年；</w:t>
      </w:r>
    </w:p>
    <w:p w14:paraId="0BF5C148">
      <w:pPr>
        <w:spacing w:line="360" w:lineRule="auto"/>
        <w:ind w:firstLine="420"/>
        <w:rPr>
          <w:rFonts w:hAnsi="宋体"/>
          <w:color w:val="auto"/>
          <w:highlight w:val="none"/>
        </w:rPr>
      </w:pPr>
      <w:r>
        <w:rPr>
          <w:rFonts w:hint="eastAsia"/>
          <w:color w:val="auto"/>
          <w:highlight w:val="none"/>
          <w:lang w:eastAsia="zh-CN"/>
        </w:rPr>
        <w:t>7.</w:t>
      </w:r>
      <w:r>
        <w:rPr>
          <w:rFonts w:hint="eastAsia" w:hAnsi="宋体" w:cs="宋体"/>
          <w:color w:val="auto"/>
          <w:highlight w:val="none"/>
        </w:rPr>
        <w:t>其他项目保修期限约定如下：</w:t>
      </w:r>
    </w:p>
    <w:p w14:paraId="0F3E784C">
      <w:pPr>
        <w:spacing w:line="360" w:lineRule="auto"/>
        <w:ind w:firstLine="420"/>
        <w:rPr>
          <w:rFonts w:hAnsi="宋体"/>
          <w:color w:val="auto"/>
          <w:highlight w:val="none"/>
        </w:rPr>
      </w:pPr>
      <w:r>
        <w:rPr>
          <w:color w:val="auto"/>
          <w:highlight w:val="none"/>
          <w:u w:val="single"/>
        </w:rPr>
        <w:t xml:space="preserve">           </w:t>
      </w:r>
      <w:r>
        <w:rPr>
          <w:rFonts w:hint="eastAsia" w:ascii="宋体" w:hAnsi="宋体"/>
          <w:color w:val="auto"/>
          <w:kern w:val="0"/>
          <w:szCs w:val="21"/>
          <w:u w:val="single" w:color="000000"/>
        </w:rPr>
        <w:t>按国家有关规定执行</w:t>
      </w:r>
      <w:r>
        <w:rPr>
          <w:color w:val="auto"/>
          <w:highlight w:val="none"/>
          <w:u w:val="single"/>
        </w:rPr>
        <w:t xml:space="preserve">                  </w:t>
      </w:r>
      <w:r>
        <w:rPr>
          <w:rFonts w:hint="eastAsia" w:hAnsi="宋体" w:cs="宋体"/>
          <w:color w:val="auto"/>
          <w:highlight w:val="none"/>
        </w:rPr>
        <w:t>。</w:t>
      </w:r>
    </w:p>
    <w:p w14:paraId="55EC3F77">
      <w:pPr>
        <w:spacing w:line="360" w:lineRule="auto"/>
        <w:ind w:firstLine="420"/>
        <w:rPr>
          <w:rFonts w:hAnsi="宋体"/>
          <w:color w:val="auto"/>
          <w:highlight w:val="none"/>
        </w:rPr>
      </w:pPr>
      <w:r>
        <w:rPr>
          <w:rFonts w:hint="eastAsia" w:hAnsi="宋体" w:cs="宋体"/>
          <w:color w:val="auto"/>
          <w:highlight w:val="none"/>
        </w:rPr>
        <w:t>质量保修期自工程竣工验收合格之日起计算。</w:t>
      </w:r>
    </w:p>
    <w:p w14:paraId="5901FC5D">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三、缺陷责任期</w:t>
      </w:r>
    </w:p>
    <w:p w14:paraId="71DF499C">
      <w:pPr>
        <w:spacing w:line="360" w:lineRule="auto"/>
        <w:ind w:firstLine="420"/>
        <w:rPr>
          <w:rFonts w:hAnsi="宋体"/>
          <w:color w:val="auto"/>
          <w:highlight w:val="none"/>
        </w:rPr>
      </w:pPr>
      <w:r>
        <w:rPr>
          <w:rFonts w:hint="eastAsia" w:hAnsi="宋体" w:cs="宋体"/>
          <w:color w:val="auto"/>
          <w:highlight w:val="none"/>
        </w:rPr>
        <w:t>工程缺陷责任期为</w:t>
      </w:r>
      <w:r>
        <w:rPr>
          <w:color w:val="auto"/>
          <w:highlight w:val="none"/>
          <w:u w:val="single"/>
        </w:rPr>
        <w:t xml:space="preserve">     </w:t>
      </w:r>
      <w:r>
        <w:rPr>
          <w:rFonts w:hint="eastAsia"/>
          <w:color w:val="auto"/>
          <w:highlight w:val="none"/>
          <w:u w:val="single"/>
          <w:lang w:val="en-US" w:eastAsia="zh-CN"/>
        </w:rPr>
        <w:t>24</w:t>
      </w:r>
      <w:r>
        <w:rPr>
          <w:color w:val="auto"/>
          <w:highlight w:val="none"/>
          <w:u w:val="single"/>
        </w:rPr>
        <w:t xml:space="preserve">    </w:t>
      </w:r>
      <w:r>
        <w:rPr>
          <w:rFonts w:hint="eastAsia" w:hAnsi="宋体" w:cs="宋体"/>
          <w:color w:val="auto"/>
          <w:highlight w:val="none"/>
        </w:rPr>
        <w:t>个月（最长不超过</w:t>
      </w:r>
      <w:r>
        <w:rPr>
          <w:rFonts w:hAnsi="宋体"/>
          <w:color w:val="auto"/>
          <w:highlight w:val="none"/>
        </w:rPr>
        <w:t>24</w:t>
      </w:r>
      <w:r>
        <w:rPr>
          <w:rFonts w:hint="eastAsia" w:hAnsi="宋体" w:cs="宋体"/>
          <w:color w:val="auto"/>
          <w:highlight w:val="none"/>
        </w:rPr>
        <w:t>个月），缺陷责任期自工程竣工验收合格之日起计算。单位工程先于全部工程进行验收，单位工程缺陷责任期自单位工程验收合格之日起算。</w:t>
      </w:r>
    </w:p>
    <w:p w14:paraId="7BBF7F3D">
      <w:pPr>
        <w:spacing w:line="360" w:lineRule="auto"/>
        <w:ind w:firstLine="420"/>
        <w:rPr>
          <w:rFonts w:hAnsi="宋体"/>
          <w:color w:val="auto"/>
          <w:highlight w:val="none"/>
        </w:rPr>
      </w:pPr>
      <w:r>
        <w:rPr>
          <w:rFonts w:hint="eastAsia" w:hAnsi="宋体" w:cs="宋体"/>
          <w:color w:val="auto"/>
          <w:highlight w:val="none"/>
        </w:rPr>
        <w:t>缺陷责任期</w:t>
      </w:r>
      <w:r>
        <w:rPr>
          <w:rFonts w:hint="eastAsia" w:hAnsi="宋体" w:cs="宋体"/>
          <w:color w:val="auto"/>
          <w:highlight w:val="none"/>
          <w:u w:val="single"/>
        </w:rPr>
        <w:t>满</w:t>
      </w:r>
      <w:r>
        <w:rPr>
          <w:rFonts w:hint="eastAsia" w:ascii="仿宋_GB2312" w:hAnsi="宋体"/>
          <w:color w:val="auto"/>
          <w:highlight w:val="none"/>
        </w:rPr>
        <w:t>之日起</w:t>
      </w:r>
      <w:r>
        <w:rPr>
          <w:rFonts w:hint="eastAsia" w:ascii="仿宋_GB2312" w:hAnsi="宋体"/>
          <w:color w:val="auto"/>
          <w:highlight w:val="none"/>
          <w:u w:val="single"/>
        </w:rPr>
        <w:t xml:space="preserve"> </w:t>
      </w:r>
      <w:r>
        <w:rPr>
          <w:rFonts w:hint="eastAsia"/>
          <w:color w:val="auto"/>
          <w:highlight w:val="none"/>
          <w:u w:val="single"/>
          <w:lang w:val="en-US" w:eastAsia="zh-CN"/>
        </w:rPr>
        <w:t xml:space="preserve"> 30  </w:t>
      </w:r>
      <w:r>
        <w:rPr>
          <w:rFonts w:hint="eastAsia" w:ascii="仿宋_GB2312" w:hAnsi="宋体"/>
          <w:color w:val="auto"/>
          <w:highlight w:val="none"/>
        </w:rPr>
        <w:t>天</w:t>
      </w:r>
      <w:r>
        <w:rPr>
          <w:rFonts w:hint="eastAsia" w:hAnsi="宋体" w:cs="宋体"/>
          <w:color w:val="auto"/>
          <w:highlight w:val="none"/>
          <w:u w:val="single"/>
        </w:rPr>
        <w:t>（按</w:t>
      </w:r>
      <w:r>
        <w:rPr>
          <w:rFonts w:hAnsi="宋体" w:cs="宋体"/>
          <w:color w:val="auto"/>
          <w:highlight w:val="none"/>
          <w:u w:val="single"/>
        </w:rPr>
        <w:t>合同约定期限）</w:t>
      </w:r>
      <w:r>
        <w:rPr>
          <w:rFonts w:hint="eastAsia" w:hAnsi="宋体" w:cs="宋体"/>
          <w:color w:val="auto"/>
          <w:highlight w:val="none"/>
          <w:u w:val="single"/>
        </w:rPr>
        <w:t>，</w:t>
      </w:r>
      <w:r>
        <w:rPr>
          <w:rFonts w:hint="eastAsia" w:hAnsi="宋体" w:cs="宋体"/>
          <w:color w:val="auto"/>
          <w:highlight w:val="none"/>
        </w:rPr>
        <w:t>发包人应退还剩余的质量保证金。</w:t>
      </w:r>
    </w:p>
    <w:p w14:paraId="5888BF87">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四、质量保修责任</w:t>
      </w:r>
    </w:p>
    <w:p w14:paraId="03751EAE">
      <w:pPr>
        <w:spacing w:line="360" w:lineRule="auto"/>
        <w:ind w:left="105" w:leftChars="50" w:firstLine="430" w:firstLineChars="205"/>
        <w:rPr>
          <w:rFonts w:hAnsi="宋体"/>
          <w:color w:val="auto"/>
          <w:highlight w:val="none"/>
        </w:rPr>
      </w:pPr>
      <w:r>
        <w:rPr>
          <w:rFonts w:hint="eastAsia"/>
          <w:color w:val="auto"/>
          <w:highlight w:val="none"/>
          <w:lang w:eastAsia="zh-CN"/>
        </w:rPr>
        <w:t>1.</w:t>
      </w:r>
      <w:r>
        <w:rPr>
          <w:rFonts w:hint="eastAsia" w:hAnsi="宋体" w:cs="宋体"/>
          <w:color w:val="auto"/>
          <w:highlight w:val="none"/>
        </w:rPr>
        <w:t>属于保修范围、内容的项目，承包人应当在接到保修通知之日起</w:t>
      </w:r>
      <w:r>
        <w:rPr>
          <w:color w:val="auto"/>
          <w:highlight w:val="none"/>
          <w:u w:val="single"/>
        </w:rPr>
        <w:t xml:space="preserve">   </w:t>
      </w:r>
      <w:r>
        <w:rPr>
          <w:rFonts w:hint="eastAsia"/>
          <w:color w:val="auto"/>
          <w:highlight w:val="none"/>
          <w:u w:val="single"/>
          <w:lang w:val="en-US" w:eastAsia="zh-CN"/>
        </w:rPr>
        <w:t>7</w:t>
      </w:r>
      <w:r>
        <w:rPr>
          <w:color w:val="auto"/>
          <w:highlight w:val="none"/>
          <w:u w:val="single"/>
        </w:rPr>
        <w:t xml:space="preserve">   </w:t>
      </w:r>
      <w:r>
        <w:rPr>
          <w:rFonts w:hint="eastAsia" w:hAnsi="宋体" w:cs="宋体"/>
          <w:color w:val="auto"/>
          <w:highlight w:val="none"/>
        </w:rPr>
        <w:t>天内派人保修。承包人不在约定期限内派人保修的，发包人可以委托他人修理，修理费用从质量保证金内扣除。</w:t>
      </w:r>
    </w:p>
    <w:p w14:paraId="580E45BA">
      <w:pPr>
        <w:spacing w:line="360" w:lineRule="auto"/>
        <w:ind w:firstLine="420"/>
        <w:rPr>
          <w:rFonts w:hAnsi="宋体"/>
          <w:color w:val="auto"/>
          <w:highlight w:val="none"/>
        </w:rPr>
      </w:pPr>
      <w:r>
        <w:rPr>
          <w:rFonts w:hint="eastAsia"/>
          <w:color w:val="auto"/>
          <w:highlight w:val="none"/>
          <w:lang w:eastAsia="zh-CN"/>
        </w:rPr>
        <w:t>2.</w:t>
      </w:r>
      <w:r>
        <w:rPr>
          <w:rFonts w:hint="eastAsia" w:hAnsi="宋体" w:cs="宋体"/>
          <w:color w:val="auto"/>
          <w:highlight w:val="none"/>
        </w:rPr>
        <w:t>发生紧急事故需抢修的，承包人在接到事故通知后，应当立即到达事故现场抢修。</w:t>
      </w:r>
    </w:p>
    <w:p w14:paraId="4D0FB899">
      <w:pPr>
        <w:spacing w:line="360" w:lineRule="auto"/>
        <w:ind w:firstLine="420"/>
        <w:rPr>
          <w:rFonts w:hAnsi="宋体"/>
          <w:color w:val="auto"/>
          <w:highlight w:val="none"/>
        </w:rPr>
      </w:pPr>
      <w:r>
        <w:rPr>
          <w:rFonts w:hint="eastAsia"/>
          <w:color w:val="auto"/>
          <w:highlight w:val="none"/>
          <w:lang w:eastAsia="zh-CN"/>
        </w:rPr>
        <w:t>3.</w:t>
      </w:r>
      <w:r>
        <w:rPr>
          <w:rFonts w:hint="eastAsia" w:hAnsi="宋体" w:cs="宋体"/>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7F319D2">
      <w:pPr>
        <w:spacing w:line="360" w:lineRule="auto"/>
        <w:ind w:firstLine="420"/>
        <w:rPr>
          <w:rFonts w:hAnsi="宋体"/>
          <w:color w:val="auto"/>
          <w:highlight w:val="none"/>
        </w:rPr>
      </w:pPr>
      <w:r>
        <w:rPr>
          <w:rFonts w:hint="eastAsia"/>
          <w:color w:val="auto"/>
          <w:highlight w:val="none"/>
          <w:lang w:eastAsia="zh-CN"/>
        </w:rPr>
        <w:t>4.</w:t>
      </w:r>
      <w:r>
        <w:rPr>
          <w:rFonts w:hint="eastAsia" w:hAnsi="宋体" w:cs="宋体"/>
          <w:color w:val="auto"/>
          <w:highlight w:val="none"/>
        </w:rPr>
        <w:t>质量保修完成后，由发包人组织验收。</w:t>
      </w:r>
    </w:p>
    <w:p w14:paraId="57F314C7">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五、保修费用</w:t>
      </w:r>
    </w:p>
    <w:p w14:paraId="6C2E0B19">
      <w:pPr>
        <w:tabs>
          <w:tab w:val="left" w:pos="7380"/>
        </w:tabs>
        <w:spacing w:line="360" w:lineRule="auto"/>
        <w:ind w:firstLine="420"/>
        <w:rPr>
          <w:rFonts w:hAnsi="宋体"/>
          <w:color w:val="auto"/>
          <w:highlight w:val="none"/>
        </w:rPr>
      </w:pPr>
      <w:r>
        <w:rPr>
          <w:rFonts w:hint="eastAsia" w:hAnsi="宋体" w:cs="宋体"/>
          <w:color w:val="auto"/>
          <w:highlight w:val="none"/>
        </w:rPr>
        <w:t>保修费用由造成质量缺陷的责任方承担。</w:t>
      </w:r>
    </w:p>
    <w:p w14:paraId="364DAE32">
      <w:pPr>
        <w:spacing w:line="360" w:lineRule="auto"/>
        <w:ind w:firstLine="420"/>
        <w:rPr>
          <w:rFonts w:ascii="黑体" w:hAnsi="宋体" w:eastAsia="黑体" w:cs="黑体"/>
          <w:color w:val="auto"/>
          <w:highlight w:val="none"/>
        </w:rPr>
      </w:pPr>
      <w:r>
        <w:rPr>
          <w:rFonts w:hint="eastAsia" w:ascii="黑体" w:hAnsi="宋体" w:eastAsia="黑体" w:cs="黑体"/>
          <w:color w:val="auto"/>
          <w:highlight w:val="none"/>
        </w:rPr>
        <w:t>六、双方约定的其他工程质量保修事项：</w:t>
      </w:r>
      <w:r>
        <w:rPr>
          <w:rFonts w:ascii="黑体" w:hAnsi="宋体" w:eastAsia="黑体" w:cs="黑体"/>
          <w:color w:val="auto"/>
          <w:highlight w:val="none"/>
        </w:rPr>
        <w:t xml:space="preserve"> </w:t>
      </w:r>
    </w:p>
    <w:p w14:paraId="74766B01">
      <w:pPr>
        <w:spacing w:line="360" w:lineRule="auto"/>
        <w:ind w:firstLine="420" w:firstLineChars="200"/>
        <w:jc w:val="left"/>
        <w:rPr>
          <w:color w:val="auto"/>
          <w:highlight w:val="none"/>
        </w:rPr>
      </w:pPr>
      <w:r>
        <w:rPr>
          <w:color w:val="auto"/>
          <w:highlight w:val="none"/>
          <w:u w:val="single"/>
        </w:rPr>
        <w:t xml:space="preserve">                                                                                                                                                             </w:t>
      </w:r>
      <w:r>
        <w:rPr>
          <w:rFonts w:hint="eastAsia" w:hAnsi="宋体" w:cs="宋体"/>
          <w:color w:val="auto"/>
          <w:highlight w:val="none"/>
        </w:rPr>
        <w:t>。</w:t>
      </w:r>
    </w:p>
    <w:p w14:paraId="00D0C0A9">
      <w:pPr>
        <w:spacing w:line="360" w:lineRule="auto"/>
        <w:ind w:firstLine="399" w:firstLineChars="190"/>
        <w:rPr>
          <w:color w:val="auto"/>
          <w:highlight w:val="none"/>
        </w:rPr>
      </w:pPr>
      <w:r>
        <w:rPr>
          <w:rFonts w:hint="eastAsia" w:hAnsi="宋体" w:cs="宋体"/>
          <w:color w:val="auto"/>
          <w:highlight w:val="none"/>
        </w:rPr>
        <w:t>工程质量保修书由发包人、承包人在工程竣工验收前共同签署，作为施工合同附件，其有效期限至保修期满。</w:t>
      </w:r>
    </w:p>
    <w:p w14:paraId="2BAB903C">
      <w:pPr>
        <w:spacing w:line="360" w:lineRule="auto"/>
        <w:ind w:firstLine="420"/>
        <w:rPr>
          <w:color w:val="auto"/>
          <w:highlight w:val="none"/>
        </w:rPr>
      </w:pPr>
    </w:p>
    <w:p w14:paraId="17BAF43A">
      <w:pPr>
        <w:spacing w:line="360" w:lineRule="auto"/>
        <w:rPr>
          <w:rFonts w:hint="eastAsia" w:eastAsia="宋体"/>
          <w:color w:val="auto"/>
          <w:highlight w:val="none"/>
          <w:lang w:eastAsia="zh-CN"/>
        </w:rPr>
      </w:pPr>
      <w:r>
        <w:rPr>
          <w:rFonts w:hAnsi="宋体"/>
          <w:color w:val="auto"/>
          <w:highlight w:val="none"/>
        </w:rPr>
        <w:t>发包人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color w:val="auto"/>
          <w:highlight w:val="none"/>
          <w:u w:val="single"/>
        </w:rPr>
        <w:t xml:space="preserve"> </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承包人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ascii="宋体" w:hAnsi="宋体"/>
          <w:color w:val="auto"/>
          <w:highlight w:val="none"/>
          <w:u w:val="single"/>
          <w:lang w:eastAsia="zh-CN"/>
        </w:rPr>
        <w:t xml:space="preserve">  </w:t>
      </w:r>
    </w:p>
    <w:p w14:paraId="58EB2460">
      <w:pPr>
        <w:spacing w:line="360" w:lineRule="auto"/>
        <w:rPr>
          <w:rFonts w:hint="eastAsia" w:eastAsia="宋体"/>
          <w:color w:val="auto"/>
          <w:highlight w:val="none"/>
          <w:lang w:eastAsia="zh-CN"/>
        </w:rPr>
      </w:pPr>
      <w:r>
        <w:rPr>
          <w:rFonts w:hAnsi="宋体"/>
          <w:color w:val="auto"/>
          <w:highlight w:val="none"/>
        </w:rPr>
        <w:t>地</w:t>
      </w:r>
      <w:r>
        <w:rPr>
          <w:color w:val="auto"/>
          <w:highlight w:val="none"/>
        </w:rPr>
        <w:t xml:space="preserve">  </w:t>
      </w:r>
      <w:r>
        <w:rPr>
          <w:rFonts w:hAnsi="宋体"/>
          <w:color w:val="auto"/>
          <w:highlight w:val="none"/>
        </w:rPr>
        <w:t>址：</w:t>
      </w:r>
      <w:r>
        <w:rPr>
          <w:color w:val="auto"/>
          <w:highlight w:val="none"/>
          <w:u w:val="single"/>
        </w:rPr>
        <w:t xml:space="preserve"> </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地</w:t>
      </w:r>
      <w:r>
        <w:rPr>
          <w:color w:val="auto"/>
          <w:highlight w:val="none"/>
        </w:rPr>
        <w:t xml:space="preserve">  </w:t>
      </w:r>
      <w:r>
        <w:rPr>
          <w:rFonts w:hAnsi="宋体"/>
          <w:color w:val="auto"/>
          <w:highlight w:val="none"/>
        </w:rPr>
        <w:t>址：</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color w:val="auto"/>
          <w:highlight w:val="none"/>
          <w:u w:val="single"/>
        </w:rPr>
        <w:t xml:space="preserve">     </w:t>
      </w:r>
      <w:r>
        <w:rPr>
          <w:rFonts w:hint="eastAsia" w:ascii="宋体" w:hAnsi="宋体"/>
          <w:color w:val="auto"/>
          <w:highlight w:val="none"/>
          <w:u w:val="single"/>
          <w:lang w:eastAsia="zh-CN"/>
        </w:rPr>
        <w:t xml:space="preserve">  </w:t>
      </w:r>
    </w:p>
    <w:p w14:paraId="46B2FF88">
      <w:pPr>
        <w:spacing w:line="360" w:lineRule="auto"/>
        <w:rPr>
          <w:rFonts w:hint="eastAsia" w:eastAsia="宋体"/>
          <w:color w:val="auto"/>
          <w:highlight w:val="none"/>
          <w:lang w:eastAsia="zh-CN"/>
        </w:rPr>
      </w:pP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hint="eastAsia" w:ascii="宋体" w:hAnsi="宋体"/>
          <w:color w:val="auto"/>
          <w:highlight w:val="none"/>
          <w:u w:val="single"/>
          <w:lang w:eastAsia="zh-CN"/>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eastAsia="zh-CN"/>
        </w:rPr>
        <w:t xml:space="preserve">  </w:t>
      </w:r>
    </w:p>
    <w:p w14:paraId="0DDEC6CB">
      <w:pPr>
        <w:spacing w:line="360" w:lineRule="auto"/>
        <w:rPr>
          <w:rFonts w:hint="eastAsia" w:eastAsia="宋体"/>
          <w:color w:val="auto"/>
          <w:highlight w:val="none"/>
          <w:lang w:eastAsia="zh-CN"/>
        </w:rPr>
      </w:pP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hint="eastAsia" w:ascii="宋体" w:hAnsi="宋体"/>
          <w:color w:val="auto"/>
          <w:highlight w:val="none"/>
          <w:u w:val="single"/>
          <w:lang w:eastAsia="zh-CN"/>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eastAsia="zh-CN"/>
        </w:rPr>
        <w:t xml:space="preserve">  </w:t>
      </w:r>
    </w:p>
    <w:p w14:paraId="4B20EA04">
      <w:pPr>
        <w:spacing w:line="360" w:lineRule="auto"/>
        <w:rPr>
          <w:rFonts w:hint="eastAsia" w:eastAsia="宋体"/>
          <w:color w:val="auto"/>
          <w:highlight w:val="none"/>
          <w:lang w:eastAsia="zh-CN"/>
        </w:rPr>
      </w:pPr>
      <w:r>
        <w:rPr>
          <w:rFonts w:hAnsi="宋体"/>
          <w:color w:val="auto"/>
          <w:highlight w:val="none"/>
        </w:rPr>
        <w:t>电</w:t>
      </w:r>
      <w:r>
        <w:rPr>
          <w:color w:val="auto"/>
          <w:highlight w:val="none"/>
        </w:rPr>
        <w:t xml:space="preserve">  </w:t>
      </w:r>
      <w:r>
        <w:rPr>
          <w:rFonts w:hAnsi="宋体"/>
          <w:color w:val="auto"/>
          <w:highlight w:val="none"/>
        </w:rPr>
        <w:t>话：</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电</w:t>
      </w:r>
      <w:r>
        <w:rPr>
          <w:color w:val="auto"/>
          <w:highlight w:val="none"/>
        </w:rPr>
        <w:t xml:space="preserve">  </w:t>
      </w:r>
      <w:r>
        <w:rPr>
          <w:rFonts w:hAnsi="宋体"/>
          <w:color w:val="auto"/>
          <w:highlight w:val="none"/>
        </w:rPr>
        <w:t>话：</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eastAsia="zh-CN"/>
        </w:rPr>
        <w:t xml:space="preserve">  </w:t>
      </w:r>
    </w:p>
    <w:p w14:paraId="249B6472">
      <w:pPr>
        <w:spacing w:line="360" w:lineRule="auto"/>
        <w:rPr>
          <w:rFonts w:hint="eastAsia" w:eastAsia="宋体"/>
          <w:color w:val="auto"/>
          <w:highlight w:val="none"/>
          <w:lang w:eastAsia="zh-CN"/>
        </w:rPr>
      </w:pPr>
      <w:r>
        <w:rPr>
          <w:rFonts w:hAnsi="宋体"/>
          <w:color w:val="auto"/>
          <w:highlight w:val="none"/>
        </w:rPr>
        <w:t>传</w:t>
      </w:r>
      <w:r>
        <w:rPr>
          <w:color w:val="auto"/>
          <w:highlight w:val="none"/>
        </w:rPr>
        <w:t xml:space="preserve">  </w:t>
      </w:r>
      <w:r>
        <w:rPr>
          <w:rFonts w:hAnsi="宋体"/>
          <w:color w:val="auto"/>
          <w:highlight w:val="none"/>
        </w:rPr>
        <w:t>真：</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传</w:t>
      </w:r>
      <w:r>
        <w:rPr>
          <w:color w:val="auto"/>
          <w:highlight w:val="none"/>
        </w:rPr>
        <w:t xml:space="preserve">  </w:t>
      </w:r>
      <w:r>
        <w:rPr>
          <w:rFonts w:hAnsi="宋体"/>
          <w:color w:val="auto"/>
          <w:highlight w:val="none"/>
        </w:rPr>
        <w:t>真：</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color w:val="auto"/>
          <w:highlight w:val="none"/>
          <w:u w:val="single"/>
        </w:rPr>
        <w:t xml:space="preserve">  </w:t>
      </w:r>
      <w:r>
        <w:rPr>
          <w:rFonts w:hint="eastAsia" w:ascii="宋体" w:hAnsi="宋体"/>
          <w:color w:val="auto"/>
          <w:highlight w:val="none"/>
          <w:u w:val="single"/>
          <w:lang w:eastAsia="zh-CN"/>
        </w:rPr>
        <w:t xml:space="preserve">  </w:t>
      </w:r>
    </w:p>
    <w:p w14:paraId="1B267ADF">
      <w:pPr>
        <w:spacing w:line="360" w:lineRule="auto"/>
        <w:rPr>
          <w:rFonts w:hint="eastAsia" w:eastAsia="宋体"/>
          <w:color w:val="auto"/>
          <w:highlight w:val="none"/>
          <w:lang w:eastAsia="zh-CN"/>
        </w:rPr>
      </w:pPr>
      <w:r>
        <w:rPr>
          <w:rFonts w:hAnsi="宋体"/>
          <w:color w:val="auto"/>
          <w:highlight w:val="none"/>
        </w:rPr>
        <w:t>开户银行：</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开户银行：</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eastAsia="zh-CN"/>
        </w:rPr>
        <w:t xml:space="preserve">    </w:t>
      </w:r>
    </w:p>
    <w:p w14:paraId="031E7CB6">
      <w:pPr>
        <w:tabs>
          <w:tab w:val="left" w:pos="2880"/>
          <w:tab w:val="left" w:pos="3060"/>
          <w:tab w:val="left" w:pos="4500"/>
        </w:tabs>
        <w:spacing w:line="360" w:lineRule="auto"/>
        <w:rPr>
          <w:rFonts w:hint="eastAsia" w:eastAsia="宋体"/>
          <w:color w:val="auto"/>
          <w:highlight w:val="none"/>
          <w:lang w:eastAsia="zh-CN"/>
        </w:rPr>
      </w:pPr>
      <w:r>
        <w:rPr>
          <w:rFonts w:hAnsi="宋体"/>
          <w:color w:val="auto"/>
          <w:highlight w:val="none"/>
        </w:rPr>
        <w:t>账</w:t>
      </w:r>
      <w:r>
        <w:rPr>
          <w:color w:val="auto"/>
          <w:highlight w:val="none"/>
        </w:rPr>
        <w:t xml:space="preserve">  </w:t>
      </w:r>
      <w:r>
        <w:rPr>
          <w:rFonts w:hAnsi="宋体"/>
          <w:color w:val="auto"/>
          <w:highlight w:val="none"/>
        </w:rPr>
        <w:t>号：</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ascii="宋体" w:hAnsi="宋体"/>
          <w:color w:val="auto"/>
          <w:highlight w:val="none"/>
          <w:u w:val="single"/>
          <w:lang w:eastAsia="zh-CN"/>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账</w:t>
      </w:r>
      <w:r>
        <w:rPr>
          <w:color w:val="auto"/>
          <w:highlight w:val="none"/>
        </w:rPr>
        <w:t xml:space="preserve">  </w:t>
      </w:r>
      <w:r>
        <w:rPr>
          <w:rFonts w:hAnsi="宋体"/>
          <w:color w:val="auto"/>
          <w:highlight w:val="none"/>
        </w:rPr>
        <w:t>号：</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eastAsia="zh-CN"/>
        </w:rPr>
        <w:t xml:space="preserve">  </w:t>
      </w:r>
    </w:p>
    <w:p w14:paraId="174E2AE0">
      <w:pPr>
        <w:tabs>
          <w:tab w:val="left" w:pos="7200"/>
          <w:tab w:val="left" w:pos="7380"/>
          <w:tab w:val="left" w:pos="7560"/>
        </w:tabs>
        <w:spacing w:line="360" w:lineRule="auto"/>
        <w:rPr>
          <w:rFonts w:hint="eastAsia" w:eastAsia="宋体"/>
          <w:color w:val="auto"/>
          <w:highlight w:val="none"/>
          <w:lang w:eastAsia="zh-CN"/>
        </w:rPr>
      </w:pPr>
      <w:r>
        <w:rPr>
          <w:rFonts w:hAnsi="宋体"/>
          <w:color w:val="auto"/>
          <w:highlight w:val="none"/>
        </w:rPr>
        <w:t>邮政编码：</w:t>
      </w:r>
      <w:r>
        <w:rPr>
          <w:color w:val="auto"/>
          <w:highlight w:val="none"/>
          <w:u w:val="single"/>
        </w:rPr>
        <w:t xml:space="preserve"> </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邮政编码：</w:t>
      </w:r>
      <w:r>
        <w:rPr>
          <w:rFonts w:hint="eastAsia" w:ascii="宋体" w:hAnsi="宋体"/>
          <w:color w:val="auto"/>
          <w:highlight w:val="none"/>
          <w:u w:val="single"/>
          <w:lang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eastAsia="zh-CN"/>
        </w:rPr>
        <w:t xml:space="preserve">  </w:t>
      </w:r>
    </w:p>
    <w:p w14:paraId="291F4AAC">
      <w:pPr>
        <w:spacing w:before="120" w:beforeLines="50" w:after="120" w:afterLines="50" w:line="440" w:lineRule="exact"/>
        <w:jc w:val="center"/>
        <w:rPr>
          <w:rFonts w:ascii="黑体" w:hAnsi="宋体" w:eastAsia="黑体"/>
          <w:color w:val="auto"/>
          <w:sz w:val="32"/>
          <w:szCs w:val="32"/>
          <w:highlight w:val="none"/>
        </w:rPr>
      </w:pPr>
    </w:p>
    <w:p w14:paraId="628FE6B2">
      <w:pPr>
        <w:spacing w:before="120" w:beforeLines="50" w:after="120" w:afterLines="50" w:line="440" w:lineRule="exact"/>
        <w:jc w:val="center"/>
        <w:rPr>
          <w:rFonts w:ascii="黑体" w:hAnsi="宋体" w:eastAsia="黑体"/>
          <w:color w:val="auto"/>
          <w:sz w:val="32"/>
          <w:szCs w:val="32"/>
          <w:highlight w:val="none"/>
        </w:rPr>
      </w:pPr>
    </w:p>
    <w:p w14:paraId="083D1AFD">
      <w:pPr>
        <w:spacing w:before="120" w:beforeLines="50" w:after="120" w:afterLines="50" w:line="440" w:lineRule="exact"/>
        <w:jc w:val="center"/>
        <w:rPr>
          <w:rFonts w:ascii="黑体" w:hAnsi="宋体" w:eastAsia="黑体"/>
          <w:color w:val="auto"/>
          <w:sz w:val="32"/>
          <w:szCs w:val="32"/>
          <w:highlight w:val="none"/>
        </w:rPr>
      </w:pPr>
    </w:p>
    <w:p w14:paraId="4FEF9E54">
      <w:pPr>
        <w:spacing w:before="120" w:beforeLines="50" w:after="120" w:afterLines="50" w:line="440" w:lineRule="exact"/>
        <w:jc w:val="center"/>
        <w:rPr>
          <w:rFonts w:ascii="黑体" w:hAnsi="宋体" w:eastAsia="黑体"/>
          <w:color w:val="auto"/>
          <w:sz w:val="32"/>
          <w:szCs w:val="32"/>
          <w:highlight w:val="none"/>
        </w:rPr>
      </w:pPr>
    </w:p>
    <w:p w14:paraId="38D7083A">
      <w:pPr>
        <w:spacing w:before="120" w:beforeLines="50" w:after="120" w:afterLines="50" w:line="440" w:lineRule="exact"/>
        <w:jc w:val="center"/>
        <w:rPr>
          <w:rFonts w:ascii="黑体" w:hAnsi="宋体" w:eastAsia="黑体"/>
          <w:color w:val="auto"/>
          <w:sz w:val="32"/>
          <w:szCs w:val="32"/>
          <w:highlight w:val="none"/>
        </w:rPr>
      </w:pPr>
    </w:p>
    <w:p w14:paraId="03B1AAFA">
      <w:pPr>
        <w:spacing w:before="120" w:beforeLines="50" w:after="120" w:afterLines="50" w:line="440" w:lineRule="exact"/>
        <w:jc w:val="center"/>
        <w:rPr>
          <w:rFonts w:ascii="黑体" w:hAnsi="宋体" w:eastAsia="黑体"/>
          <w:color w:val="auto"/>
          <w:sz w:val="32"/>
          <w:szCs w:val="32"/>
          <w:highlight w:val="none"/>
        </w:rPr>
      </w:pPr>
    </w:p>
    <w:p w14:paraId="0781092E">
      <w:pPr>
        <w:spacing w:before="120" w:beforeLines="50" w:after="120" w:afterLines="50" w:line="440" w:lineRule="exact"/>
        <w:jc w:val="center"/>
        <w:rPr>
          <w:rFonts w:ascii="黑体" w:hAnsi="宋体" w:eastAsia="黑体"/>
          <w:color w:val="auto"/>
          <w:sz w:val="32"/>
          <w:szCs w:val="32"/>
          <w:highlight w:val="none"/>
        </w:rPr>
      </w:pPr>
    </w:p>
    <w:p w14:paraId="77C1E79F">
      <w:pPr>
        <w:spacing w:before="120" w:beforeLines="50" w:after="120" w:afterLines="50" w:line="440" w:lineRule="exact"/>
        <w:jc w:val="center"/>
        <w:rPr>
          <w:rFonts w:ascii="黑体" w:hAnsi="宋体" w:eastAsia="黑体"/>
          <w:color w:val="auto"/>
          <w:sz w:val="32"/>
          <w:szCs w:val="32"/>
          <w:highlight w:val="none"/>
        </w:rPr>
      </w:pPr>
    </w:p>
    <w:p w14:paraId="61807E44">
      <w:pPr>
        <w:spacing w:before="120" w:beforeLines="50" w:after="120" w:afterLines="50" w:line="440" w:lineRule="exact"/>
        <w:jc w:val="left"/>
        <w:rPr>
          <w:rFonts w:hint="eastAsia" w:ascii="仿宋_GB2312" w:eastAsia="仿宋_GB2312" w:cs="仿宋_GB2312"/>
          <w:color w:val="auto"/>
          <w:sz w:val="30"/>
          <w:szCs w:val="30"/>
          <w:highlight w:val="none"/>
        </w:rPr>
      </w:pPr>
    </w:p>
    <w:p w14:paraId="663A9DAA">
      <w:pPr>
        <w:spacing w:before="120" w:beforeLines="50" w:after="120" w:afterLines="50" w:line="440" w:lineRule="exact"/>
        <w:jc w:val="left"/>
        <w:rPr>
          <w:rFonts w:eastAsia="黑体"/>
          <w:color w:val="auto"/>
          <w:sz w:val="30"/>
          <w:szCs w:val="30"/>
          <w:highlight w:val="none"/>
        </w:rPr>
      </w:pPr>
      <w:r>
        <w:rPr>
          <w:rFonts w:hint="eastAsia" w:ascii="仿宋_GB2312" w:eastAsia="仿宋_GB2312" w:cs="仿宋_GB2312"/>
          <w:color w:val="auto"/>
          <w:sz w:val="30"/>
          <w:szCs w:val="30"/>
          <w:highlight w:val="none"/>
        </w:rPr>
        <w:t>附件3：</w:t>
      </w:r>
      <w:r>
        <w:rPr>
          <w:rFonts w:hint="eastAsia" w:ascii="仿宋_GB2312" w:eastAsia="仿宋_GB2312" w:cs="仿宋_GB2312"/>
          <w:color w:val="auto"/>
          <w:sz w:val="30"/>
          <w:szCs w:val="30"/>
          <w:highlight w:val="none"/>
          <w:lang w:val="en-US" w:eastAsia="zh-CN"/>
        </w:rPr>
        <w:t>主要建设工程文件目录</w:t>
      </w:r>
    </w:p>
    <w:p w14:paraId="3B7F677C">
      <w:pPr>
        <w:spacing w:before="120" w:beforeLines="50" w:after="120" w:afterLines="50" w:line="440" w:lineRule="exact"/>
        <w:jc w:val="center"/>
        <w:rPr>
          <w:rFonts w:eastAsia="黑体"/>
          <w:color w:val="auto"/>
          <w:sz w:val="30"/>
          <w:szCs w:val="30"/>
          <w:highlight w:val="none"/>
        </w:rPr>
      </w:pPr>
      <w:r>
        <w:rPr>
          <w:rFonts w:eastAsia="黑体"/>
          <w:color w:val="auto"/>
          <w:sz w:val="30"/>
          <w:szCs w:val="30"/>
          <w:highlight w:val="none"/>
        </w:rPr>
        <w:t>主要建设工程文件目录</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138350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167BA44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30"/>
                <w:highlight w:val="none"/>
              </w:rPr>
            </w:pPr>
            <w:r>
              <w:rPr>
                <w:rFonts w:hint="default" w:ascii="Calibri" w:hAnsi="Calibri" w:eastAsia="仿宋_GB2312" w:cs="Times New Roman"/>
                <w:color w:val="auto"/>
                <w:sz w:val="28"/>
                <w:szCs w:val="30"/>
                <w:highlight w:val="none"/>
              </w:rPr>
              <w:t>文件名称</w:t>
            </w:r>
          </w:p>
        </w:tc>
        <w:tc>
          <w:tcPr>
            <w:tcW w:w="1276" w:type="dxa"/>
            <w:tcBorders>
              <w:top w:val="single" w:color="auto" w:sz="12" w:space="0"/>
              <w:bottom w:val="double" w:color="auto" w:sz="6" w:space="0"/>
            </w:tcBorders>
            <w:noWrap w:val="0"/>
            <w:vAlign w:val="center"/>
          </w:tcPr>
          <w:p w14:paraId="69EB203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30"/>
                <w:highlight w:val="none"/>
              </w:rPr>
            </w:pPr>
            <w:r>
              <w:rPr>
                <w:rFonts w:hint="default" w:ascii="Calibri" w:hAnsi="Calibri" w:eastAsia="仿宋_GB2312" w:cs="Times New Roman"/>
                <w:color w:val="auto"/>
                <w:sz w:val="28"/>
                <w:szCs w:val="30"/>
                <w:highlight w:val="none"/>
              </w:rPr>
              <w:t>套数</w:t>
            </w:r>
          </w:p>
        </w:tc>
        <w:tc>
          <w:tcPr>
            <w:tcW w:w="1450" w:type="dxa"/>
            <w:tcBorders>
              <w:top w:val="single" w:color="auto" w:sz="12" w:space="0"/>
              <w:bottom w:val="double" w:color="auto" w:sz="6" w:space="0"/>
            </w:tcBorders>
            <w:noWrap w:val="0"/>
            <w:vAlign w:val="center"/>
          </w:tcPr>
          <w:p w14:paraId="4805699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30"/>
                <w:highlight w:val="none"/>
              </w:rPr>
            </w:pPr>
            <w:r>
              <w:rPr>
                <w:rFonts w:hint="default" w:ascii="Calibri" w:hAnsi="Calibri" w:eastAsia="仿宋_GB2312" w:cs="Times New Roman"/>
                <w:color w:val="auto"/>
                <w:sz w:val="28"/>
                <w:szCs w:val="30"/>
                <w:highlight w:val="none"/>
              </w:rPr>
              <w:t>费用</w:t>
            </w:r>
            <w:r>
              <w:rPr>
                <w:rFonts w:hint="eastAsia" w:ascii="Calibri" w:hAnsi="Calibri" w:eastAsia="仿宋_GB2312" w:cs="Times New Roman"/>
                <w:color w:val="auto"/>
                <w:sz w:val="28"/>
                <w:szCs w:val="30"/>
                <w:highlight w:val="none"/>
              </w:rPr>
              <w:t>（元）</w:t>
            </w:r>
          </w:p>
        </w:tc>
        <w:tc>
          <w:tcPr>
            <w:tcW w:w="1243" w:type="dxa"/>
            <w:tcBorders>
              <w:top w:val="single" w:color="auto" w:sz="12" w:space="0"/>
              <w:bottom w:val="double" w:color="auto" w:sz="6" w:space="0"/>
            </w:tcBorders>
            <w:noWrap w:val="0"/>
            <w:vAlign w:val="center"/>
          </w:tcPr>
          <w:p w14:paraId="0A6050C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30"/>
                <w:highlight w:val="none"/>
              </w:rPr>
            </w:pPr>
            <w:r>
              <w:rPr>
                <w:rFonts w:hint="default" w:ascii="Calibri" w:hAnsi="Calibri" w:eastAsia="仿宋_GB2312" w:cs="Times New Roman"/>
                <w:color w:val="auto"/>
                <w:sz w:val="28"/>
                <w:szCs w:val="30"/>
                <w:highlight w:val="none"/>
              </w:rPr>
              <w:t>质量</w:t>
            </w:r>
          </w:p>
        </w:tc>
        <w:tc>
          <w:tcPr>
            <w:tcW w:w="1450" w:type="dxa"/>
            <w:tcBorders>
              <w:top w:val="single" w:color="auto" w:sz="12" w:space="0"/>
              <w:bottom w:val="double" w:color="auto" w:sz="6" w:space="0"/>
            </w:tcBorders>
            <w:noWrap w:val="0"/>
            <w:vAlign w:val="top"/>
          </w:tcPr>
          <w:p w14:paraId="2568152B">
            <w:pPr>
              <w:keepNext w:val="0"/>
              <w:keepLines w:val="0"/>
              <w:suppressLineNumbers w:val="0"/>
              <w:spacing w:before="0" w:beforeAutospacing="0" w:after="0" w:afterAutospacing="0" w:line="440" w:lineRule="exact"/>
              <w:ind w:left="0" w:right="0"/>
              <w:jc w:val="center"/>
              <w:rPr>
                <w:rFonts w:hint="default" w:ascii="Calibri" w:hAnsi="Calibri" w:eastAsia="仿宋_GB2312" w:cs="Times New Roman"/>
                <w:color w:val="auto"/>
                <w:sz w:val="28"/>
                <w:szCs w:val="30"/>
                <w:highlight w:val="none"/>
              </w:rPr>
            </w:pPr>
            <w:r>
              <w:rPr>
                <w:rFonts w:hint="default" w:ascii="Calibri" w:hAnsi="Calibri" w:eastAsia="仿宋_GB2312" w:cs="Times New Roman"/>
                <w:color w:val="auto"/>
                <w:sz w:val="28"/>
                <w:szCs w:val="30"/>
                <w:highlight w:val="none"/>
              </w:rPr>
              <w:t>移交时间</w:t>
            </w:r>
          </w:p>
        </w:tc>
        <w:tc>
          <w:tcPr>
            <w:tcW w:w="1667" w:type="dxa"/>
            <w:tcBorders>
              <w:top w:val="single" w:color="auto" w:sz="12" w:space="0"/>
              <w:bottom w:val="double" w:color="auto" w:sz="6" w:space="0"/>
            </w:tcBorders>
            <w:noWrap w:val="0"/>
            <w:vAlign w:val="top"/>
          </w:tcPr>
          <w:p w14:paraId="1E0FEB22">
            <w:pPr>
              <w:keepNext w:val="0"/>
              <w:keepLines w:val="0"/>
              <w:suppressLineNumbers w:val="0"/>
              <w:spacing w:before="0" w:beforeAutospacing="0" w:after="0" w:afterAutospacing="0" w:line="440" w:lineRule="exact"/>
              <w:ind w:left="0" w:right="0"/>
              <w:jc w:val="center"/>
              <w:rPr>
                <w:rFonts w:hint="default" w:ascii="Calibri" w:hAnsi="Calibri" w:eastAsia="仿宋_GB2312" w:cs="Times New Roman"/>
                <w:color w:val="auto"/>
                <w:sz w:val="28"/>
                <w:szCs w:val="30"/>
                <w:highlight w:val="none"/>
              </w:rPr>
            </w:pPr>
            <w:r>
              <w:rPr>
                <w:rFonts w:hint="default" w:ascii="Calibri" w:hAnsi="Calibri" w:eastAsia="仿宋_GB2312" w:cs="Times New Roman"/>
                <w:color w:val="auto"/>
                <w:sz w:val="28"/>
                <w:szCs w:val="30"/>
                <w:highlight w:val="none"/>
              </w:rPr>
              <w:t>责任人</w:t>
            </w:r>
          </w:p>
        </w:tc>
      </w:tr>
      <w:tr w14:paraId="64CCE6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5F4F268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tcBorders>
              <w:top w:val="double" w:color="auto" w:sz="6" w:space="0"/>
              <w:bottom w:val="single" w:color="auto" w:sz="6" w:space="0"/>
            </w:tcBorders>
            <w:noWrap w:val="0"/>
            <w:vAlign w:val="center"/>
          </w:tcPr>
          <w:p w14:paraId="6EA08B0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tcBorders>
              <w:top w:val="double" w:color="auto" w:sz="6" w:space="0"/>
              <w:bottom w:val="single" w:color="auto" w:sz="6" w:space="0"/>
            </w:tcBorders>
            <w:noWrap w:val="0"/>
            <w:vAlign w:val="center"/>
          </w:tcPr>
          <w:p w14:paraId="42D41DA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tcBorders>
              <w:top w:val="double" w:color="auto" w:sz="6" w:space="0"/>
              <w:bottom w:val="single" w:color="auto" w:sz="6" w:space="0"/>
            </w:tcBorders>
            <w:noWrap w:val="0"/>
            <w:vAlign w:val="center"/>
          </w:tcPr>
          <w:p w14:paraId="647A4E1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tcBorders>
              <w:top w:val="double" w:color="auto" w:sz="6" w:space="0"/>
              <w:bottom w:val="single" w:color="auto" w:sz="6" w:space="0"/>
            </w:tcBorders>
            <w:noWrap w:val="0"/>
            <w:vAlign w:val="center"/>
          </w:tcPr>
          <w:p w14:paraId="7F92E89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tcBorders>
              <w:top w:val="double" w:color="auto" w:sz="6" w:space="0"/>
              <w:bottom w:val="single" w:color="auto" w:sz="6" w:space="0"/>
            </w:tcBorders>
            <w:noWrap w:val="0"/>
            <w:vAlign w:val="center"/>
          </w:tcPr>
          <w:p w14:paraId="2E27375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A6BC0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3F1C535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tcBorders>
              <w:top w:val="nil"/>
            </w:tcBorders>
            <w:noWrap w:val="0"/>
            <w:vAlign w:val="center"/>
          </w:tcPr>
          <w:p w14:paraId="0976278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tcBorders>
              <w:top w:val="nil"/>
            </w:tcBorders>
            <w:noWrap w:val="0"/>
            <w:vAlign w:val="center"/>
          </w:tcPr>
          <w:p w14:paraId="6662513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tcBorders>
              <w:top w:val="nil"/>
            </w:tcBorders>
            <w:noWrap w:val="0"/>
            <w:vAlign w:val="center"/>
          </w:tcPr>
          <w:p w14:paraId="4285FE6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tcBorders>
              <w:top w:val="nil"/>
            </w:tcBorders>
            <w:noWrap w:val="0"/>
            <w:vAlign w:val="center"/>
          </w:tcPr>
          <w:p w14:paraId="78708BC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tcBorders>
              <w:top w:val="nil"/>
            </w:tcBorders>
            <w:noWrap w:val="0"/>
            <w:vAlign w:val="center"/>
          </w:tcPr>
          <w:p w14:paraId="6BDF6DC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7DB08C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636960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noWrap w:val="0"/>
            <w:vAlign w:val="center"/>
          </w:tcPr>
          <w:p w14:paraId="4CE1769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5F15F5A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noWrap w:val="0"/>
            <w:vAlign w:val="center"/>
          </w:tcPr>
          <w:p w14:paraId="7FD62F6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62546E1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noWrap w:val="0"/>
            <w:vAlign w:val="center"/>
          </w:tcPr>
          <w:p w14:paraId="5A1AC2F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8BA28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7390BF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noWrap w:val="0"/>
            <w:vAlign w:val="center"/>
          </w:tcPr>
          <w:p w14:paraId="36ABE71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6DE379B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noWrap w:val="0"/>
            <w:vAlign w:val="center"/>
          </w:tcPr>
          <w:p w14:paraId="5FAF09B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5541783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noWrap w:val="0"/>
            <w:vAlign w:val="center"/>
          </w:tcPr>
          <w:p w14:paraId="5C96FBF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400FC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5E0F3F1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noWrap w:val="0"/>
            <w:vAlign w:val="center"/>
          </w:tcPr>
          <w:p w14:paraId="39D7C73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116C8E0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noWrap w:val="0"/>
            <w:vAlign w:val="center"/>
          </w:tcPr>
          <w:p w14:paraId="5101148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71E8F1F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noWrap w:val="0"/>
            <w:vAlign w:val="center"/>
          </w:tcPr>
          <w:p w14:paraId="3F6232A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73CC7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F8A7E4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noWrap w:val="0"/>
            <w:vAlign w:val="center"/>
          </w:tcPr>
          <w:p w14:paraId="00D1192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1F31F0B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noWrap w:val="0"/>
            <w:vAlign w:val="center"/>
          </w:tcPr>
          <w:p w14:paraId="51CBD87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73E315A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noWrap w:val="0"/>
            <w:vAlign w:val="center"/>
          </w:tcPr>
          <w:p w14:paraId="12F57DF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9F0D8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A6E9A7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noWrap w:val="0"/>
            <w:vAlign w:val="center"/>
          </w:tcPr>
          <w:p w14:paraId="6D8D4BA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03B8861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noWrap w:val="0"/>
            <w:vAlign w:val="center"/>
          </w:tcPr>
          <w:p w14:paraId="64EA357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7791F1B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noWrap w:val="0"/>
            <w:vAlign w:val="center"/>
          </w:tcPr>
          <w:p w14:paraId="0670CF1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56739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FC9AD8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noWrap w:val="0"/>
            <w:vAlign w:val="center"/>
          </w:tcPr>
          <w:p w14:paraId="07211C2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382ADBD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noWrap w:val="0"/>
            <w:vAlign w:val="center"/>
          </w:tcPr>
          <w:p w14:paraId="1B5122F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0EC17F9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noWrap w:val="0"/>
            <w:vAlign w:val="center"/>
          </w:tcPr>
          <w:p w14:paraId="4C82572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860FE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A63731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5485FFD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6347F2C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7006DBD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3FE8FC6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7C92A0E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76A5B2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3A5A6F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76" w:type="dxa"/>
            <w:noWrap w:val="0"/>
            <w:vAlign w:val="center"/>
          </w:tcPr>
          <w:p w14:paraId="155B259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52C346F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243" w:type="dxa"/>
            <w:noWrap w:val="0"/>
            <w:vAlign w:val="center"/>
          </w:tcPr>
          <w:p w14:paraId="3797587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50" w:type="dxa"/>
            <w:noWrap w:val="0"/>
            <w:vAlign w:val="center"/>
          </w:tcPr>
          <w:p w14:paraId="05A6739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667" w:type="dxa"/>
            <w:noWrap w:val="0"/>
            <w:vAlign w:val="center"/>
          </w:tcPr>
          <w:p w14:paraId="3940051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9C8AE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D82A6A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2F0A9E4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4EF804BE">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52BD07E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0E4D29A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1023D19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3C7494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4B9958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2329205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3D7DA1A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79B58E7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2C0DC46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388625A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77903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ADB9C4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4EB7CF8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612B610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0FF20E9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666A3D3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5D14BE8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085C35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21DF3B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3C7C988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360A5B0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0C30CE1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34F818B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2E01E71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261E2A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560D8D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4EB53D6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5AAB4F6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5DBCF46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47AC9C8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428488E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1252F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7903C1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23E8949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6366813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3701518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54C30A9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0D898A5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5DCD57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5C33DB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054356A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1591923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494256C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1409FBC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2BE4CD0E">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7B7CE4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2C5B3B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3FE8F5B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54CC096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24EA78E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20EC27C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67236B5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6FF644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C72F2C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76" w:type="dxa"/>
            <w:noWrap w:val="0"/>
            <w:vAlign w:val="top"/>
          </w:tcPr>
          <w:p w14:paraId="35DF302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486BA34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243" w:type="dxa"/>
            <w:noWrap w:val="0"/>
            <w:vAlign w:val="top"/>
          </w:tcPr>
          <w:p w14:paraId="47CB693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50" w:type="dxa"/>
            <w:noWrap w:val="0"/>
            <w:vAlign w:val="top"/>
          </w:tcPr>
          <w:p w14:paraId="4DDFAF6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667" w:type="dxa"/>
            <w:noWrap w:val="0"/>
            <w:vAlign w:val="top"/>
          </w:tcPr>
          <w:p w14:paraId="19B12A9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bl>
    <w:p w14:paraId="5BCEA8C5">
      <w:pPr>
        <w:spacing w:line="440" w:lineRule="exact"/>
        <w:rPr>
          <w:rFonts w:hint="eastAsia" w:eastAsia="仿宋_GB2312"/>
          <w:color w:val="auto"/>
          <w:sz w:val="30"/>
          <w:szCs w:val="30"/>
          <w:highlight w:val="none"/>
        </w:rPr>
      </w:pPr>
    </w:p>
    <w:p w14:paraId="2B5BEFB7">
      <w:pPr>
        <w:spacing w:before="120" w:beforeLines="50" w:after="120" w:afterLines="50" w:line="440" w:lineRule="exact"/>
        <w:jc w:val="left"/>
        <w:rPr>
          <w:rFonts w:eastAsia="黑体"/>
          <w:color w:val="auto"/>
          <w:sz w:val="30"/>
          <w:szCs w:val="30"/>
          <w:highlight w:val="none"/>
        </w:rPr>
      </w:pPr>
      <w:r>
        <w:rPr>
          <w:rFonts w:eastAsia="仿宋_GB2312"/>
          <w:color w:val="auto"/>
          <w:sz w:val="30"/>
          <w:szCs w:val="30"/>
          <w:highlight w:val="none"/>
        </w:rPr>
        <w:br w:type="page"/>
      </w:r>
      <w:r>
        <w:rPr>
          <w:rFonts w:hint="eastAsia" w:ascii="仿宋_GB2312" w:eastAsia="仿宋_GB2312" w:cs="仿宋_GB2312"/>
          <w:color w:val="auto"/>
          <w:sz w:val="30"/>
          <w:szCs w:val="30"/>
          <w:highlight w:val="none"/>
        </w:rPr>
        <w:t>附件4：</w:t>
      </w:r>
      <w:r>
        <w:rPr>
          <w:rFonts w:hint="eastAsia" w:ascii="仿宋_GB2312" w:eastAsia="仿宋_GB2312" w:cs="仿宋_GB2312"/>
          <w:color w:val="auto"/>
          <w:sz w:val="30"/>
          <w:szCs w:val="30"/>
          <w:highlight w:val="none"/>
          <w:lang w:val="en-US" w:eastAsia="zh-CN"/>
        </w:rPr>
        <w:t>承包人用于本工程施工的机械设备表</w:t>
      </w:r>
    </w:p>
    <w:p w14:paraId="3E3AC4C6">
      <w:pPr>
        <w:spacing w:line="440" w:lineRule="exact"/>
        <w:rPr>
          <w:rFonts w:eastAsia="黑体"/>
          <w:color w:val="auto"/>
          <w:sz w:val="30"/>
          <w:szCs w:val="30"/>
          <w:highlight w:val="none"/>
        </w:rPr>
      </w:pPr>
    </w:p>
    <w:p w14:paraId="3907B364">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承包人用于本工程施工的机械设备表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5016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2" w:type="dxa"/>
            <w:noWrap w:val="0"/>
            <w:vAlign w:val="center"/>
          </w:tcPr>
          <w:p w14:paraId="31469F1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序号</w:t>
            </w:r>
          </w:p>
        </w:tc>
        <w:tc>
          <w:tcPr>
            <w:tcW w:w="1418" w:type="dxa"/>
            <w:noWrap w:val="0"/>
            <w:vAlign w:val="center"/>
          </w:tcPr>
          <w:p w14:paraId="496BE7E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机械或设备名称</w:t>
            </w:r>
          </w:p>
        </w:tc>
        <w:tc>
          <w:tcPr>
            <w:tcW w:w="850" w:type="dxa"/>
            <w:noWrap w:val="0"/>
            <w:vAlign w:val="center"/>
          </w:tcPr>
          <w:p w14:paraId="688BE34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规格型号</w:t>
            </w:r>
          </w:p>
        </w:tc>
        <w:tc>
          <w:tcPr>
            <w:tcW w:w="1058" w:type="dxa"/>
            <w:noWrap w:val="0"/>
            <w:vAlign w:val="center"/>
          </w:tcPr>
          <w:p w14:paraId="2A4163A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数量</w:t>
            </w:r>
          </w:p>
        </w:tc>
        <w:tc>
          <w:tcPr>
            <w:tcW w:w="880" w:type="dxa"/>
            <w:noWrap w:val="0"/>
            <w:vAlign w:val="center"/>
          </w:tcPr>
          <w:p w14:paraId="745E411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产地</w:t>
            </w:r>
          </w:p>
        </w:tc>
        <w:tc>
          <w:tcPr>
            <w:tcW w:w="1020" w:type="dxa"/>
            <w:noWrap w:val="0"/>
            <w:vAlign w:val="center"/>
          </w:tcPr>
          <w:p w14:paraId="78F557A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制造年份</w:t>
            </w:r>
          </w:p>
        </w:tc>
        <w:tc>
          <w:tcPr>
            <w:tcW w:w="1480" w:type="dxa"/>
            <w:noWrap w:val="0"/>
            <w:vAlign w:val="center"/>
          </w:tcPr>
          <w:p w14:paraId="3C92C6C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额定功率（</w:t>
            </w:r>
            <w:r>
              <w:rPr>
                <w:rFonts w:hint="default" w:ascii="Calibri" w:hAnsi="Calibri" w:eastAsia="仿宋_GB2312" w:cs="Times New Roman"/>
                <w:color w:val="auto"/>
                <w:sz w:val="28"/>
                <w:szCs w:val="28"/>
                <w:highlight w:val="none"/>
              </w:rPr>
              <w:t>kW</w:t>
            </w:r>
            <w:r>
              <w:rPr>
                <w:rFonts w:hint="eastAsia" w:ascii="Calibri" w:hAnsi="Calibri" w:eastAsia="仿宋_GB2312" w:cs="仿宋_GB2312"/>
                <w:color w:val="auto"/>
                <w:sz w:val="28"/>
                <w:szCs w:val="28"/>
                <w:highlight w:val="none"/>
              </w:rPr>
              <w:t>）</w:t>
            </w:r>
          </w:p>
        </w:tc>
        <w:tc>
          <w:tcPr>
            <w:tcW w:w="1020" w:type="dxa"/>
            <w:noWrap w:val="0"/>
            <w:vAlign w:val="center"/>
          </w:tcPr>
          <w:p w14:paraId="15B2AD7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生产能力</w:t>
            </w:r>
          </w:p>
        </w:tc>
        <w:tc>
          <w:tcPr>
            <w:tcW w:w="921" w:type="dxa"/>
            <w:noWrap w:val="0"/>
            <w:vAlign w:val="center"/>
          </w:tcPr>
          <w:p w14:paraId="36EE3B6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备注</w:t>
            </w:r>
          </w:p>
        </w:tc>
      </w:tr>
      <w:tr w14:paraId="204D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6BF7464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14EF8C4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59BA48B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18E5409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6CF7F94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646207C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6E47B62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687045A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1C3507E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24310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32DD4C1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2D6AD1A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6EA5A77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7066E7E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4B30013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041B3D1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1469A16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1E0465C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49F1E26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3237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62" w:type="dxa"/>
            <w:noWrap w:val="0"/>
            <w:vAlign w:val="center"/>
          </w:tcPr>
          <w:p w14:paraId="6ABD952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22A108E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5ED206A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68CB1C4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72B6140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0D1B07C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1445837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20F0AB0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4F1F417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0305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536783C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21B700C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48EACC8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711C4A5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0143E4B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69DD690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09A858C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17A6ABA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59515A5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596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4DC41C2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3E7F7AC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6A3EE63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190DDD7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76CDF99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7AF8162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5A95490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2F93C5F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06708F2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3868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51F9A72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1925ED0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2DBAD24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7A2AA29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7C71903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437230F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4F7A564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4D535AC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41ABFA9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48AD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60E4C8B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4F6F55F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24305BA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32734BB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1B72F86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3792410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651F377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2687BBA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15E5A48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7F5F5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77F92BF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6F16778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22234F4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5396068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7461B35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6AE12BD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0CD5F08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2720137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34C7D56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14D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09B6F21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71B21FB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6A99ABB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7475DF5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136AB72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31DC710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2BA0FF1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7674183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4F649E2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4AFF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0FEFD4E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18" w:type="dxa"/>
            <w:noWrap w:val="0"/>
            <w:vAlign w:val="center"/>
          </w:tcPr>
          <w:p w14:paraId="26BA534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50" w:type="dxa"/>
            <w:noWrap w:val="0"/>
            <w:vAlign w:val="center"/>
          </w:tcPr>
          <w:p w14:paraId="7641D71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58" w:type="dxa"/>
            <w:noWrap w:val="0"/>
            <w:vAlign w:val="center"/>
          </w:tcPr>
          <w:p w14:paraId="24146AD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880" w:type="dxa"/>
            <w:noWrap w:val="0"/>
            <w:vAlign w:val="center"/>
          </w:tcPr>
          <w:p w14:paraId="6DEF42C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058A302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480" w:type="dxa"/>
            <w:noWrap w:val="0"/>
            <w:vAlign w:val="center"/>
          </w:tcPr>
          <w:p w14:paraId="5027EA7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020" w:type="dxa"/>
            <w:noWrap w:val="0"/>
            <w:vAlign w:val="center"/>
          </w:tcPr>
          <w:p w14:paraId="4FA4FAE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921" w:type="dxa"/>
            <w:noWrap w:val="0"/>
            <w:vAlign w:val="center"/>
          </w:tcPr>
          <w:p w14:paraId="1BC8E0C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465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086F79C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0B4BC15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1360262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042E527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28FF1B5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5BF2C33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754FA94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03E9B86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1EFF1C2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0D84D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0A923F3E">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6C56B57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7054E09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698D3FD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473F273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6A6CF52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474D609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77F252D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0DA8D48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1F73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62" w:type="dxa"/>
            <w:noWrap w:val="0"/>
            <w:vAlign w:val="top"/>
          </w:tcPr>
          <w:p w14:paraId="1A38AFA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7520253E">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2DBEA47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5ED8486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4964EDE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0AE878B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63A6D82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6B7F356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472EBC2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6F6B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62" w:type="dxa"/>
            <w:noWrap w:val="0"/>
            <w:vAlign w:val="top"/>
          </w:tcPr>
          <w:p w14:paraId="631E36A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1B74EB4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3EC6DF5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427E3B9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59414C7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788B6A8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75515CC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18871DD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31D97B4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03B97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61A14F7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4ABF0FE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7219200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2CACA1E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2F3D6B24">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35D45E5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187DF0B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651703D7">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569CA66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1C1A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1229025E">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6D405A9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7F6D146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430DF82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373AECA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522D0D38">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39BE58D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63BCD2F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5BC691A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2C43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03A7C26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5CC599B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256C737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13B885F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3A1013A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3B7F197F">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308C102A">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79AEE153">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7A308D1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7C1F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1F424CD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4D7F023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3049A37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468A9535">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458F0EE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58B92851">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7D99172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63D4799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206B626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r w14:paraId="5B03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1A14F746">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18" w:type="dxa"/>
            <w:noWrap w:val="0"/>
            <w:vAlign w:val="top"/>
          </w:tcPr>
          <w:p w14:paraId="13CAD8B2">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50" w:type="dxa"/>
            <w:noWrap w:val="0"/>
            <w:vAlign w:val="top"/>
          </w:tcPr>
          <w:p w14:paraId="319A77AE">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58" w:type="dxa"/>
            <w:noWrap w:val="0"/>
            <w:vAlign w:val="top"/>
          </w:tcPr>
          <w:p w14:paraId="596BB16B">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880" w:type="dxa"/>
            <w:noWrap w:val="0"/>
            <w:vAlign w:val="top"/>
          </w:tcPr>
          <w:p w14:paraId="6EAD503C">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0B33BFDD">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480" w:type="dxa"/>
            <w:noWrap w:val="0"/>
            <w:vAlign w:val="top"/>
          </w:tcPr>
          <w:p w14:paraId="765F4740">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1020" w:type="dxa"/>
            <w:noWrap w:val="0"/>
            <w:vAlign w:val="top"/>
          </w:tcPr>
          <w:p w14:paraId="6FDDD239">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c>
          <w:tcPr>
            <w:tcW w:w="921" w:type="dxa"/>
            <w:noWrap w:val="0"/>
            <w:vAlign w:val="top"/>
          </w:tcPr>
          <w:p w14:paraId="42F7B51E">
            <w:pPr>
              <w:keepNext w:val="0"/>
              <w:keepLines w:val="0"/>
              <w:suppressLineNumbers w:val="0"/>
              <w:spacing w:before="0" w:beforeAutospacing="0" w:after="0" w:afterAutospacing="0"/>
              <w:ind w:left="0" w:right="0"/>
              <w:rPr>
                <w:rFonts w:hint="default" w:ascii="Calibri" w:hAnsi="Calibri" w:eastAsia="仿宋_GB2312" w:cs="Times New Roman"/>
                <w:color w:val="auto"/>
                <w:sz w:val="30"/>
                <w:szCs w:val="30"/>
                <w:highlight w:val="none"/>
              </w:rPr>
            </w:pPr>
          </w:p>
        </w:tc>
      </w:tr>
    </w:tbl>
    <w:p w14:paraId="31120589">
      <w:pPr>
        <w:spacing w:line="440" w:lineRule="exact"/>
        <w:rPr>
          <w:rFonts w:eastAsia="仿宋_GB2312"/>
          <w:color w:val="auto"/>
          <w:sz w:val="30"/>
          <w:szCs w:val="30"/>
          <w:highlight w:val="none"/>
        </w:rPr>
        <w:sectPr>
          <w:pgSz w:w="11907" w:h="16840"/>
          <w:pgMar w:top="1440" w:right="1440" w:bottom="1440" w:left="1797" w:header="851" w:footer="851" w:gutter="0"/>
          <w:cols w:space="720" w:num="1"/>
          <w:docGrid w:linePitch="312" w:charSpace="0"/>
        </w:sectPr>
      </w:pPr>
    </w:p>
    <w:p w14:paraId="5D6068F8">
      <w:pPr>
        <w:spacing w:before="120" w:beforeLines="50" w:after="120" w:afterLines="50" w:line="440" w:lineRule="exact"/>
        <w:jc w:val="left"/>
        <w:rPr>
          <w:rFonts w:hint="eastAsia" w:ascii="仿宋_GB2312" w:eastAsia="仿宋_GB2312" w:cs="仿宋_GB2312"/>
          <w:color w:val="auto"/>
          <w:sz w:val="30"/>
          <w:szCs w:val="30"/>
          <w:highlight w:val="none"/>
        </w:rPr>
      </w:pPr>
      <w:r>
        <w:rPr>
          <w:rFonts w:hint="eastAsia" w:ascii="仿宋_GB2312" w:eastAsia="仿宋_GB2312" w:cs="仿宋_GB2312"/>
          <w:color w:val="auto"/>
          <w:sz w:val="30"/>
          <w:szCs w:val="30"/>
          <w:highlight w:val="none"/>
        </w:rPr>
        <w:t>附</w:t>
      </w:r>
      <w:bookmarkStart w:id="1896" w:name="_Toc296891056"/>
      <w:bookmarkStart w:id="1897" w:name="_Toc296503228"/>
      <w:bookmarkStart w:id="1898" w:name="_Toc296891268"/>
      <w:bookmarkStart w:id="1899" w:name="_Toc296347227"/>
      <w:bookmarkStart w:id="1900" w:name="_Toc267261699"/>
      <w:bookmarkStart w:id="1901" w:name="_Toc296346729"/>
      <w:bookmarkStart w:id="1902" w:name="_Toc296944567"/>
      <w:r>
        <w:rPr>
          <w:rFonts w:hint="eastAsia" w:ascii="仿宋_GB2312" w:eastAsia="仿宋_GB2312" w:cs="仿宋_GB2312"/>
          <w:color w:val="auto"/>
          <w:sz w:val="30"/>
          <w:szCs w:val="30"/>
          <w:highlight w:val="none"/>
        </w:rPr>
        <w:t>件5：承包人主要施工管理人员表</w:t>
      </w:r>
    </w:p>
    <w:bookmarkEnd w:id="1896"/>
    <w:bookmarkEnd w:id="1897"/>
    <w:bookmarkEnd w:id="1898"/>
    <w:bookmarkEnd w:id="1899"/>
    <w:bookmarkEnd w:id="1900"/>
    <w:bookmarkEnd w:id="1901"/>
    <w:bookmarkEnd w:id="1902"/>
    <w:p w14:paraId="37BA7DF5">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承包人主要施工管理人员表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5263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6CCB8C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名</w:t>
            </w:r>
            <w:r>
              <w:rPr>
                <w:rFonts w:hint="default" w:ascii="Calibri" w:hAnsi="Calibri" w:eastAsia="仿宋_GB2312" w:cs="Times New Roman"/>
                <w:color w:val="auto"/>
                <w:sz w:val="28"/>
                <w:szCs w:val="28"/>
                <w:highlight w:val="none"/>
              </w:rPr>
              <w:t xml:space="preserve">    </w:t>
            </w:r>
            <w:r>
              <w:rPr>
                <w:rFonts w:hint="eastAsia" w:ascii="Calibri" w:hAnsi="Calibri" w:eastAsia="仿宋_GB2312" w:cs="仿宋_GB2312"/>
                <w:color w:val="auto"/>
                <w:sz w:val="28"/>
                <w:szCs w:val="28"/>
                <w:highlight w:val="none"/>
              </w:rPr>
              <w:t>称</w:t>
            </w:r>
          </w:p>
        </w:tc>
        <w:tc>
          <w:tcPr>
            <w:tcW w:w="1418" w:type="dxa"/>
            <w:noWrap w:val="0"/>
            <w:vAlign w:val="center"/>
          </w:tcPr>
          <w:p w14:paraId="4EB6820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姓名</w:t>
            </w:r>
          </w:p>
        </w:tc>
        <w:tc>
          <w:tcPr>
            <w:tcW w:w="1134" w:type="dxa"/>
            <w:noWrap w:val="0"/>
            <w:vAlign w:val="center"/>
          </w:tcPr>
          <w:p w14:paraId="76400CB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r>
              <w:rPr>
                <w:rFonts w:hint="eastAsia" w:ascii="Calibri" w:hAnsi="Calibri" w:eastAsia="仿宋_GB2312" w:cs="仿宋_GB2312"/>
                <w:color w:val="auto"/>
                <w:sz w:val="30"/>
                <w:szCs w:val="30"/>
                <w:highlight w:val="none"/>
              </w:rPr>
              <w:t>职务</w:t>
            </w:r>
          </w:p>
        </w:tc>
        <w:tc>
          <w:tcPr>
            <w:tcW w:w="1134" w:type="dxa"/>
            <w:noWrap w:val="0"/>
            <w:vAlign w:val="center"/>
          </w:tcPr>
          <w:p w14:paraId="4C263CF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r>
              <w:rPr>
                <w:rFonts w:hint="eastAsia" w:ascii="Calibri" w:hAnsi="Calibri" w:eastAsia="仿宋_GB2312" w:cs="仿宋_GB2312"/>
                <w:color w:val="auto"/>
                <w:sz w:val="30"/>
                <w:szCs w:val="30"/>
                <w:highlight w:val="none"/>
              </w:rPr>
              <w:t>职称</w:t>
            </w:r>
          </w:p>
        </w:tc>
        <w:tc>
          <w:tcPr>
            <w:tcW w:w="4252" w:type="dxa"/>
            <w:noWrap w:val="0"/>
            <w:vAlign w:val="center"/>
          </w:tcPr>
          <w:p w14:paraId="7CC43F26">
            <w:pPr>
              <w:pStyle w:val="17"/>
              <w:keepNext/>
              <w:keepLines w:val="0"/>
              <w:suppressLineNumbers w:val="0"/>
              <w:spacing w:before="0" w:beforeAutospacing="0" w:after="0" w:afterAutospacing="0" w:line="440" w:lineRule="exact"/>
              <w:ind w:left="0" w:leftChars="0" w:right="63"/>
              <w:rPr>
                <w:rFonts w:hint="default" w:ascii="Calibri" w:hAnsi="Calibri" w:eastAsia="仿宋_GB2312" w:cs="Times New Roman"/>
                <w:color w:val="auto"/>
                <w:sz w:val="30"/>
                <w:szCs w:val="30"/>
                <w:highlight w:val="none"/>
              </w:rPr>
            </w:pPr>
            <w:r>
              <w:rPr>
                <w:rFonts w:hint="eastAsia" w:ascii="Calibri" w:hAnsi="Calibri" w:eastAsia="仿宋_GB2312" w:cs="仿宋_GB2312"/>
                <w:color w:val="auto"/>
                <w:sz w:val="30"/>
                <w:szCs w:val="30"/>
                <w:highlight w:val="none"/>
              </w:rPr>
              <w:t>计划进场时间</w:t>
            </w:r>
          </w:p>
        </w:tc>
      </w:tr>
      <w:tr w14:paraId="66E3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7191591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一、总部人员</w:t>
            </w:r>
          </w:p>
        </w:tc>
      </w:tr>
      <w:tr w14:paraId="5EC5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DC4C4F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项目主管</w:t>
            </w:r>
          </w:p>
        </w:tc>
        <w:tc>
          <w:tcPr>
            <w:tcW w:w="1418" w:type="dxa"/>
            <w:noWrap w:val="0"/>
            <w:vAlign w:val="center"/>
          </w:tcPr>
          <w:p w14:paraId="59AABE5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8E0BC0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7659225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0E62ADA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41C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7B202AF4">
            <w:pPr>
              <w:pStyle w:val="17"/>
              <w:keepNext/>
              <w:keepLines w:val="0"/>
              <w:suppressLineNumbers w:val="0"/>
              <w:spacing w:before="0" w:beforeAutospacing="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其他人员</w:t>
            </w:r>
          </w:p>
        </w:tc>
        <w:tc>
          <w:tcPr>
            <w:tcW w:w="1418" w:type="dxa"/>
            <w:noWrap w:val="0"/>
            <w:vAlign w:val="center"/>
          </w:tcPr>
          <w:p w14:paraId="2AAB007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6A1B83B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7A749C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2E5AF6E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772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1C74A7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7A977EA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64E8392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327E04D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5D54001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822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4E31B9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1738760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0E06D01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D02183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1BE3DF2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6851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203773A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二、现场人员</w:t>
            </w:r>
          </w:p>
        </w:tc>
      </w:tr>
      <w:tr w14:paraId="50E4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E40C5E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项目经理</w:t>
            </w:r>
          </w:p>
        </w:tc>
        <w:tc>
          <w:tcPr>
            <w:tcW w:w="1418" w:type="dxa"/>
            <w:noWrap w:val="0"/>
            <w:vAlign w:val="center"/>
          </w:tcPr>
          <w:p w14:paraId="1E1A927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789B2B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42BFCA7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104FC7A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79F90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F47002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项目副经理</w:t>
            </w:r>
          </w:p>
        </w:tc>
        <w:tc>
          <w:tcPr>
            <w:tcW w:w="1418" w:type="dxa"/>
            <w:noWrap w:val="0"/>
            <w:vAlign w:val="center"/>
          </w:tcPr>
          <w:p w14:paraId="27B5A43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772CE3E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0F4AE07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49B328B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259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5AFD93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技术负责人</w:t>
            </w:r>
          </w:p>
        </w:tc>
        <w:tc>
          <w:tcPr>
            <w:tcW w:w="1418" w:type="dxa"/>
            <w:noWrap w:val="0"/>
            <w:vAlign w:val="center"/>
          </w:tcPr>
          <w:p w14:paraId="5D76B60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7112AB8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B7F387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46EACF6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8EF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77868F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造价管理</w:t>
            </w:r>
          </w:p>
        </w:tc>
        <w:tc>
          <w:tcPr>
            <w:tcW w:w="1418" w:type="dxa"/>
            <w:noWrap w:val="0"/>
            <w:vAlign w:val="center"/>
          </w:tcPr>
          <w:p w14:paraId="52445C0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02F92E1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15E10C0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13678B8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3040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28154B33">
            <w:pPr>
              <w:pStyle w:val="17"/>
              <w:keepNext/>
              <w:keepLines w:val="0"/>
              <w:suppressLineNumbers w:val="0"/>
              <w:spacing w:before="0" w:beforeAutospacing="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质量管理</w:t>
            </w:r>
          </w:p>
        </w:tc>
        <w:tc>
          <w:tcPr>
            <w:tcW w:w="1418" w:type="dxa"/>
            <w:noWrap w:val="0"/>
            <w:vAlign w:val="center"/>
          </w:tcPr>
          <w:p w14:paraId="5B12703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0E6681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1B7A1A4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042C369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7CD3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8B0AF38">
            <w:pPr>
              <w:pStyle w:val="17"/>
              <w:keepNext/>
              <w:keepLines w:val="0"/>
              <w:suppressLineNumbers w:val="0"/>
              <w:spacing w:before="0" w:beforeAutospacing="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5D1D20A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3F06ED8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464B400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3537EA8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37542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F4146E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0DD4185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6D12225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4916D90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6E0D9B8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3DE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54C17E2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材料管理</w:t>
            </w:r>
          </w:p>
        </w:tc>
        <w:tc>
          <w:tcPr>
            <w:tcW w:w="1418" w:type="dxa"/>
            <w:noWrap w:val="0"/>
            <w:vAlign w:val="center"/>
          </w:tcPr>
          <w:p w14:paraId="5E23B65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79599BB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4FE8BBF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1DB5388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0D4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2F6E8B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计划管理</w:t>
            </w:r>
          </w:p>
        </w:tc>
        <w:tc>
          <w:tcPr>
            <w:tcW w:w="1418" w:type="dxa"/>
            <w:noWrap w:val="0"/>
            <w:vAlign w:val="center"/>
          </w:tcPr>
          <w:p w14:paraId="5E54883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0188F2A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12C2229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0A93761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851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18D35D65">
            <w:pPr>
              <w:pStyle w:val="17"/>
              <w:keepNext/>
              <w:keepLines w:val="0"/>
              <w:suppressLineNumbers w:val="0"/>
              <w:spacing w:before="0" w:beforeAutospacing="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安全管理</w:t>
            </w:r>
          </w:p>
        </w:tc>
        <w:tc>
          <w:tcPr>
            <w:tcW w:w="1418" w:type="dxa"/>
            <w:noWrap w:val="0"/>
            <w:vAlign w:val="center"/>
          </w:tcPr>
          <w:p w14:paraId="7AEC109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DDD127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8F1E6A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33CD199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539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E70B846">
            <w:pPr>
              <w:pStyle w:val="17"/>
              <w:keepNext/>
              <w:keepLines w:val="0"/>
              <w:suppressLineNumbers w:val="0"/>
              <w:spacing w:before="0" w:beforeAutospacing="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44909BF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83028C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50A016D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2A98B1A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3F3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D33338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5C0DFC7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80AB70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7798769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7A0C6EF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3D3E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0AB107F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其他人员</w:t>
            </w:r>
          </w:p>
        </w:tc>
        <w:tc>
          <w:tcPr>
            <w:tcW w:w="1418" w:type="dxa"/>
            <w:noWrap w:val="0"/>
            <w:vAlign w:val="center"/>
          </w:tcPr>
          <w:p w14:paraId="7315C3F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53872DE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6F989A5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4015163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A1B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17CF22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31F7B24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3BF475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152B7B7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1E7E5D5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63BB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A9B0F4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46A7FE6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0A756D9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31B506C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071C6C6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15F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1744FA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3A59010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2CC4F7C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3BB20ED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4862CBF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F949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A77716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507745F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A23A0C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55CEC37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77BA97B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2395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627C44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2C1526A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3E7E974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5D7DC40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0E3A4EE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bl>
    <w:p w14:paraId="5A9B3924">
      <w:pPr>
        <w:spacing w:before="120" w:beforeLines="50" w:after="120" w:afterLines="50" w:line="440" w:lineRule="exact"/>
        <w:jc w:val="left"/>
        <w:rPr>
          <w:rFonts w:hint="eastAsia" w:ascii="仿宋_GB2312" w:eastAsia="仿宋_GB2312" w:cs="仿宋_GB2312"/>
          <w:color w:val="auto"/>
          <w:sz w:val="30"/>
          <w:szCs w:val="30"/>
          <w:highlight w:val="none"/>
        </w:rPr>
      </w:pPr>
      <w:r>
        <w:rPr>
          <w:rFonts w:eastAsia="仿宋_GB2312"/>
          <w:color w:val="auto"/>
          <w:sz w:val="30"/>
          <w:szCs w:val="30"/>
          <w:highlight w:val="none"/>
        </w:rPr>
        <w:br w:type="page"/>
      </w:r>
      <w:r>
        <w:rPr>
          <w:rFonts w:hint="eastAsia" w:ascii="仿宋_GB2312" w:eastAsia="仿宋_GB2312" w:cs="仿宋_GB2312"/>
          <w:color w:val="auto"/>
          <w:sz w:val="30"/>
          <w:szCs w:val="30"/>
          <w:highlight w:val="none"/>
        </w:rPr>
        <w:t>附</w:t>
      </w:r>
      <w:bookmarkStart w:id="1903" w:name="_Toc296891057"/>
      <w:bookmarkStart w:id="1904" w:name="_Toc296944568"/>
      <w:bookmarkStart w:id="1905" w:name="_Toc296503229"/>
      <w:bookmarkStart w:id="1906" w:name="_Toc296346730"/>
      <w:bookmarkStart w:id="1907" w:name="_Toc296347228"/>
      <w:bookmarkStart w:id="1908" w:name="_Toc296891269"/>
      <w:r>
        <w:rPr>
          <w:rFonts w:hint="eastAsia" w:ascii="仿宋_GB2312" w:eastAsia="仿宋_GB2312" w:cs="仿宋_GB2312"/>
          <w:color w:val="auto"/>
          <w:sz w:val="30"/>
          <w:szCs w:val="30"/>
          <w:highlight w:val="none"/>
        </w:rPr>
        <w:t>件6：</w:t>
      </w:r>
      <w:r>
        <w:rPr>
          <w:rFonts w:hint="eastAsia" w:ascii="仿宋_GB2312" w:eastAsia="仿宋_GB2312" w:cs="仿宋_GB2312"/>
          <w:color w:val="auto"/>
          <w:sz w:val="30"/>
          <w:szCs w:val="30"/>
          <w:highlight w:val="none"/>
          <w:lang w:val="en-US" w:eastAsia="zh-CN"/>
        </w:rPr>
        <w:t>分包人主要施工管理人员表</w:t>
      </w:r>
    </w:p>
    <w:bookmarkEnd w:id="1903"/>
    <w:bookmarkEnd w:id="1904"/>
    <w:bookmarkEnd w:id="1905"/>
    <w:bookmarkEnd w:id="1906"/>
    <w:bookmarkEnd w:id="1907"/>
    <w:bookmarkEnd w:id="1908"/>
    <w:p w14:paraId="285BDCD7">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分包人主要施工管理人员表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2298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BD3BED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名</w:t>
            </w:r>
            <w:r>
              <w:rPr>
                <w:rFonts w:hint="default" w:ascii="Calibri" w:hAnsi="Calibri" w:eastAsia="仿宋_GB2312" w:cs="Times New Roman"/>
                <w:color w:val="auto"/>
                <w:sz w:val="28"/>
                <w:szCs w:val="28"/>
                <w:highlight w:val="none"/>
              </w:rPr>
              <w:t xml:space="preserve">    </w:t>
            </w:r>
            <w:r>
              <w:rPr>
                <w:rFonts w:hint="eastAsia" w:ascii="Calibri" w:hAnsi="Calibri" w:eastAsia="仿宋_GB2312" w:cs="仿宋_GB2312"/>
                <w:color w:val="auto"/>
                <w:sz w:val="28"/>
                <w:szCs w:val="28"/>
                <w:highlight w:val="none"/>
              </w:rPr>
              <w:t>称</w:t>
            </w:r>
          </w:p>
        </w:tc>
        <w:tc>
          <w:tcPr>
            <w:tcW w:w="1418" w:type="dxa"/>
            <w:noWrap w:val="0"/>
            <w:vAlign w:val="center"/>
          </w:tcPr>
          <w:p w14:paraId="39D1880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姓名</w:t>
            </w:r>
          </w:p>
        </w:tc>
        <w:tc>
          <w:tcPr>
            <w:tcW w:w="1134" w:type="dxa"/>
            <w:noWrap w:val="0"/>
            <w:vAlign w:val="center"/>
          </w:tcPr>
          <w:p w14:paraId="73D3D1C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r>
              <w:rPr>
                <w:rFonts w:hint="eastAsia" w:ascii="Calibri" w:hAnsi="Calibri" w:eastAsia="仿宋_GB2312" w:cs="仿宋_GB2312"/>
                <w:color w:val="auto"/>
                <w:sz w:val="30"/>
                <w:szCs w:val="30"/>
                <w:highlight w:val="none"/>
              </w:rPr>
              <w:t>职务</w:t>
            </w:r>
          </w:p>
        </w:tc>
        <w:tc>
          <w:tcPr>
            <w:tcW w:w="1134" w:type="dxa"/>
            <w:noWrap w:val="0"/>
            <w:vAlign w:val="center"/>
          </w:tcPr>
          <w:p w14:paraId="11140DE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r>
              <w:rPr>
                <w:rFonts w:hint="eastAsia" w:ascii="Calibri" w:hAnsi="Calibri" w:eastAsia="仿宋_GB2312" w:cs="仿宋_GB2312"/>
                <w:color w:val="auto"/>
                <w:sz w:val="30"/>
                <w:szCs w:val="30"/>
                <w:highlight w:val="none"/>
              </w:rPr>
              <w:t>职称</w:t>
            </w:r>
          </w:p>
        </w:tc>
        <w:tc>
          <w:tcPr>
            <w:tcW w:w="4252" w:type="dxa"/>
            <w:noWrap w:val="0"/>
            <w:vAlign w:val="center"/>
          </w:tcPr>
          <w:p w14:paraId="4634538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r>
              <w:rPr>
                <w:rFonts w:hint="eastAsia" w:ascii="Calibri" w:hAnsi="Calibri" w:eastAsia="仿宋_GB2312" w:cs="仿宋_GB2312"/>
                <w:color w:val="auto"/>
                <w:sz w:val="30"/>
                <w:szCs w:val="30"/>
                <w:highlight w:val="none"/>
              </w:rPr>
              <w:t>主要资历、经验及承担过的项目</w:t>
            </w:r>
          </w:p>
        </w:tc>
      </w:tr>
      <w:tr w14:paraId="6E5F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74D3BEB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一、总部人员</w:t>
            </w:r>
          </w:p>
        </w:tc>
      </w:tr>
      <w:tr w14:paraId="5A3E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2AECA6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项目主管</w:t>
            </w:r>
          </w:p>
        </w:tc>
        <w:tc>
          <w:tcPr>
            <w:tcW w:w="1418" w:type="dxa"/>
            <w:noWrap w:val="0"/>
            <w:vAlign w:val="center"/>
          </w:tcPr>
          <w:p w14:paraId="0BB37D0E">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3228883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6E7B434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1FCCFA4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2C68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14FE54DF">
            <w:pPr>
              <w:pStyle w:val="17"/>
              <w:keepNext/>
              <w:keepLines w:val="0"/>
              <w:suppressLineNumbers w:val="0"/>
              <w:spacing w:before="0" w:beforeAutospacing="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其他人员</w:t>
            </w:r>
          </w:p>
        </w:tc>
        <w:tc>
          <w:tcPr>
            <w:tcW w:w="1418" w:type="dxa"/>
            <w:noWrap w:val="0"/>
            <w:vAlign w:val="center"/>
          </w:tcPr>
          <w:p w14:paraId="52962E2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3BAB4A5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6B0E1FF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5E0E104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389B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553F00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377766B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25414C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3FABEBB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0AFABD7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7CFF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77BD9B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5F377CA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112E49B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22F6FD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678FEBA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4C86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3BB1326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二、现场人员</w:t>
            </w:r>
          </w:p>
        </w:tc>
      </w:tr>
      <w:tr w14:paraId="5A26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DB6B79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项目经理</w:t>
            </w:r>
          </w:p>
        </w:tc>
        <w:tc>
          <w:tcPr>
            <w:tcW w:w="1418" w:type="dxa"/>
            <w:noWrap w:val="0"/>
            <w:vAlign w:val="center"/>
          </w:tcPr>
          <w:p w14:paraId="61C6998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6D4A1CA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5B5C598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332F503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8180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1C1A25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项目副经理</w:t>
            </w:r>
          </w:p>
        </w:tc>
        <w:tc>
          <w:tcPr>
            <w:tcW w:w="1418" w:type="dxa"/>
            <w:noWrap w:val="0"/>
            <w:vAlign w:val="center"/>
          </w:tcPr>
          <w:p w14:paraId="033AC41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81EC2D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6E8D2CD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2E5F717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27A1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687B0C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技术负责人</w:t>
            </w:r>
          </w:p>
        </w:tc>
        <w:tc>
          <w:tcPr>
            <w:tcW w:w="1418" w:type="dxa"/>
            <w:noWrap w:val="0"/>
            <w:vAlign w:val="center"/>
          </w:tcPr>
          <w:p w14:paraId="5D5CF4C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0A21668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4A89A72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530793C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25ED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4479BF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造价管理</w:t>
            </w:r>
          </w:p>
        </w:tc>
        <w:tc>
          <w:tcPr>
            <w:tcW w:w="1418" w:type="dxa"/>
            <w:noWrap w:val="0"/>
            <w:vAlign w:val="center"/>
          </w:tcPr>
          <w:p w14:paraId="3232CB3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0310E18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6282BA4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6175AAB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281E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51A9AF5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质量管理</w:t>
            </w:r>
          </w:p>
        </w:tc>
        <w:tc>
          <w:tcPr>
            <w:tcW w:w="1418" w:type="dxa"/>
            <w:noWrap w:val="0"/>
            <w:vAlign w:val="center"/>
          </w:tcPr>
          <w:p w14:paraId="43C9852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41DAEDD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7073A02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5E3D530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61A3D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52694A0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材料管理</w:t>
            </w:r>
          </w:p>
        </w:tc>
        <w:tc>
          <w:tcPr>
            <w:tcW w:w="1418" w:type="dxa"/>
            <w:noWrap w:val="0"/>
            <w:vAlign w:val="center"/>
          </w:tcPr>
          <w:p w14:paraId="0004C0F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5212FD5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35E8283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490A856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02385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1A596E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计划管理</w:t>
            </w:r>
          </w:p>
        </w:tc>
        <w:tc>
          <w:tcPr>
            <w:tcW w:w="1418" w:type="dxa"/>
            <w:noWrap w:val="0"/>
            <w:vAlign w:val="center"/>
          </w:tcPr>
          <w:p w14:paraId="18ACEAC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5EE5EE3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0C48897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0C1E070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77A2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42105B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安全管理</w:t>
            </w:r>
          </w:p>
        </w:tc>
        <w:tc>
          <w:tcPr>
            <w:tcW w:w="1418" w:type="dxa"/>
            <w:noWrap w:val="0"/>
            <w:vAlign w:val="center"/>
          </w:tcPr>
          <w:p w14:paraId="27B997F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25B5006F">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6B02D18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562D0DC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C96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751C0EB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r>
              <w:rPr>
                <w:rFonts w:hint="eastAsia" w:ascii="Calibri" w:hAnsi="Calibri" w:eastAsia="仿宋_GB2312" w:cs="仿宋_GB2312"/>
                <w:color w:val="auto"/>
                <w:sz w:val="28"/>
                <w:szCs w:val="28"/>
                <w:highlight w:val="none"/>
              </w:rPr>
              <w:t>其他人员</w:t>
            </w:r>
          </w:p>
        </w:tc>
        <w:tc>
          <w:tcPr>
            <w:tcW w:w="1418" w:type="dxa"/>
            <w:noWrap w:val="0"/>
            <w:vAlign w:val="center"/>
          </w:tcPr>
          <w:p w14:paraId="46CBBA8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615E064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7464821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3EE8A0F0">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6B48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2711BC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52137BD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6FD1632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64F146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6EF88454">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2902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9C66B6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503A5EA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65EACE4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7CC22B07">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41672FC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5D1E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0075808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08ED677D">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6A297E1A">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74006639">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06EC861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3AB2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5E285D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550D497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043A7386">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2D2C9EC1">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1F6BBA8C">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r w14:paraId="1B2E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520360B">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418" w:type="dxa"/>
            <w:noWrap w:val="0"/>
            <w:vAlign w:val="center"/>
          </w:tcPr>
          <w:p w14:paraId="6D7AB1E2">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28"/>
                <w:szCs w:val="28"/>
                <w:highlight w:val="none"/>
              </w:rPr>
            </w:pPr>
          </w:p>
        </w:tc>
        <w:tc>
          <w:tcPr>
            <w:tcW w:w="1134" w:type="dxa"/>
            <w:noWrap w:val="0"/>
            <w:vAlign w:val="center"/>
          </w:tcPr>
          <w:p w14:paraId="0FFE1F68">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1134" w:type="dxa"/>
            <w:noWrap w:val="0"/>
            <w:vAlign w:val="center"/>
          </w:tcPr>
          <w:p w14:paraId="3E4C5033">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c>
          <w:tcPr>
            <w:tcW w:w="4252" w:type="dxa"/>
            <w:noWrap w:val="0"/>
            <w:vAlign w:val="center"/>
          </w:tcPr>
          <w:p w14:paraId="0693E435">
            <w:pPr>
              <w:pStyle w:val="17"/>
              <w:keepNext/>
              <w:keepLines w:val="0"/>
              <w:suppressLineNumbers w:val="0"/>
              <w:spacing w:before="0" w:beforeAutospacing="0" w:after="0" w:afterAutospacing="0" w:line="440" w:lineRule="exact"/>
              <w:ind w:left="63" w:right="63"/>
              <w:rPr>
                <w:rFonts w:hint="default" w:ascii="Calibri" w:hAnsi="Calibri" w:eastAsia="仿宋_GB2312" w:cs="Times New Roman"/>
                <w:color w:val="auto"/>
                <w:sz w:val="30"/>
                <w:szCs w:val="30"/>
                <w:highlight w:val="none"/>
              </w:rPr>
            </w:pPr>
          </w:p>
        </w:tc>
      </w:tr>
    </w:tbl>
    <w:p w14:paraId="5BD0114F">
      <w:pPr>
        <w:spacing w:before="120" w:beforeLines="50" w:after="120" w:afterLines="50" w:line="440" w:lineRule="exact"/>
        <w:jc w:val="left"/>
        <w:rPr>
          <w:rFonts w:hint="eastAsia" w:ascii="仿宋_GB2312" w:eastAsia="仿宋_GB2312" w:cs="仿宋_GB2312"/>
          <w:color w:val="auto"/>
          <w:sz w:val="30"/>
          <w:szCs w:val="30"/>
          <w:highlight w:val="none"/>
          <w:lang w:eastAsia="zh-CN"/>
        </w:rPr>
      </w:pPr>
      <w:r>
        <w:rPr>
          <w:rFonts w:eastAsia="仿宋_GB2312"/>
          <w:color w:val="auto"/>
          <w:sz w:val="30"/>
          <w:szCs w:val="30"/>
          <w:highlight w:val="none"/>
        </w:rPr>
        <w:br w:type="page"/>
      </w:r>
      <w:bookmarkStart w:id="1909" w:name="_Toc267261701"/>
      <w:r>
        <w:rPr>
          <w:rFonts w:hint="eastAsia" w:ascii="仿宋_GB2312" w:eastAsia="仿宋_GB2312" w:cs="仿宋_GB2312"/>
          <w:color w:val="auto"/>
          <w:sz w:val="30"/>
          <w:szCs w:val="30"/>
          <w:highlight w:val="none"/>
        </w:rPr>
        <w:t>附件7</w:t>
      </w:r>
      <w:r>
        <w:rPr>
          <w:rFonts w:hint="eastAsia" w:ascii="仿宋_GB2312" w:eastAsia="仿宋_GB2312" w:cs="仿宋_GB2312"/>
          <w:color w:val="auto"/>
          <w:sz w:val="30"/>
          <w:szCs w:val="30"/>
          <w:highlight w:val="none"/>
          <w:lang w:eastAsia="zh-CN"/>
        </w:rPr>
        <w:t>：履约保函示范文本</w:t>
      </w:r>
    </w:p>
    <w:p w14:paraId="6EB6B00E">
      <w:pPr>
        <w:spacing w:line="360" w:lineRule="auto"/>
        <w:jc w:val="left"/>
        <w:rPr>
          <w:rFonts w:ascii="黑体" w:hAnsi="黑体" w:eastAsia="黑体" w:cs="黑体"/>
          <w:b/>
          <w:bCs/>
          <w:color w:val="auto"/>
          <w:sz w:val="32"/>
          <w:szCs w:val="32"/>
          <w:highlight w:val="none"/>
        </w:rPr>
      </w:pPr>
    </w:p>
    <w:p w14:paraId="0669E52A">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履约保函示范文本</w:t>
      </w:r>
    </w:p>
    <w:p w14:paraId="5DD4B0FE">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11798924">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38D1023B">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76062C48">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442A05F3">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78B9DEC2">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2A2A6169">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031AEE56">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4B2D2436">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68FB088D">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p w14:paraId="0B64BD9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受益人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申请人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本工程</w:t>
      </w:r>
      <w:r>
        <w:rPr>
          <w:rFonts w:hint="eastAsia" w:ascii="宋体" w:hAnsi="宋体"/>
          <w:color w:val="auto"/>
          <w:sz w:val="24"/>
          <w:szCs w:val="24"/>
          <w:highlight w:val="none"/>
          <w:lang w:eastAsia="zh-CN"/>
        </w:rPr>
        <w:t>”</w:t>
      </w:r>
      <w:r>
        <w:rPr>
          <w:rFonts w:hint="eastAsia" w:ascii="宋体" w:hAnsi="宋体"/>
          <w:color w:val="auto"/>
          <w:sz w:val="24"/>
          <w:szCs w:val="24"/>
          <w:highlight w:val="none"/>
        </w:rPr>
        <w:t>）施工和有关事项协商一致共同签订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基础合同</w:t>
      </w:r>
      <w:r>
        <w:rPr>
          <w:rFonts w:hint="eastAsia" w:ascii="宋体" w:hAnsi="宋体"/>
          <w:color w:val="auto"/>
          <w:sz w:val="24"/>
          <w:szCs w:val="24"/>
          <w:highlight w:val="none"/>
          <w:lang w:eastAsia="zh-CN"/>
        </w:rPr>
        <w:t>”</w:t>
      </w:r>
      <w:r>
        <w:rPr>
          <w:rFonts w:hint="eastAsia" w:ascii="宋体" w:hAnsi="宋体"/>
          <w:color w:val="auto"/>
          <w:sz w:val="24"/>
          <w:szCs w:val="24"/>
          <w:highlight w:val="none"/>
        </w:rPr>
        <w:t>），我方（即</w:t>
      </w:r>
      <w:r>
        <w:rPr>
          <w:rFonts w:hint="eastAsia" w:ascii="宋体" w:hAnsi="宋体"/>
          <w:color w:val="auto"/>
          <w:sz w:val="24"/>
          <w:szCs w:val="24"/>
          <w:highlight w:val="none"/>
          <w:lang w:eastAsia="zh-CN"/>
        </w:rPr>
        <w:t>“</w:t>
      </w:r>
      <w:r>
        <w:rPr>
          <w:rFonts w:hint="eastAsia" w:ascii="宋体" w:hAnsi="宋体"/>
          <w:color w:val="auto"/>
          <w:sz w:val="24"/>
          <w:szCs w:val="24"/>
          <w:highlight w:val="none"/>
        </w:rPr>
        <w:t>开立人</w:t>
      </w:r>
      <w:r>
        <w:rPr>
          <w:rFonts w:hint="eastAsia" w:ascii="宋体" w:hAnsi="宋体"/>
          <w:color w:val="auto"/>
          <w:sz w:val="24"/>
          <w:szCs w:val="24"/>
          <w:highlight w:val="none"/>
          <w:lang w:eastAsia="zh-CN"/>
        </w:rPr>
        <w:t>”</w:t>
      </w:r>
      <w:r>
        <w:rPr>
          <w:rFonts w:hint="eastAsia" w:ascii="宋体" w:hAnsi="宋体"/>
          <w:color w:val="auto"/>
          <w:sz w:val="24"/>
          <w:szCs w:val="24"/>
          <w:highlight w:val="none"/>
        </w:rPr>
        <w:t>）根据基础合同了解到申请人为基础合同项下之承包人，受益人为基础合同项下之发包人，基于申请人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w:t>
      </w:r>
      <w:r>
        <w:rPr>
          <w:rFonts w:ascii="宋体" w:hAnsi="宋体"/>
          <w:color w:val="auto"/>
          <w:sz w:val="24"/>
          <w:szCs w:val="24"/>
          <w:highlight w:val="none"/>
        </w:rPr>
        <w:t>履行</w:t>
      </w:r>
      <w:r>
        <w:rPr>
          <w:rFonts w:hint="eastAsia" w:ascii="宋体" w:hAnsi="宋体"/>
          <w:color w:val="auto"/>
          <w:sz w:val="24"/>
          <w:szCs w:val="24"/>
          <w:highlight w:val="none"/>
        </w:rPr>
        <w:t>与贵方签订的基础合同</w:t>
      </w:r>
      <w:r>
        <w:rPr>
          <w:rFonts w:ascii="宋体" w:hAnsi="宋体"/>
          <w:color w:val="auto"/>
          <w:sz w:val="24"/>
          <w:szCs w:val="24"/>
          <w:highlight w:val="none"/>
        </w:rPr>
        <w:t>项下的义务</w:t>
      </w:r>
      <w:r>
        <w:rPr>
          <w:rFonts w:hint="eastAsia" w:ascii="宋体" w:hAnsi="宋体"/>
          <w:color w:val="auto"/>
          <w:sz w:val="24"/>
          <w:szCs w:val="24"/>
          <w:highlight w:val="none"/>
        </w:rPr>
        <w:t>，</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本保函</w:t>
      </w:r>
      <w:r>
        <w:rPr>
          <w:rFonts w:hint="eastAsia" w:ascii="宋体" w:hAnsi="宋体"/>
          <w:color w:val="auto"/>
          <w:sz w:val="24"/>
          <w:szCs w:val="24"/>
          <w:highlight w:val="none"/>
          <w:lang w:eastAsia="zh-CN"/>
        </w:rPr>
        <w:t>”</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3F19636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一、本保函担保范围：承包人未按照基础合同的约定履行义务，应当向贵方承担的违约责任和赔偿因此造成的损失、利息、律师费、诉讼费用等实现债权的费用。</w:t>
      </w:r>
    </w:p>
    <w:p w14:paraId="49106FB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3542DFF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基础合同约定的缺陷责任期</w:t>
      </w:r>
      <w:r>
        <w:rPr>
          <w:rFonts w:ascii="宋体" w:hAnsi="宋体"/>
          <w:color w:val="auto"/>
          <w:sz w:val="24"/>
          <w:szCs w:val="24"/>
          <w:highlight w:val="none"/>
        </w:rPr>
        <w:t>后</w:t>
      </w:r>
      <w:r>
        <w:rPr>
          <w:rFonts w:ascii="宋体" w:hAnsi="宋体"/>
          <w:color w:val="auto"/>
          <w:sz w:val="24"/>
          <w:szCs w:val="24"/>
          <w:highlight w:val="none"/>
          <w:u w:val="single"/>
        </w:rPr>
        <w:t xml:space="preserve">   </w:t>
      </w:r>
      <w:r>
        <w:rPr>
          <w:rFonts w:hint="eastAsia" w:ascii="宋体" w:hAnsi="宋体"/>
          <w:color w:val="auto"/>
          <w:sz w:val="24"/>
          <w:szCs w:val="24"/>
          <w:highlight w:val="none"/>
        </w:rPr>
        <w:t>日止，最迟不超过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757DC0E8">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2075740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71A886B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744174B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0F1C514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03F8BEF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2088698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1464858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2A1632C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w:t>
      </w:r>
      <w:r>
        <w:rPr>
          <w:rFonts w:hint="eastAsia" w:ascii="宋体" w:hAnsi="宋体"/>
          <w:color w:val="auto"/>
          <w:sz w:val="24"/>
          <w:szCs w:val="24"/>
          <w:highlight w:val="none"/>
        </w:rPr>
        <w:t>基础</w:t>
      </w:r>
      <w:r>
        <w:rPr>
          <w:rFonts w:ascii="宋体" w:hAnsi="宋体"/>
          <w:color w:val="auto"/>
          <w:sz w:val="24"/>
          <w:szCs w:val="24"/>
          <w:highlight w:val="none"/>
        </w:rPr>
        <w:t xml:space="preserve">合同不成立、不生效、无效、被撤销、被解除，不影响本保函的独立有效。 </w:t>
      </w:r>
    </w:p>
    <w:p w14:paraId="421E2B6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5BEF72B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3A40E6A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r>
        <w:rPr>
          <w:rFonts w:hint="eastAsia" w:ascii="宋体" w:hAnsi="宋体"/>
          <w:color w:val="auto"/>
          <w:sz w:val="24"/>
          <w:szCs w:val="24"/>
          <w:highlight w:val="none"/>
        </w:rPr>
        <w:t>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57ED1C9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600EC4E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66D4FF5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0267816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6A462F9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0B2AA47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0B5151E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w:t>
      </w:r>
    </w:p>
    <w:p w14:paraId="2A154072">
      <w:pPr>
        <w:spacing w:line="360" w:lineRule="auto"/>
        <w:ind w:firstLine="480" w:firstLineChars="200"/>
        <w:rPr>
          <w:rFonts w:ascii="宋体" w:hAnsi="宋体"/>
          <w:color w:val="auto"/>
          <w:sz w:val="24"/>
          <w:szCs w:val="24"/>
          <w:highlight w:val="none"/>
        </w:rPr>
      </w:pPr>
    </w:p>
    <w:p w14:paraId="3D8A172B">
      <w:pPr>
        <w:spacing w:line="360" w:lineRule="auto"/>
        <w:ind w:firstLine="480" w:firstLineChars="200"/>
        <w:rPr>
          <w:rFonts w:ascii="宋体" w:hAnsi="宋体"/>
          <w:color w:val="auto"/>
          <w:sz w:val="24"/>
          <w:szCs w:val="24"/>
          <w:highlight w:val="none"/>
        </w:rPr>
      </w:pPr>
    </w:p>
    <w:p w14:paraId="0EA2F8DF">
      <w:pPr>
        <w:spacing w:line="360" w:lineRule="auto"/>
        <w:ind w:firstLine="480" w:firstLineChars="200"/>
        <w:rPr>
          <w:rFonts w:ascii="宋体" w:hAnsi="宋体"/>
          <w:color w:val="auto"/>
          <w:sz w:val="24"/>
          <w:szCs w:val="24"/>
          <w:highlight w:val="none"/>
        </w:rPr>
      </w:pPr>
    </w:p>
    <w:p w14:paraId="2CC25E2D">
      <w:pPr>
        <w:spacing w:line="360" w:lineRule="auto"/>
        <w:ind w:firstLine="480" w:firstLineChars="200"/>
        <w:rPr>
          <w:rFonts w:ascii="宋体" w:hAnsi="宋体"/>
          <w:color w:val="auto"/>
          <w:sz w:val="24"/>
          <w:szCs w:val="24"/>
          <w:highlight w:val="none"/>
        </w:rPr>
      </w:pPr>
    </w:p>
    <w:p w14:paraId="2F9E7BEC">
      <w:pPr>
        <w:spacing w:line="360" w:lineRule="auto"/>
        <w:ind w:firstLine="480" w:firstLineChars="200"/>
        <w:rPr>
          <w:rFonts w:ascii="宋体" w:hAnsi="宋体"/>
          <w:color w:val="auto"/>
          <w:sz w:val="24"/>
          <w:szCs w:val="24"/>
          <w:highlight w:val="none"/>
        </w:rPr>
      </w:pPr>
    </w:p>
    <w:p w14:paraId="016C7BA6">
      <w:pPr>
        <w:spacing w:line="360" w:lineRule="auto"/>
        <w:ind w:firstLine="480" w:firstLineChars="200"/>
        <w:rPr>
          <w:rFonts w:ascii="宋体" w:hAnsi="宋体"/>
          <w:color w:val="auto"/>
          <w:sz w:val="24"/>
          <w:szCs w:val="24"/>
          <w:highlight w:val="none"/>
        </w:rPr>
      </w:pPr>
    </w:p>
    <w:p w14:paraId="20C9A841">
      <w:pPr>
        <w:spacing w:line="360" w:lineRule="auto"/>
        <w:jc w:val="left"/>
        <w:rPr>
          <w:rFonts w:eastAsia="仿宋_GB2312"/>
          <w:color w:val="auto"/>
          <w:sz w:val="30"/>
          <w:szCs w:val="30"/>
          <w:highlight w:val="none"/>
        </w:rPr>
      </w:pPr>
    </w:p>
    <w:p w14:paraId="336271A0">
      <w:pPr>
        <w:spacing w:line="360" w:lineRule="auto"/>
        <w:jc w:val="left"/>
        <w:rPr>
          <w:rFonts w:ascii="宋体" w:hAnsi="宋体"/>
          <w:color w:val="auto"/>
          <w:sz w:val="32"/>
          <w:szCs w:val="32"/>
          <w:highlight w:val="none"/>
        </w:rPr>
      </w:pPr>
      <w:r>
        <w:rPr>
          <w:rFonts w:hint="eastAsia" w:eastAsia="仿宋_GB2312" w:cs="仿宋_GB2312"/>
          <w:color w:val="auto"/>
          <w:sz w:val="30"/>
          <w:szCs w:val="30"/>
          <w:highlight w:val="none"/>
        </w:rPr>
        <w:t>附</w:t>
      </w:r>
      <w:bookmarkStart w:id="1910" w:name="_Toc296891271"/>
      <w:bookmarkStart w:id="1911" w:name="_Toc296347230"/>
      <w:bookmarkStart w:id="1912" w:name="_Toc296944570"/>
      <w:bookmarkStart w:id="1913" w:name="_Toc296346732"/>
      <w:bookmarkStart w:id="1914" w:name="_Toc296891059"/>
      <w:bookmarkStart w:id="1915" w:name="_Toc296503231"/>
      <w:r>
        <w:rPr>
          <w:rFonts w:hint="eastAsia" w:eastAsia="仿宋_GB2312" w:cs="仿宋_GB2312"/>
          <w:color w:val="auto"/>
          <w:sz w:val="30"/>
          <w:szCs w:val="30"/>
          <w:highlight w:val="none"/>
        </w:rPr>
        <w:t>件</w:t>
      </w:r>
      <w:r>
        <w:rPr>
          <w:rFonts w:hint="eastAsia" w:eastAsia="仿宋_GB2312"/>
          <w:color w:val="auto"/>
          <w:sz w:val="30"/>
          <w:szCs w:val="30"/>
          <w:highlight w:val="none"/>
        </w:rPr>
        <w:t>7</w:t>
      </w:r>
      <w:r>
        <w:rPr>
          <w:rFonts w:hint="eastAsia" w:eastAsia="仿宋_GB2312" w:cs="仿宋_GB2312"/>
          <w:color w:val="auto"/>
          <w:sz w:val="30"/>
          <w:szCs w:val="30"/>
          <w:highlight w:val="none"/>
        </w:rPr>
        <w:t>：履约保函示范文本</w:t>
      </w:r>
    </w:p>
    <w:p w14:paraId="1673334B">
      <w:pPr>
        <w:spacing w:line="360" w:lineRule="auto"/>
        <w:rPr>
          <w:rFonts w:ascii="宋体" w:hAnsi="宋体"/>
          <w:b/>
          <w:bCs/>
          <w:color w:val="auto"/>
          <w:sz w:val="32"/>
          <w:szCs w:val="32"/>
          <w:highlight w:val="none"/>
        </w:rPr>
      </w:pPr>
    </w:p>
    <w:p w14:paraId="44EAA9BD">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履约保函示范文本</w:t>
      </w:r>
    </w:p>
    <w:p w14:paraId="73DD3526">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35222396">
      <w:pPr>
        <w:spacing w:line="360" w:lineRule="auto"/>
        <w:jc w:val="center"/>
        <w:rPr>
          <w:rFonts w:ascii="宋体" w:hAnsi="宋体"/>
          <w:b/>
          <w:bCs/>
          <w:color w:val="auto"/>
          <w:sz w:val="32"/>
          <w:szCs w:val="32"/>
          <w:highlight w:val="none"/>
        </w:rPr>
      </w:pPr>
    </w:p>
    <w:p w14:paraId="543649F8">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74197F61">
      <w:pPr>
        <w:spacing w:line="360" w:lineRule="auto"/>
        <w:rPr>
          <w:rFonts w:ascii="宋体" w:hAnsi="宋体"/>
          <w:color w:val="auto"/>
          <w:sz w:val="24"/>
          <w:szCs w:val="24"/>
          <w:highlight w:val="none"/>
        </w:rPr>
      </w:pPr>
      <w:r>
        <w:rPr>
          <w:rFonts w:hint="eastAsia" w:ascii="宋体" w:hAnsi="宋体"/>
          <w:color w:val="auto"/>
          <w:sz w:val="24"/>
          <w:szCs w:val="24"/>
          <w:highlight w:val="none"/>
        </w:rPr>
        <w:t>承包人：</w:t>
      </w:r>
    </w:p>
    <w:p w14:paraId="5380CACA">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36DF1C34">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担保权人/发包人：</w:t>
      </w:r>
      <w:r>
        <w:rPr>
          <w:rFonts w:ascii="宋体" w:hAnsi="宋体"/>
          <w:color w:val="auto"/>
          <w:sz w:val="24"/>
          <w:szCs w:val="24"/>
          <w:highlight w:val="none"/>
        </w:rPr>
        <w:t xml:space="preserve"> </w:t>
      </w:r>
    </w:p>
    <w:p w14:paraId="4EDFA085">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204C7BC5">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3FE9A2B3">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4F516876">
      <w:pPr>
        <w:spacing w:line="360" w:lineRule="auto"/>
        <w:rPr>
          <w:rFonts w:ascii="宋体" w:hAnsi="宋体"/>
          <w:color w:val="auto"/>
          <w:sz w:val="24"/>
          <w:szCs w:val="24"/>
          <w:highlight w:val="none"/>
        </w:rPr>
      </w:pPr>
    </w:p>
    <w:p w14:paraId="0E6AB1DE">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发包人</w:t>
      </w:r>
      <w:r>
        <w:rPr>
          <w:rFonts w:ascii="宋体" w:hAnsi="宋体"/>
          <w:color w:val="auto"/>
          <w:sz w:val="24"/>
          <w:szCs w:val="24"/>
          <w:highlight w:val="none"/>
        </w:rPr>
        <w:t xml:space="preserve">名称）： </w:t>
      </w:r>
    </w:p>
    <w:p w14:paraId="6434FA8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发包人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承包人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本工程</w:t>
      </w:r>
      <w:r>
        <w:rPr>
          <w:rFonts w:hint="eastAsia" w:ascii="宋体" w:hAnsi="宋体"/>
          <w:color w:val="auto"/>
          <w:sz w:val="24"/>
          <w:szCs w:val="24"/>
          <w:highlight w:val="none"/>
          <w:lang w:eastAsia="zh-CN"/>
        </w:rPr>
        <w:t>”</w:t>
      </w:r>
      <w:r>
        <w:rPr>
          <w:rFonts w:hint="eastAsia" w:ascii="宋体" w:hAnsi="宋体"/>
          <w:color w:val="auto"/>
          <w:sz w:val="24"/>
          <w:szCs w:val="24"/>
          <w:highlight w:val="none"/>
        </w:rPr>
        <w:t>）施工和有关事项协商一致共同签订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主合同</w:t>
      </w:r>
      <w:r>
        <w:rPr>
          <w:rFonts w:hint="eastAsia" w:ascii="宋体" w:hAnsi="宋体"/>
          <w:color w:val="auto"/>
          <w:sz w:val="24"/>
          <w:szCs w:val="24"/>
          <w:highlight w:val="none"/>
          <w:lang w:eastAsia="zh-CN"/>
        </w:rPr>
        <w:t>”</w:t>
      </w:r>
      <w:r>
        <w:rPr>
          <w:rFonts w:hint="eastAsia" w:ascii="宋体" w:hAnsi="宋体"/>
          <w:color w:val="auto"/>
          <w:sz w:val="24"/>
          <w:szCs w:val="24"/>
          <w:highlight w:val="none"/>
        </w:rPr>
        <w:t>），我方即保证人基于承包人</w:t>
      </w:r>
      <w:r>
        <w:rPr>
          <w:rFonts w:ascii="宋体" w:hAnsi="宋体"/>
          <w:color w:val="auto"/>
          <w:sz w:val="24"/>
          <w:szCs w:val="24"/>
          <w:highlight w:val="none"/>
        </w:rPr>
        <w:t>的请求，同意就</w:t>
      </w:r>
      <w:r>
        <w:rPr>
          <w:rFonts w:hint="eastAsia" w:ascii="宋体" w:hAnsi="宋体"/>
          <w:color w:val="auto"/>
          <w:sz w:val="24"/>
          <w:szCs w:val="24"/>
          <w:highlight w:val="none"/>
        </w:rPr>
        <w:t>承包人</w:t>
      </w:r>
      <w:r>
        <w:rPr>
          <w:rFonts w:ascii="宋体" w:hAnsi="宋体"/>
          <w:color w:val="auto"/>
          <w:sz w:val="24"/>
          <w:szCs w:val="24"/>
          <w:highlight w:val="none"/>
        </w:rPr>
        <w:t>履行</w:t>
      </w:r>
      <w:r>
        <w:rPr>
          <w:rFonts w:hint="eastAsia" w:ascii="宋体" w:hAnsi="宋体"/>
          <w:color w:val="auto"/>
          <w:sz w:val="24"/>
          <w:szCs w:val="24"/>
          <w:highlight w:val="none"/>
        </w:rPr>
        <w:t>与贵方签订的主合同</w:t>
      </w:r>
      <w:r>
        <w:rPr>
          <w:rFonts w:ascii="宋体" w:hAnsi="宋体"/>
          <w:color w:val="auto"/>
          <w:sz w:val="24"/>
          <w:szCs w:val="24"/>
          <w:highlight w:val="none"/>
        </w:rPr>
        <w:t>项下的义务</w:t>
      </w:r>
      <w:r>
        <w:rPr>
          <w:rFonts w:hint="eastAsia" w:ascii="宋体" w:hAnsi="宋体"/>
          <w:color w:val="auto"/>
          <w:sz w:val="24"/>
          <w:szCs w:val="24"/>
          <w:highlight w:val="none"/>
        </w:rPr>
        <w:t>，</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本保证担保</w:t>
      </w:r>
      <w:r>
        <w:rPr>
          <w:rFonts w:hint="eastAsia" w:ascii="宋体" w:hAnsi="宋体"/>
          <w:color w:val="auto"/>
          <w:sz w:val="24"/>
          <w:szCs w:val="24"/>
          <w:highlight w:val="none"/>
          <w:lang w:eastAsia="zh-CN"/>
        </w:rPr>
        <w:t>”</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2B4A72D4">
      <w:pPr>
        <w:spacing w:line="360" w:lineRule="auto"/>
        <w:rPr>
          <w:rFonts w:ascii="宋体" w:hAnsi="宋体"/>
          <w:b/>
          <w:bCs/>
          <w:color w:val="auto"/>
          <w:sz w:val="24"/>
          <w:szCs w:val="24"/>
          <w:highlight w:val="none"/>
        </w:rPr>
      </w:pPr>
      <w:r>
        <w:rPr>
          <w:rFonts w:hint="eastAsia" w:ascii="宋体" w:hAnsi="宋体"/>
          <w:color w:val="auto"/>
          <w:sz w:val="24"/>
          <w:szCs w:val="24"/>
          <w:highlight w:val="none"/>
        </w:rPr>
        <w:t xml:space="preserve">    </w:t>
      </w:r>
      <w:r>
        <w:rPr>
          <w:rFonts w:hint="eastAsia" w:ascii="宋体" w:hAnsi="宋体"/>
          <w:b/>
          <w:bCs/>
          <w:color w:val="auto"/>
          <w:sz w:val="24"/>
          <w:szCs w:val="24"/>
          <w:highlight w:val="none"/>
        </w:rPr>
        <w:t>一、保证担保的范围及保证担保金额</w:t>
      </w:r>
    </w:p>
    <w:p w14:paraId="1DDECB4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保证担保范围：承包人未按照主合同的约定履行义务，应当向贵方承担的违约责任和赔偿因此造成的损失、利息、律师费、诉讼费用等实现债权的费用。</w:t>
      </w:r>
    </w:p>
    <w:p w14:paraId="5F300EC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63D1960A">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72321BF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3A1B06D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主合同约定的缺陷责任期</w:t>
      </w:r>
      <w:r>
        <w:rPr>
          <w:rFonts w:ascii="宋体" w:hAnsi="宋体"/>
          <w:color w:val="auto"/>
          <w:sz w:val="24"/>
          <w:szCs w:val="24"/>
          <w:highlight w:val="none"/>
        </w:rPr>
        <w:t>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3606A60E">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28AB91B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我方按照贵方的要求以下列方式之一承担保证担保责任：</w:t>
      </w:r>
      <w:r>
        <w:rPr>
          <w:rFonts w:ascii="宋体" w:hAnsi="宋体"/>
          <w:color w:val="auto"/>
          <w:sz w:val="24"/>
          <w:szCs w:val="24"/>
          <w:highlight w:val="none"/>
        </w:rPr>
        <w:t xml:space="preserve"> </w:t>
      </w:r>
    </w:p>
    <w:p w14:paraId="0861153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1.向承包人资金、设备或者技术援助，使其能继续履行合同义务；</w:t>
      </w:r>
    </w:p>
    <w:p w14:paraId="53A253A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2.直接接管该项工程或者委托经贵方同意的其他承包商，继续履行合同义务；</w:t>
      </w:r>
    </w:p>
    <w:p w14:paraId="11BDCE9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3.在保证担保金额最高限额内，按照合同约定，向贵方承担违约责任和赔偿因此造成的损失，以及利息和律师费、诉讼费用等实现债权的费用。</w:t>
      </w:r>
    </w:p>
    <w:p w14:paraId="5D5E7288">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68FE3A4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1.贵方要求我方承担保证责任的，应向我方发出书面索赔通知及承包人未履行主合同约定义务的证明材料。索赔通知应写明要求索赔的金额，支付款项应到达的</w:t>
      </w:r>
      <w:r>
        <w:rPr>
          <w:rFonts w:hint="eastAsia" w:ascii="宋体" w:hAnsi="宋体"/>
          <w:color w:val="auto"/>
          <w:sz w:val="24"/>
          <w:szCs w:val="24"/>
          <w:highlight w:val="none"/>
          <w:lang w:eastAsia="zh-CN"/>
        </w:rPr>
        <w:t>账</w:t>
      </w:r>
      <w:r>
        <w:rPr>
          <w:rFonts w:hint="eastAsia" w:ascii="宋体" w:hAnsi="宋体"/>
          <w:color w:val="auto"/>
          <w:sz w:val="24"/>
          <w:szCs w:val="24"/>
          <w:highlight w:val="none"/>
        </w:rPr>
        <w:t>号，并附有说明承包人违反主合同造成贵方损失情况的证明材料。</w:t>
      </w:r>
    </w:p>
    <w:p w14:paraId="2EB75E0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2.贵方以工程质量不符合主合同约定标准为由，向我方提出违约索赔的，还需同时提供符合相应条件要求的工程质量检测部门出具的质量说明材料。</w:t>
      </w:r>
    </w:p>
    <w:p w14:paraId="2819854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3.我方收到贵方的书面索赔通知及相应证明材料后，在</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2975402C">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159D645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239D380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23BCCFF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127E60F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71C0B955">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3CF4C3F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承包人未按照主合同约定履行义务的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2C94701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发包</w:t>
      </w:r>
      <w:r>
        <w:rPr>
          <w:rFonts w:ascii="宋体" w:hAnsi="宋体"/>
          <w:color w:val="auto"/>
          <w:sz w:val="24"/>
          <w:szCs w:val="24"/>
          <w:highlight w:val="none"/>
        </w:rPr>
        <w:t>人的另行约定，免除</w:t>
      </w:r>
      <w:r>
        <w:rPr>
          <w:rFonts w:hint="eastAsia" w:ascii="宋体" w:hAnsi="宋体"/>
          <w:color w:val="auto"/>
          <w:sz w:val="24"/>
          <w:szCs w:val="24"/>
          <w:highlight w:val="none"/>
        </w:rPr>
        <w:t>承包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1D237D6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承包人未按照主合同约定履行义务的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12224394">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4252632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73E83CD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478F963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0492B9D3">
      <w:pPr>
        <w:spacing w:line="360" w:lineRule="auto"/>
        <w:ind w:firstLine="480" w:firstLineChars="200"/>
        <w:rPr>
          <w:rFonts w:ascii="宋体" w:hAnsi="宋体"/>
          <w:color w:val="auto"/>
          <w:sz w:val="24"/>
          <w:szCs w:val="24"/>
          <w:highlight w:val="none"/>
        </w:rPr>
      </w:pPr>
    </w:p>
    <w:p w14:paraId="3BBE44B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（公</w:t>
      </w:r>
      <w:r>
        <w:rPr>
          <w:rFonts w:ascii="宋体" w:hAnsi="宋体"/>
          <w:color w:val="auto"/>
          <w:sz w:val="24"/>
          <w:szCs w:val="24"/>
          <w:highlight w:val="none"/>
        </w:rPr>
        <w:t xml:space="preserve">章） </w:t>
      </w:r>
    </w:p>
    <w:p w14:paraId="6CE6012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5665A9D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5233FE7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0ABB67F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208D4C6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2DB9E87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00781611">
      <w:pPr>
        <w:rPr>
          <w:color w:val="auto"/>
          <w:highlight w:val="none"/>
        </w:rPr>
      </w:pPr>
    </w:p>
    <w:p w14:paraId="6F9DC93A">
      <w:pPr>
        <w:rPr>
          <w:color w:val="auto"/>
          <w:highlight w:val="none"/>
        </w:rPr>
      </w:pPr>
    </w:p>
    <w:p w14:paraId="3F658407">
      <w:pPr>
        <w:rPr>
          <w:color w:val="auto"/>
          <w:highlight w:val="none"/>
        </w:rPr>
      </w:pPr>
    </w:p>
    <w:p w14:paraId="19F2577D">
      <w:pPr>
        <w:rPr>
          <w:color w:val="auto"/>
          <w:highlight w:val="none"/>
        </w:rPr>
      </w:pPr>
    </w:p>
    <w:p w14:paraId="4BDD25C7">
      <w:pPr>
        <w:rPr>
          <w:color w:val="auto"/>
          <w:highlight w:val="none"/>
        </w:rPr>
      </w:pPr>
    </w:p>
    <w:p w14:paraId="5CD89AB3">
      <w:pPr>
        <w:rPr>
          <w:color w:val="auto"/>
          <w:highlight w:val="none"/>
        </w:rPr>
      </w:pPr>
    </w:p>
    <w:p w14:paraId="687D2AD9">
      <w:pPr>
        <w:rPr>
          <w:color w:val="auto"/>
          <w:highlight w:val="none"/>
        </w:rPr>
      </w:pPr>
    </w:p>
    <w:p w14:paraId="4EC5F6B2">
      <w:pPr>
        <w:rPr>
          <w:color w:val="auto"/>
          <w:highlight w:val="none"/>
        </w:rPr>
      </w:pPr>
    </w:p>
    <w:p w14:paraId="7A300100">
      <w:pPr>
        <w:rPr>
          <w:color w:val="auto"/>
          <w:highlight w:val="none"/>
        </w:rPr>
      </w:pPr>
    </w:p>
    <w:p w14:paraId="66470111">
      <w:pPr>
        <w:rPr>
          <w:color w:val="auto"/>
          <w:highlight w:val="none"/>
        </w:rPr>
      </w:pPr>
    </w:p>
    <w:p w14:paraId="1634FA88">
      <w:pPr>
        <w:rPr>
          <w:color w:val="auto"/>
          <w:highlight w:val="none"/>
        </w:rPr>
      </w:pPr>
    </w:p>
    <w:p w14:paraId="2337543F">
      <w:pPr>
        <w:rPr>
          <w:color w:val="auto"/>
          <w:highlight w:val="none"/>
        </w:rPr>
      </w:pPr>
    </w:p>
    <w:p w14:paraId="288560CE">
      <w:pPr>
        <w:rPr>
          <w:color w:val="auto"/>
          <w:highlight w:val="none"/>
        </w:rPr>
      </w:pPr>
    </w:p>
    <w:p w14:paraId="14D6AA63">
      <w:pPr>
        <w:rPr>
          <w:color w:val="auto"/>
          <w:highlight w:val="none"/>
        </w:rPr>
      </w:pPr>
    </w:p>
    <w:p w14:paraId="66FB0E91">
      <w:pPr>
        <w:rPr>
          <w:color w:val="auto"/>
          <w:highlight w:val="none"/>
        </w:rPr>
      </w:pPr>
    </w:p>
    <w:p w14:paraId="4CF31CDD">
      <w:pPr>
        <w:rPr>
          <w:color w:val="auto"/>
          <w:highlight w:val="none"/>
        </w:rPr>
      </w:pPr>
    </w:p>
    <w:p w14:paraId="7A0AEFD5">
      <w:pPr>
        <w:rPr>
          <w:color w:val="auto"/>
          <w:highlight w:val="none"/>
        </w:rPr>
      </w:pPr>
    </w:p>
    <w:p w14:paraId="680E38CF">
      <w:pPr>
        <w:rPr>
          <w:color w:val="auto"/>
          <w:highlight w:val="none"/>
        </w:rPr>
      </w:pPr>
    </w:p>
    <w:p w14:paraId="0793C244">
      <w:pPr>
        <w:rPr>
          <w:color w:val="auto"/>
          <w:highlight w:val="none"/>
        </w:rPr>
      </w:pPr>
    </w:p>
    <w:p w14:paraId="4ADEE1FC">
      <w:pPr>
        <w:rPr>
          <w:color w:val="auto"/>
          <w:highlight w:val="none"/>
        </w:rPr>
      </w:pPr>
    </w:p>
    <w:p w14:paraId="2F8D8FA8">
      <w:pPr>
        <w:rPr>
          <w:color w:val="auto"/>
          <w:highlight w:val="none"/>
        </w:rPr>
      </w:pPr>
    </w:p>
    <w:p w14:paraId="1A1A4859">
      <w:pPr>
        <w:rPr>
          <w:color w:val="auto"/>
          <w:highlight w:val="none"/>
        </w:rPr>
      </w:pPr>
    </w:p>
    <w:p w14:paraId="3F2331B3">
      <w:pPr>
        <w:rPr>
          <w:color w:val="auto"/>
          <w:highlight w:val="none"/>
        </w:rPr>
      </w:pPr>
    </w:p>
    <w:p w14:paraId="5B9430AA">
      <w:pPr>
        <w:rPr>
          <w:color w:val="auto"/>
          <w:highlight w:val="none"/>
        </w:rPr>
      </w:pPr>
    </w:p>
    <w:p w14:paraId="428E74B0">
      <w:pPr>
        <w:rPr>
          <w:color w:val="auto"/>
          <w:highlight w:val="none"/>
        </w:rPr>
      </w:pPr>
    </w:p>
    <w:p w14:paraId="407731D2">
      <w:pPr>
        <w:rPr>
          <w:color w:val="auto"/>
          <w:highlight w:val="none"/>
        </w:rPr>
      </w:pPr>
    </w:p>
    <w:p w14:paraId="1C240BB2">
      <w:pPr>
        <w:rPr>
          <w:color w:val="auto"/>
          <w:highlight w:val="none"/>
        </w:rPr>
      </w:pPr>
    </w:p>
    <w:p w14:paraId="44D4AC16">
      <w:pPr>
        <w:rPr>
          <w:color w:val="auto"/>
          <w:highlight w:val="none"/>
        </w:rPr>
      </w:pPr>
    </w:p>
    <w:bookmarkEnd w:id="1909"/>
    <w:bookmarkEnd w:id="1910"/>
    <w:bookmarkEnd w:id="1911"/>
    <w:bookmarkEnd w:id="1912"/>
    <w:bookmarkEnd w:id="1913"/>
    <w:bookmarkEnd w:id="1914"/>
    <w:bookmarkEnd w:id="1915"/>
    <w:p w14:paraId="718CF164">
      <w:pPr>
        <w:spacing w:before="120" w:beforeLines="50" w:after="120" w:afterLines="50" w:line="440" w:lineRule="exact"/>
        <w:jc w:val="left"/>
        <w:rPr>
          <w:rFonts w:ascii="黑体" w:hAnsi="黑体" w:eastAsia="黑体" w:cs="黑体"/>
          <w:color w:val="auto"/>
          <w:sz w:val="32"/>
          <w:szCs w:val="32"/>
          <w:highlight w:val="none"/>
        </w:rPr>
      </w:pPr>
      <w:r>
        <w:rPr>
          <w:rFonts w:hint="eastAsia" w:ascii="仿宋_GB2312" w:eastAsia="仿宋_GB2312" w:cs="仿宋_GB2312"/>
          <w:color w:val="auto"/>
          <w:sz w:val="30"/>
          <w:szCs w:val="30"/>
          <w:highlight w:val="none"/>
        </w:rPr>
        <w:t>附件8：预付款保函示范文本</w:t>
      </w:r>
    </w:p>
    <w:p w14:paraId="6AE08B9A">
      <w:pPr>
        <w:spacing w:line="360" w:lineRule="auto"/>
        <w:jc w:val="left"/>
        <w:rPr>
          <w:rFonts w:ascii="黑体" w:hAnsi="黑体" w:eastAsia="黑体" w:cs="黑体"/>
          <w:b/>
          <w:bCs/>
          <w:color w:val="auto"/>
          <w:sz w:val="32"/>
          <w:szCs w:val="32"/>
          <w:highlight w:val="none"/>
        </w:rPr>
      </w:pPr>
    </w:p>
    <w:p w14:paraId="3F67FD36">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预付款保函示范文本</w:t>
      </w:r>
    </w:p>
    <w:p w14:paraId="5FB764D1">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24A8ACF9">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4E868658">
      <w:pPr>
        <w:spacing w:line="360" w:lineRule="auto"/>
        <w:rPr>
          <w:rFonts w:ascii="宋体" w:hAnsi="宋体"/>
          <w:color w:val="auto"/>
          <w:sz w:val="24"/>
          <w:szCs w:val="24"/>
          <w:highlight w:val="none"/>
        </w:rPr>
      </w:pPr>
    </w:p>
    <w:p w14:paraId="019116DE">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75BB10A7">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185B9EA7">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14126D27">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73674E9C">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52FC27A0">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1B0B35AE">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4085B12C">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p w14:paraId="2026C12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受益人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申请人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本工程</w:t>
      </w:r>
      <w:r>
        <w:rPr>
          <w:rFonts w:hint="eastAsia" w:ascii="宋体" w:hAnsi="宋体"/>
          <w:color w:val="auto"/>
          <w:sz w:val="24"/>
          <w:szCs w:val="24"/>
          <w:highlight w:val="none"/>
          <w:lang w:eastAsia="zh-CN"/>
        </w:rPr>
        <w:t>”</w:t>
      </w:r>
      <w:r>
        <w:rPr>
          <w:rFonts w:hint="eastAsia" w:ascii="宋体" w:hAnsi="宋体"/>
          <w:color w:val="auto"/>
          <w:sz w:val="24"/>
          <w:szCs w:val="24"/>
          <w:highlight w:val="none"/>
        </w:rPr>
        <w:t>）施工和有关事项协商一致共同签订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基础合同</w:t>
      </w:r>
      <w:r>
        <w:rPr>
          <w:rFonts w:hint="eastAsia" w:ascii="宋体" w:hAnsi="宋体"/>
          <w:color w:val="auto"/>
          <w:sz w:val="24"/>
          <w:szCs w:val="24"/>
          <w:highlight w:val="none"/>
          <w:lang w:eastAsia="zh-CN"/>
        </w:rPr>
        <w:t>”</w:t>
      </w:r>
      <w:r>
        <w:rPr>
          <w:rFonts w:hint="eastAsia" w:ascii="宋体" w:hAnsi="宋体"/>
          <w:color w:val="auto"/>
          <w:sz w:val="24"/>
          <w:szCs w:val="24"/>
          <w:highlight w:val="none"/>
        </w:rPr>
        <w:t>），我方（即</w:t>
      </w:r>
      <w:r>
        <w:rPr>
          <w:rFonts w:hint="eastAsia" w:ascii="宋体" w:hAnsi="宋体"/>
          <w:color w:val="auto"/>
          <w:sz w:val="24"/>
          <w:szCs w:val="24"/>
          <w:highlight w:val="none"/>
          <w:lang w:eastAsia="zh-CN"/>
        </w:rPr>
        <w:t>“</w:t>
      </w:r>
      <w:r>
        <w:rPr>
          <w:rFonts w:hint="eastAsia" w:ascii="宋体" w:hAnsi="宋体"/>
          <w:color w:val="auto"/>
          <w:sz w:val="24"/>
          <w:szCs w:val="24"/>
          <w:highlight w:val="none"/>
        </w:rPr>
        <w:t>开立人</w:t>
      </w:r>
      <w:r>
        <w:rPr>
          <w:rFonts w:hint="eastAsia" w:ascii="宋体" w:hAnsi="宋体"/>
          <w:color w:val="auto"/>
          <w:sz w:val="24"/>
          <w:szCs w:val="24"/>
          <w:highlight w:val="none"/>
          <w:lang w:eastAsia="zh-CN"/>
        </w:rPr>
        <w:t>”</w:t>
      </w:r>
      <w:r>
        <w:rPr>
          <w:rFonts w:hint="eastAsia" w:ascii="宋体" w:hAnsi="宋体"/>
          <w:color w:val="auto"/>
          <w:sz w:val="24"/>
          <w:szCs w:val="24"/>
          <w:highlight w:val="none"/>
        </w:rPr>
        <w:t>）根据主合同了解到申请人为主合同项下之承包人，受益人为主合同项下之发包人，基于申请人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申请人按照合同约定正确和合理地为合同目的使用预付款，</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本保函</w:t>
      </w:r>
      <w:r>
        <w:rPr>
          <w:rFonts w:hint="eastAsia" w:ascii="宋体" w:hAnsi="宋体"/>
          <w:color w:val="auto"/>
          <w:sz w:val="24"/>
          <w:szCs w:val="24"/>
          <w:highlight w:val="none"/>
          <w:lang w:eastAsia="zh-CN"/>
        </w:rPr>
        <w:t>”</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27392F4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一、本保函担保范围：申请人未按照合同约定正确和合理地为合同目的使用预付款，应当向贵方承担的违约责任和赔偿因此造成的损失、利息、律师费、诉讼费用等实现债权的费用。</w:t>
      </w:r>
    </w:p>
    <w:p w14:paraId="7C2F5BF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4B72A6F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发包人全额扣回预付款后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p>
    <w:p w14:paraId="429527C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04A91B9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6063B72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20C22A1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437D9B1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2BD3DF8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12B1B07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6964B84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53CD51D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w:t>
      </w:r>
      <w:r>
        <w:rPr>
          <w:rFonts w:hint="eastAsia" w:ascii="宋体" w:hAnsi="宋体"/>
          <w:color w:val="auto"/>
          <w:sz w:val="24"/>
          <w:szCs w:val="24"/>
          <w:highlight w:val="none"/>
        </w:rPr>
        <w:t>基础</w:t>
      </w:r>
      <w:r>
        <w:rPr>
          <w:rFonts w:ascii="宋体" w:hAnsi="宋体"/>
          <w:color w:val="auto"/>
          <w:sz w:val="24"/>
          <w:szCs w:val="24"/>
          <w:highlight w:val="none"/>
        </w:rPr>
        <w:t xml:space="preserve">合同不成立、不生效、无效、被撤销、被解除，不影响本保函的独立有效。 </w:t>
      </w:r>
    </w:p>
    <w:p w14:paraId="5D717BF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46B0EBD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37F29DC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r>
        <w:rPr>
          <w:rFonts w:hint="eastAsia" w:ascii="宋体" w:hAnsi="宋体"/>
          <w:color w:val="auto"/>
          <w:sz w:val="24"/>
          <w:szCs w:val="24"/>
          <w:highlight w:val="none"/>
        </w:rPr>
        <w:t>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69CC9374">
      <w:pPr>
        <w:spacing w:line="360" w:lineRule="auto"/>
        <w:ind w:firstLine="480" w:firstLineChars="200"/>
        <w:rPr>
          <w:rFonts w:ascii="宋体" w:hAnsi="宋体"/>
          <w:color w:val="auto"/>
          <w:sz w:val="24"/>
          <w:szCs w:val="24"/>
          <w:highlight w:val="none"/>
        </w:rPr>
      </w:pPr>
    </w:p>
    <w:p w14:paraId="7F3C670D">
      <w:pPr>
        <w:spacing w:line="360" w:lineRule="auto"/>
        <w:ind w:firstLine="480" w:firstLineChars="200"/>
        <w:rPr>
          <w:rFonts w:ascii="宋体" w:hAnsi="宋体"/>
          <w:color w:val="auto"/>
          <w:sz w:val="24"/>
          <w:szCs w:val="24"/>
          <w:highlight w:val="none"/>
        </w:rPr>
      </w:pPr>
    </w:p>
    <w:p w14:paraId="046EAFE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607425C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6FE3050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0E73AFB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47C26E7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10CE985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17CCC0D0">
      <w:pPr>
        <w:rPr>
          <w:color w:val="auto"/>
          <w:highlight w:val="none"/>
        </w:rPr>
      </w:pPr>
      <w:r>
        <w:rPr>
          <w:rFonts w:hint="eastAsia" w:ascii="宋体" w:hAnsi="宋体"/>
          <w:color w:val="auto"/>
          <w:sz w:val="24"/>
          <w:szCs w:val="24"/>
          <w:highlight w:val="none"/>
        </w:rPr>
        <w:t xml:space="preserve">    开立时间：</w:t>
      </w:r>
      <w:r>
        <w:rPr>
          <w:rFonts w:ascii="宋体" w:hAnsi="宋体"/>
          <w:color w:val="auto"/>
          <w:sz w:val="24"/>
          <w:szCs w:val="24"/>
          <w:highlight w:val="none"/>
        </w:rPr>
        <w:t xml:space="preserve">      年      月        日</w:t>
      </w:r>
    </w:p>
    <w:p w14:paraId="35490F7B">
      <w:pPr>
        <w:spacing w:line="360" w:lineRule="auto"/>
        <w:jc w:val="center"/>
        <w:rPr>
          <w:rFonts w:ascii="宋体" w:hAnsi="宋体"/>
          <w:b/>
          <w:bCs/>
          <w:color w:val="auto"/>
          <w:sz w:val="32"/>
          <w:szCs w:val="32"/>
          <w:highlight w:val="none"/>
        </w:rPr>
      </w:pPr>
    </w:p>
    <w:p w14:paraId="3AE16AA6">
      <w:pPr>
        <w:spacing w:line="360" w:lineRule="auto"/>
        <w:jc w:val="center"/>
        <w:rPr>
          <w:rFonts w:ascii="宋体" w:hAnsi="宋体"/>
          <w:b/>
          <w:bCs/>
          <w:color w:val="auto"/>
          <w:sz w:val="32"/>
          <w:szCs w:val="32"/>
          <w:highlight w:val="none"/>
        </w:rPr>
      </w:pPr>
    </w:p>
    <w:p w14:paraId="331CA39D">
      <w:pPr>
        <w:spacing w:line="360" w:lineRule="auto"/>
        <w:jc w:val="center"/>
        <w:rPr>
          <w:rFonts w:ascii="宋体" w:hAnsi="宋体"/>
          <w:b/>
          <w:bCs/>
          <w:color w:val="auto"/>
          <w:sz w:val="32"/>
          <w:szCs w:val="32"/>
          <w:highlight w:val="none"/>
        </w:rPr>
      </w:pPr>
    </w:p>
    <w:p w14:paraId="5E390003">
      <w:pPr>
        <w:spacing w:before="120" w:beforeLines="50" w:after="120" w:afterLines="50" w:line="440" w:lineRule="exact"/>
        <w:jc w:val="left"/>
        <w:rPr>
          <w:rFonts w:hint="eastAsia" w:ascii="仿宋_GB2312" w:eastAsia="仿宋_GB2312" w:cs="仿宋_GB2312"/>
          <w:color w:val="auto"/>
          <w:sz w:val="30"/>
          <w:szCs w:val="30"/>
          <w:highlight w:val="none"/>
          <w:lang w:eastAsia="zh-CN"/>
        </w:rPr>
      </w:pPr>
      <w:r>
        <w:rPr>
          <w:rFonts w:hint="eastAsia" w:ascii="仿宋_GB2312" w:eastAsia="仿宋_GB2312" w:cs="仿宋_GB2312"/>
          <w:color w:val="auto"/>
          <w:sz w:val="30"/>
          <w:szCs w:val="30"/>
          <w:highlight w:val="none"/>
        </w:rPr>
        <w:t>附件8</w:t>
      </w:r>
      <w:r>
        <w:rPr>
          <w:rFonts w:hint="eastAsia" w:ascii="仿宋_GB2312" w:eastAsia="仿宋_GB2312" w:cs="仿宋_GB2312"/>
          <w:color w:val="auto"/>
          <w:sz w:val="30"/>
          <w:szCs w:val="30"/>
          <w:highlight w:val="none"/>
          <w:lang w:eastAsia="zh-CN"/>
        </w:rPr>
        <w:t>：预付款保函示范文本</w:t>
      </w:r>
    </w:p>
    <w:p w14:paraId="7C2859F8">
      <w:pPr>
        <w:spacing w:line="360" w:lineRule="auto"/>
        <w:jc w:val="left"/>
        <w:rPr>
          <w:rFonts w:ascii="黑体" w:hAnsi="黑体" w:eastAsia="黑体" w:cs="黑体"/>
          <w:b/>
          <w:bCs/>
          <w:color w:val="auto"/>
          <w:sz w:val="32"/>
          <w:szCs w:val="32"/>
          <w:highlight w:val="none"/>
        </w:rPr>
      </w:pPr>
    </w:p>
    <w:p w14:paraId="213F3811">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预付款保函示范文本</w:t>
      </w:r>
    </w:p>
    <w:p w14:paraId="5EFBA272">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755DB45F">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7595C231">
      <w:pPr>
        <w:spacing w:line="360" w:lineRule="auto"/>
        <w:rPr>
          <w:rFonts w:ascii="宋体" w:hAnsi="宋体"/>
          <w:color w:val="auto"/>
          <w:sz w:val="24"/>
          <w:szCs w:val="24"/>
          <w:highlight w:val="none"/>
        </w:rPr>
      </w:pPr>
    </w:p>
    <w:p w14:paraId="4144AEBE">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担保权人/发包人：</w:t>
      </w:r>
    </w:p>
    <w:p w14:paraId="22C8F79D">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6F4B65DB">
      <w:pPr>
        <w:spacing w:line="360" w:lineRule="auto"/>
        <w:rPr>
          <w:rFonts w:ascii="宋体" w:hAnsi="宋体"/>
          <w:color w:val="auto"/>
          <w:sz w:val="24"/>
          <w:szCs w:val="24"/>
          <w:highlight w:val="none"/>
        </w:rPr>
      </w:pPr>
      <w:r>
        <w:rPr>
          <w:rFonts w:hint="eastAsia" w:ascii="宋体" w:hAnsi="宋体"/>
          <w:color w:val="auto"/>
          <w:sz w:val="24"/>
          <w:szCs w:val="24"/>
          <w:highlight w:val="none"/>
        </w:rPr>
        <w:t>承包人：</w:t>
      </w:r>
      <w:r>
        <w:rPr>
          <w:rFonts w:ascii="宋体" w:hAnsi="宋体"/>
          <w:color w:val="auto"/>
          <w:sz w:val="24"/>
          <w:szCs w:val="24"/>
          <w:highlight w:val="none"/>
        </w:rPr>
        <w:t xml:space="preserve"> </w:t>
      </w:r>
    </w:p>
    <w:p w14:paraId="0C87411A">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16E1218E">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1845E085">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3C63F0DB">
      <w:pPr>
        <w:spacing w:line="360" w:lineRule="auto"/>
        <w:rPr>
          <w:rFonts w:ascii="宋体" w:hAnsi="宋体"/>
          <w:color w:val="auto"/>
          <w:sz w:val="24"/>
          <w:szCs w:val="24"/>
          <w:highlight w:val="none"/>
        </w:rPr>
      </w:pPr>
    </w:p>
    <w:p w14:paraId="16DF76ED">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发包人</w:t>
      </w:r>
      <w:r>
        <w:rPr>
          <w:rFonts w:ascii="宋体" w:hAnsi="宋体"/>
          <w:color w:val="auto"/>
          <w:sz w:val="24"/>
          <w:szCs w:val="24"/>
          <w:highlight w:val="none"/>
        </w:rPr>
        <w:t xml:space="preserve">名称）： </w:t>
      </w:r>
    </w:p>
    <w:p w14:paraId="0793A95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发包人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承包人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本工程</w:t>
      </w:r>
      <w:r>
        <w:rPr>
          <w:rFonts w:hint="eastAsia" w:ascii="宋体" w:hAnsi="宋体"/>
          <w:color w:val="auto"/>
          <w:sz w:val="24"/>
          <w:szCs w:val="24"/>
          <w:highlight w:val="none"/>
          <w:lang w:eastAsia="zh-CN"/>
        </w:rPr>
        <w:t>”</w:t>
      </w:r>
      <w:r>
        <w:rPr>
          <w:rFonts w:hint="eastAsia" w:ascii="宋体" w:hAnsi="宋体"/>
          <w:color w:val="auto"/>
          <w:sz w:val="24"/>
          <w:szCs w:val="24"/>
          <w:highlight w:val="none"/>
        </w:rPr>
        <w:t>）施工和有关事项协商一致共同签订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主合同</w:t>
      </w:r>
      <w:r>
        <w:rPr>
          <w:rFonts w:hint="eastAsia" w:ascii="宋体" w:hAnsi="宋体"/>
          <w:color w:val="auto"/>
          <w:sz w:val="24"/>
          <w:szCs w:val="24"/>
          <w:highlight w:val="none"/>
          <w:lang w:eastAsia="zh-CN"/>
        </w:rPr>
        <w:t>”</w:t>
      </w:r>
      <w:r>
        <w:rPr>
          <w:rFonts w:hint="eastAsia" w:ascii="宋体" w:hAnsi="宋体"/>
          <w:color w:val="auto"/>
          <w:sz w:val="24"/>
          <w:szCs w:val="24"/>
          <w:highlight w:val="none"/>
        </w:rPr>
        <w:t>），我方即保证人基于承包人</w:t>
      </w:r>
      <w:r>
        <w:rPr>
          <w:rFonts w:ascii="宋体" w:hAnsi="宋体"/>
          <w:color w:val="auto"/>
          <w:sz w:val="24"/>
          <w:szCs w:val="24"/>
          <w:highlight w:val="none"/>
        </w:rPr>
        <w:t>的请求，同意就</w:t>
      </w:r>
      <w:r>
        <w:rPr>
          <w:rFonts w:hint="eastAsia" w:ascii="宋体" w:hAnsi="宋体"/>
          <w:color w:val="auto"/>
          <w:sz w:val="24"/>
          <w:szCs w:val="24"/>
          <w:highlight w:val="none"/>
        </w:rPr>
        <w:t>承包人按照合同约定正确和合理地为合同目的使用预付款，不将预付款挪作他用，</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本保证担保</w:t>
      </w:r>
      <w:r>
        <w:rPr>
          <w:rFonts w:hint="eastAsia" w:ascii="宋体" w:hAnsi="宋体"/>
          <w:color w:val="auto"/>
          <w:sz w:val="24"/>
          <w:szCs w:val="24"/>
          <w:highlight w:val="none"/>
          <w:lang w:eastAsia="zh-CN"/>
        </w:rPr>
        <w:t>”</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4D9F50C2">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一、保证担保的范围及保证担保金额</w:t>
      </w:r>
    </w:p>
    <w:p w14:paraId="57BD252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保证担保范围：申请人未按照合同约定正确和合理地为合同目的使用预付款，应当向贵方</w:t>
      </w:r>
      <w:r>
        <w:rPr>
          <w:rFonts w:hint="eastAsia" w:ascii="宋体" w:hAnsi="宋体"/>
          <w:color w:val="auto"/>
          <w:sz w:val="24"/>
          <w:szCs w:val="24"/>
          <w:highlight w:val="none"/>
          <w:lang w:eastAsia="zh-CN"/>
        </w:rPr>
        <w:t>承担</w:t>
      </w:r>
      <w:r>
        <w:rPr>
          <w:rFonts w:hint="eastAsia" w:ascii="宋体" w:hAnsi="宋体"/>
          <w:color w:val="auto"/>
          <w:sz w:val="24"/>
          <w:szCs w:val="24"/>
          <w:highlight w:val="none"/>
        </w:rPr>
        <w:t>违约责任和赔偿因此造成的损失、利息、律师费、诉讼费用等实现债权的费用。</w:t>
      </w:r>
    </w:p>
    <w:p w14:paraId="4826EE8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74279C68">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506CC98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549AF87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发包人全额扣回预付款后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3DDC4972">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4A8F36C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发生应承担保证责任情形的，我方在保证金额内向贵方支付，并赔偿因此给贵方造成的损失，以及利息和律师费、诉讼费用等实现债权的费用。</w:t>
      </w:r>
    </w:p>
    <w:p w14:paraId="3607E9BD">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6559D7D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1.贵方要求我方承担保证责任的，应向我方发出书面索赔通知及承包人未履行主合同约定义务的证明材料。索赔通知应写明要求索赔的金额，支付款项应到达的</w:t>
      </w:r>
      <w:r>
        <w:rPr>
          <w:rFonts w:hint="eastAsia" w:ascii="宋体" w:hAnsi="宋体"/>
          <w:color w:val="auto"/>
          <w:sz w:val="24"/>
          <w:szCs w:val="24"/>
          <w:highlight w:val="none"/>
          <w:lang w:eastAsia="zh-CN"/>
        </w:rPr>
        <w:t>账</w:t>
      </w:r>
      <w:r>
        <w:rPr>
          <w:rFonts w:hint="eastAsia" w:ascii="宋体" w:hAnsi="宋体"/>
          <w:color w:val="auto"/>
          <w:sz w:val="24"/>
          <w:szCs w:val="24"/>
          <w:highlight w:val="none"/>
        </w:rPr>
        <w:t>号，并附有说明承包人违反主合同造成贵方损失情况的证明材料。</w:t>
      </w:r>
    </w:p>
    <w:p w14:paraId="3051649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2.我方收到贵方的书面索赔通知及相应证明材料后，在</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69A031CA">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3005795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28581B9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3C8F0C8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64B0304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37998EC4">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0EDF756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发生应承担保证责任情形的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384059C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承包</w:t>
      </w:r>
      <w:r>
        <w:rPr>
          <w:rFonts w:ascii="宋体" w:hAnsi="宋体"/>
          <w:color w:val="auto"/>
          <w:sz w:val="24"/>
          <w:szCs w:val="24"/>
          <w:highlight w:val="none"/>
        </w:rPr>
        <w:t>人的另行约定，免除</w:t>
      </w:r>
      <w:r>
        <w:rPr>
          <w:rFonts w:hint="eastAsia" w:ascii="宋体" w:hAnsi="宋体"/>
          <w:color w:val="auto"/>
          <w:sz w:val="24"/>
          <w:szCs w:val="24"/>
          <w:highlight w:val="none"/>
        </w:rPr>
        <w:t>承包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7D9F5E7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发生应承担保证责任情形的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69CB6876">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2137CF9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615CE1D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395266B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338CF481">
      <w:pPr>
        <w:spacing w:line="360" w:lineRule="auto"/>
        <w:ind w:firstLine="480" w:firstLineChars="200"/>
        <w:rPr>
          <w:rFonts w:ascii="宋体" w:hAnsi="宋体"/>
          <w:color w:val="auto"/>
          <w:sz w:val="24"/>
          <w:szCs w:val="24"/>
          <w:highlight w:val="none"/>
        </w:rPr>
      </w:pPr>
    </w:p>
    <w:p w14:paraId="5A7FCD1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426AFA3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0260DC1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55F8971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4E4DD57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64F8E58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245C93A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659BEC71">
      <w:pPr>
        <w:rPr>
          <w:color w:val="auto"/>
          <w:highlight w:val="none"/>
        </w:rPr>
      </w:pPr>
    </w:p>
    <w:p w14:paraId="186B1936">
      <w:pPr>
        <w:spacing w:line="360" w:lineRule="auto"/>
        <w:jc w:val="center"/>
        <w:rPr>
          <w:rFonts w:hint="eastAsia" w:ascii="宋体" w:hAnsi="宋体"/>
          <w:b/>
          <w:bCs/>
          <w:color w:val="auto"/>
          <w:sz w:val="32"/>
          <w:szCs w:val="32"/>
          <w:highlight w:val="none"/>
        </w:rPr>
      </w:pPr>
    </w:p>
    <w:p w14:paraId="404D75FF">
      <w:pPr>
        <w:spacing w:line="360" w:lineRule="auto"/>
        <w:jc w:val="center"/>
        <w:rPr>
          <w:rFonts w:hint="eastAsia" w:ascii="宋体" w:hAnsi="宋体"/>
          <w:b/>
          <w:bCs/>
          <w:color w:val="auto"/>
          <w:sz w:val="32"/>
          <w:szCs w:val="32"/>
          <w:highlight w:val="none"/>
        </w:rPr>
      </w:pPr>
    </w:p>
    <w:p w14:paraId="1CBAEA28">
      <w:pPr>
        <w:spacing w:line="360" w:lineRule="auto"/>
        <w:jc w:val="center"/>
        <w:rPr>
          <w:rFonts w:hint="eastAsia" w:ascii="宋体" w:hAnsi="宋体"/>
          <w:b/>
          <w:bCs/>
          <w:color w:val="auto"/>
          <w:sz w:val="32"/>
          <w:szCs w:val="32"/>
          <w:highlight w:val="none"/>
        </w:rPr>
      </w:pPr>
    </w:p>
    <w:p w14:paraId="24A0C117">
      <w:pPr>
        <w:spacing w:line="360" w:lineRule="auto"/>
        <w:jc w:val="center"/>
        <w:rPr>
          <w:rFonts w:hint="eastAsia" w:ascii="宋体" w:hAnsi="宋体"/>
          <w:b/>
          <w:bCs/>
          <w:color w:val="auto"/>
          <w:sz w:val="32"/>
          <w:szCs w:val="32"/>
          <w:highlight w:val="none"/>
        </w:rPr>
      </w:pPr>
    </w:p>
    <w:p w14:paraId="1131C785">
      <w:pPr>
        <w:spacing w:line="360" w:lineRule="auto"/>
        <w:jc w:val="center"/>
        <w:rPr>
          <w:rFonts w:hint="eastAsia" w:ascii="宋体" w:hAnsi="宋体"/>
          <w:b/>
          <w:bCs/>
          <w:color w:val="auto"/>
          <w:sz w:val="32"/>
          <w:szCs w:val="32"/>
          <w:highlight w:val="none"/>
        </w:rPr>
      </w:pPr>
    </w:p>
    <w:p w14:paraId="4F6ED417">
      <w:pPr>
        <w:spacing w:line="360" w:lineRule="auto"/>
        <w:jc w:val="center"/>
        <w:rPr>
          <w:rFonts w:hint="eastAsia" w:ascii="宋体" w:hAnsi="宋体"/>
          <w:b/>
          <w:bCs/>
          <w:color w:val="auto"/>
          <w:sz w:val="32"/>
          <w:szCs w:val="32"/>
          <w:highlight w:val="none"/>
        </w:rPr>
      </w:pPr>
    </w:p>
    <w:p w14:paraId="6422660E">
      <w:pPr>
        <w:spacing w:line="360" w:lineRule="auto"/>
        <w:jc w:val="center"/>
        <w:rPr>
          <w:rFonts w:hint="eastAsia" w:ascii="宋体" w:hAnsi="宋体"/>
          <w:b/>
          <w:bCs/>
          <w:color w:val="auto"/>
          <w:sz w:val="32"/>
          <w:szCs w:val="32"/>
          <w:highlight w:val="none"/>
        </w:rPr>
      </w:pPr>
    </w:p>
    <w:p w14:paraId="1485776C">
      <w:pPr>
        <w:spacing w:line="360" w:lineRule="auto"/>
        <w:jc w:val="center"/>
        <w:rPr>
          <w:rFonts w:hint="eastAsia" w:ascii="宋体" w:hAnsi="宋体"/>
          <w:b/>
          <w:bCs/>
          <w:color w:val="auto"/>
          <w:sz w:val="32"/>
          <w:szCs w:val="32"/>
          <w:highlight w:val="none"/>
        </w:rPr>
      </w:pPr>
    </w:p>
    <w:p w14:paraId="5C40C0AD">
      <w:pPr>
        <w:spacing w:line="360" w:lineRule="auto"/>
        <w:jc w:val="center"/>
        <w:rPr>
          <w:rFonts w:hint="eastAsia" w:ascii="宋体" w:hAnsi="宋体"/>
          <w:b/>
          <w:bCs/>
          <w:color w:val="auto"/>
          <w:sz w:val="32"/>
          <w:szCs w:val="32"/>
          <w:highlight w:val="none"/>
        </w:rPr>
      </w:pPr>
    </w:p>
    <w:p w14:paraId="19CC7197">
      <w:pPr>
        <w:spacing w:line="360" w:lineRule="auto"/>
        <w:jc w:val="center"/>
        <w:rPr>
          <w:rFonts w:hint="eastAsia" w:ascii="宋体" w:hAnsi="宋体"/>
          <w:b/>
          <w:bCs/>
          <w:color w:val="auto"/>
          <w:sz w:val="32"/>
          <w:szCs w:val="32"/>
          <w:highlight w:val="none"/>
        </w:rPr>
      </w:pPr>
    </w:p>
    <w:p w14:paraId="6A9C0D71">
      <w:pPr>
        <w:spacing w:line="360" w:lineRule="auto"/>
        <w:jc w:val="center"/>
        <w:rPr>
          <w:rFonts w:hint="eastAsia" w:ascii="宋体" w:hAnsi="宋体"/>
          <w:b/>
          <w:bCs/>
          <w:color w:val="auto"/>
          <w:sz w:val="32"/>
          <w:szCs w:val="32"/>
          <w:highlight w:val="none"/>
        </w:rPr>
      </w:pPr>
    </w:p>
    <w:p w14:paraId="0FDE1D4E">
      <w:pPr>
        <w:spacing w:line="360" w:lineRule="auto"/>
        <w:jc w:val="center"/>
        <w:rPr>
          <w:rFonts w:hint="eastAsia" w:ascii="宋体" w:hAnsi="宋体"/>
          <w:b/>
          <w:bCs/>
          <w:color w:val="auto"/>
          <w:sz w:val="32"/>
          <w:szCs w:val="32"/>
          <w:highlight w:val="none"/>
        </w:rPr>
      </w:pPr>
    </w:p>
    <w:p w14:paraId="783B0A93">
      <w:pPr>
        <w:spacing w:line="360" w:lineRule="auto"/>
        <w:jc w:val="center"/>
        <w:rPr>
          <w:rFonts w:hint="eastAsia" w:ascii="宋体" w:hAnsi="宋体"/>
          <w:b/>
          <w:bCs/>
          <w:color w:val="auto"/>
          <w:sz w:val="32"/>
          <w:szCs w:val="32"/>
          <w:highlight w:val="none"/>
        </w:rPr>
      </w:pPr>
    </w:p>
    <w:p w14:paraId="73A8D186">
      <w:pPr>
        <w:spacing w:line="360" w:lineRule="auto"/>
        <w:jc w:val="center"/>
        <w:rPr>
          <w:rFonts w:hint="eastAsia" w:ascii="宋体" w:hAnsi="宋体"/>
          <w:b/>
          <w:bCs/>
          <w:color w:val="auto"/>
          <w:sz w:val="32"/>
          <w:szCs w:val="32"/>
          <w:highlight w:val="none"/>
        </w:rPr>
      </w:pPr>
    </w:p>
    <w:p w14:paraId="46E21DF0">
      <w:pPr>
        <w:spacing w:line="360" w:lineRule="auto"/>
        <w:jc w:val="center"/>
        <w:rPr>
          <w:rFonts w:hint="eastAsia" w:ascii="宋体" w:hAnsi="宋体"/>
          <w:b/>
          <w:bCs/>
          <w:color w:val="auto"/>
          <w:sz w:val="32"/>
          <w:szCs w:val="32"/>
          <w:highlight w:val="none"/>
        </w:rPr>
      </w:pPr>
    </w:p>
    <w:p w14:paraId="263855A2">
      <w:pPr>
        <w:spacing w:line="360" w:lineRule="auto"/>
        <w:jc w:val="center"/>
        <w:rPr>
          <w:rFonts w:hint="eastAsia" w:ascii="宋体" w:hAnsi="宋体"/>
          <w:b/>
          <w:bCs/>
          <w:color w:val="auto"/>
          <w:sz w:val="32"/>
          <w:szCs w:val="32"/>
          <w:highlight w:val="none"/>
        </w:rPr>
      </w:pPr>
    </w:p>
    <w:p w14:paraId="512912FD">
      <w:pPr>
        <w:spacing w:line="360" w:lineRule="auto"/>
        <w:jc w:val="center"/>
        <w:rPr>
          <w:rFonts w:hint="eastAsia" w:ascii="宋体" w:hAnsi="宋体"/>
          <w:b/>
          <w:bCs/>
          <w:color w:val="auto"/>
          <w:sz w:val="32"/>
          <w:szCs w:val="32"/>
          <w:highlight w:val="none"/>
        </w:rPr>
      </w:pPr>
    </w:p>
    <w:p w14:paraId="52174C56">
      <w:pPr>
        <w:spacing w:before="120" w:beforeLines="50" w:after="120" w:afterLines="50" w:line="440" w:lineRule="exact"/>
        <w:jc w:val="left"/>
        <w:rPr>
          <w:rFonts w:hint="eastAsia" w:ascii="仿宋_GB2312" w:eastAsia="仿宋_GB2312" w:cs="仿宋_GB2312"/>
          <w:color w:val="auto"/>
          <w:sz w:val="30"/>
          <w:szCs w:val="30"/>
          <w:highlight w:val="none"/>
        </w:rPr>
      </w:pPr>
      <w:r>
        <w:rPr>
          <w:rFonts w:hint="eastAsia" w:ascii="仿宋_GB2312" w:eastAsia="仿宋_GB2312" w:cs="仿宋_GB2312"/>
          <w:color w:val="auto"/>
          <w:sz w:val="30"/>
          <w:szCs w:val="30"/>
          <w:highlight w:val="none"/>
        </w:rPr>
        <w:t>附件9：支付保函示范文本</w:t>
      </w:r>
    </w:p>
    <w:p w14:paraId="1B68CD52">
      <w:pPr>
        <w:spacing w:line="360" w:lineRule="auto"/>
        <w:jc w:val="left"/>
        <w:rPr>
          <w:rFonts w:ascii="黑体" w:hAnsi="黑体" w:eastAsia="黑体" w:cs="黑体"/>
          <w:b/>
          <w:bCs/>
          <w:color w:val="auto"/>
          <w:sz w:val="32"/>
          <w:szCs w:val="32"/>
          <w:highlight w:val="none"/>
        </w:rPr>
      </w:pPr>
    </w:p>
    <w:p w14:paraId="0F9647A1">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支付保函示范文本</w:t>
      </w:r>
    </w:p>
    <w:p w14:paraId="752B012C">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2923F335">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1634CAA7">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7686F49E">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4222FF4D">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3CE7B70D">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0CD76A87">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594BB02F">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1AFA85EA">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5D03D5B9">
      <w:pPr>
        <w:spacing w:line="360" w:lineRule="auto"/>
        <w:rPr>
          <w:rFonts w:ascii="宋体" w:hAnsi="宋体"/>
          <w:color w:val="auto"/>
          <w:sz w:val="24"/>
          <w:szCs w:val="24"/>
          <w:highlight w:val="none"/>
        </w:rPr>
      </w:pPr>
      <w:bookmarkStart w:id="1916" w:name="_Hlk40355074"/>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bookmarkEnd w:id="1916"/>
    <w:p w14:paraId="0F68148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受益人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申请人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本工程</w:t>
      </w:r>
      <w:r>
        <w:rPr>
          <w:rFonts w:hint="eastAsia" w:ascii="宋体" w:hAnsi="宋体"/>
          <w:color w:val="auto"/>
          <w:sz w:val="24"/>
          <w:szCs w:val="24"/>
          <w:highlight w:val="none"/>
          <w:lang w:eastAsia="zh-CN"/>
        </w:rPr>
        <w:t>”</w:t>
      </w:r>
      <w:r>
        <w:rPr>
          <w:rFonts w:hint="eastAsia" w:ascii="宋体" w:hAnsi="宋体"/>
          <w:color w:val="auto"/>
          <w:sz w:val="24"/>
          <w:szCs w:val="24"/>
          <w:highlight w:val="none"/>
        </w:rPr>
        <w:t>）施工和有关事项协商一致共同签订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w:t>
      </w:r>
      <w:r>
        <w:rPr>
          <w:rFonts w:hint="eastAsia" w:ascii="宋体" w:hAnsi="宋体"/>
          <w:color w:val="auto"/>
          <w:sz w:val="24"/>
          <w:szCs w:val="24"/>
          <w:highlight w:val="none"/>
          <w:lang w:eastAsia="zh-CN"/>
        </w:rPr>
        <w:t>”</w:t>
      </w:r>
      <w:r>
        <w:rPr>
          <w:rFonts w:hint="eastAsia" w:ascii="宋体" w:hAnsi="宋体"/>
          <w:color w:val="auto"/>
          <w:sz w:val="24"/>
          <w:szCs w:val="24"/>
          <w:highlight w:val="none"/>
        </w:rPr>
        <w:t>），我方（即</w:t>
      </w:r>
      <w:r>
        <w:rPr>
          <w:rFonts w:hint="eastAsia" w:ascii="宋体" w:hAnsi="宋体"/>
          <w:color w:val="auto"/>
          <w:sz w:val="24"/>
          <w:szCs w:val="24"/>
          <w:highlight w:val="none"/>
          <w:lang w:eastAsia="zh-CN"/>
        </w:rPr>
        <w:t>“</w:t>
      </w:r>
      <w:r>
        <w:rPr>
          <w:rFonts w:hint="eastAsia" w:ascii="宋体" w:hAnsi="宋体"/>
          <w:color w:val="auto"/>
          <w:sz w:val="24"/>
          <w:szCs w:val="24"/>
          <w:highlight w:val="none"/>
        </w:rPr>
        <w:t>开立人</w:t>
      </w:r>
      <w:r>
        <w:rPr>
          <w:rFonts w:hint="eastAsia" w:ascii="宋体" w:hAnsi="宋体"/>
          <w:color w:val="auto"/>
          <w:sz w:val="24"/>
          <w:szCs w:val="24"/>
          <w:highlight w:val="none"/>
          <w:lang w:eastAsia="zh-CN"/>
        </w:rPr>
        <w:t>”</w:t>
      </w:r>
      <w:r>
        <w:rPr>
          <w:rFonts w:hint="eastAsia" w:ascii="宋体" w:hAnsi="宋体"/>
          <w:color w:val="auto"/>
          <w:sz w:val="24"/>
          <w:szCs w:val="24"/>
          <w:highlight w:val="none"/>
        </w:rPr>
        <w:t>）根据基础合同了解到申请人为基础合同项下之发包人，受益人为基础合同项下之承包人，基于申请人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w:t>
      </w:r>
      <w:r>
        <w:rPr>
          <w:rFonts w:ascii="宋体" w:hAnsi="宋体"/>
          <w:color w:val="auto"/>
          <w:sz w:val="24"/>
          <w:szCs w:val="24"/>
          <w:highlight w:val="none"/>
        </w:rPr>
        <w:t>履行</w:t>
      </w:r>
      <w:r>
        <w:rPr>
          <w:rFonts w:hint="eastAsia" w:ascii="宋体" w:hAnsi="宋体"/>
          <w:color w:val="auto"/>
          <w:sz w:val="24"/>
          <w:szCs w:val="24"/>
          <w:highlight w:val="none"/>
        </w:rPr>
        <w:t>与贵方签订的基础合同</w:t>
      </w:r>
      <w:r>
        <w:rPr>
          <w:rFonts w:ascii="宋体" w:hAnsi="宋体"/>
          <w:color w:val="auto"/>
          <w:sz w:val="24"/>
          <w:szCs w:val="24"/>
          <w:highlight w:val="none"/>
        </w:rPr>
        <w:t>项下的</w:t>
      </w:r>
      <w:r>
        <w:rPr>
          <w:rFonts w:hint="eastAsia" w:ascii="宋体" w:hAnsi="宋体"/>
          <w:color w:val="auto"/>
          <w:sz w:val="24"/>
          <w:szCs w:val="24"/>
          <w:highlight w:val="none"/>
        </w:rPr>
        <w:t>工程款（指基础合同约定的除工程质量保修金以外的工程款）付款</w:t>
      </w:r>
      <w:r>
        <w:rPr>
          <w:rFonts w:ascii="宋体" w:hAnsi="宋体"/>
          <w:color w:val="auto"/>
          <w:sz w:val="24"/>
          <w:szCs w:val="24"/>
          <w:highlight w:val="none"/>
        </w:rPr>
        <w:t>义务</w:t>
      </w:r>
      <w:r>
        <w:rPr>
          <w:rFonts w:hint="eastAsia" w:ascii="宋体" w:hAnsi="宋体"/>
          <w:color w:val="auto"/>
          <w:sz w:val="24"/>
          <w:szCs w:val="24"/>
          <w:highlight w:val="none"/>
        </w:rPr>
        <w:t>，</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本保函</w:t>
      </w:r>
      <w:r>
        <w:rPr>
          <w:rFonts w:hint="eastAsia" w:ascii="宋体" w:hAnsi="宋体"/>
          <w:color w:val="auto"/>
          <w:sz w:val="24"/>
          <w:szCs w:val="24"/>
          <w:highlight w:val="none"/>
          <w:lang w:eastAsia="zh-CN"/>
        </w:rPr>
        <w:t>”</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442B6A1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一、本保函担保范围：申请人未履行基础合同约定的工程款支付义务，应当向贵方承担的违约责任和赔偿因此造成的损失、利息、律师费、诉讼费用等实现债权的费用。</w:t>
      </w:r>
    </w:p>
    <w:p w14:paraId="137045C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2A0349F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基础合同约定的除工程质量保修金以外的全部工程结算款项支付之日后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469FD98C">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5E02E7B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0BF9811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5CCDBAA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4D4EAB3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1EB7B98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5D4B8A7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64C294B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41400F5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的基础</w:t>
      </w:r>
      <w:r>
        <w:rPr>
          <w:rFonts w:hint="eastAsia" w:ascii="宋体" w:hAnsi="宋体"/>
          <w:color w:val="auto"/>
          <w:sz w:val="24"/>
          <w:szCs w:val="24"/>
          <w:highlight w:val="none"/>
        </w:rPr>
        <w:t>合同</w:t>
      </w:r>
      <w:r>
        <w:rPr>
          <w:rFonts w:ascii="宋体" w:hAnsi="宋体"/>
          <w:color w:val="auto"/>
          <w:sz w:val="24"/>
          <w:szCs w:val="24"/>
          <w:highlight w:val="none"/>
        </w:rPr>
        <w:t xml:space="preserve">不成立、不生效、无效、被撤销、被解除，不影响本保函的独立有效。 </w:t>
      </w:r>
    </w:p>
    <w:p w14:paraId="45E3193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1713282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31DEE4B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bookmarkStart w:id="1917" w:name="_Hlk58487855"/>
      <w:r>
        <w:rPr>
          <w:rFonts w:hint="eastAsia" w:ascii="宋体" w:hAnsi="宋体"/>
          <w:color w:val="auto"/>
          <w:sz w:val="24"/>
          <w:szCs w:val="24"/>
          <w:highlight w:val="none"/>
        </w:rPr>
        <w:t>或授权代表</w:t>
      </w:r>
      <w:bookmarkEnd w:id="1917"/>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47DF3952">
      <w:pPr>
        <w:spacing w:line="360" w:lineRule="auto"/>
        <w:ind w:firstLine="480" w:firstLineChars="200"/>
        <w:rPr>
          <w:rFonts w:ascii="宋体" w:hAnsi="宋体"/>
          <w:color w:val="auto"/>
          <w:sz w:val="24"/>
          <w:szCs w:val="24"/>
          <w:highlight w:val="none"/>
        </w:rPr>
      </w:pPr>
    </w:p>
    <w:p w14:paraId="6A42F5AB">
      <w:pPr>
        <w:spacing w:line="360" w:lineRule="auto"/>
        <w:ind w:firstLine="480" w:firstLineChars="200"/>
        <w:rPr>
          <w:rFonts w:ascii="宋体" w:hAnsi="宋体"/>
          <w:color w:val="auto"/>
          <w:sz w:val="24"/>
          <w:szCs w:val="24"/>
          <w:highlight w:val="none"/>
        </w:rPr>
      </w:pPr>
    </w:p>
    <w:p w14:paraId="4172D17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2CDAF96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025B6D2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019A7ED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351A876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566F138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3878587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日</w:t>
      </w:r>
    </w:p>
    <w:p w14:paraId="74B28DF3">
      <w:pPr>
        <w:spacing w:line="360" w:lineRule="auto"/>
        <w:ind w:firstLine="480" w:firstLineChars="200"/>
        <w:rPr>
          <w:rFonts w:ascii="宋体" w:hAnsi="宋体"/>
          <w:color w:val="auto"/>
          <w:sz w:val="24"/>
          <w:szCs w:val="24"/>
          <w:highlight w:val="none"/>
        </w:rPr>
      </w:pPr>
    </w:p>
    <w:p w14:paraId="41D1A065">
      <w:pPr>
        <w:spacing w:line="360" w:lineRule="auto"/>
        <w:ind w:firstLine="480" w:firstLineChars="200"/>
        <w:rPr>
          <w:rFonts w:ascii="宋体" w:hAnsi="宋体"/>
          <w:color w:val="auto"/>
          <w:sz w:val="24"/>
          <w:szCs w:val="24"/>
          <w:highlight w:val="none"/>
        </w:rPr>
      </w:pPr>
    </w:p>
    <w:p w14:paraId="20B99716">
      <w:pPr>
        <w:spacing w:line="360" w:lineRule="auto"/>
        <w:ind w:firstLine="480" w:firstLineChars="200"/>
        <w:rPr>
          <w:rFonts w:ascii="宋体" w:hAnsi="宋体"/>
          <w:color w:val="auto"/>
          <w:sz w:val="24"/>
          <w:szCs w:val="24"/>
          <w:highlight w:val="none"/>
        </w:rPr>
      </w:pPr>
    </w:p>
    <w:p w14:paraId="0D39F80B">
      <w:pPr>
        <w:spacing w:line="360" w:lineRule="auto"/>
        <w:jc w:val="left"/>
        <w:rPr>
          <w:rFonts w:hint="eastAsia" w:ascii="黑体" w:hAnsi="黑体" w:eastAsia="黑体" w:cs="黑体"/>
          <w:b/>
          <w:bCs/>
          <w:color w:val="auto"/>
          <w:sz w:val="32"/>
          <w:szCs w:val="32"/>
          <w:highlight w:val="none"/>
          <w:lang w:eastAsia="zh-CN"/>
        </w:rPr>
      </w:pPr>
      <w:r>
        <w:rPr>
          <w:rFonts w:hint="eastAsia" w:ascii="仿宋_GB2312" w:eastAsia="仿宋_GB2312" w:cs="仿宋_GB2312"/>
          <w:color w:val="auto"/>
          <w:sz w:val="30"/>
          <w:szCs w:val="30"/>
          <w:highlight w:val="none"/>
          <w:lang w:val="en-US" w:eastAsia="zh-CN"/>
        </w:rPr>
        <w:t xml:space="preserve"> </w:t>
      </w:r>
    </w:p>
    <w:p w14:paraId="4DC96D3B">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支付保函示范文本</w:t>
      </w:r>
    </w:p>
    <w:p w14:paraId="501FFF71">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2F126649">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5606B614">
      <w:pPr>
        <w:wordWrap w:val="0"/>
        <w:spacing w:line="360" w:lineRule="auto"/>
        <w:jc w:val="right"/>
        <w:rPr>
          <w:rFonts w:ascii="宋体" w:hAnsi="宋体"/>
          <w:color w:val="auto"/>
          <w:highlight w:val="none"/>
        </w:rPr>
      </w:pPr>
      <w:r>
        <w:rPr>
          <w:rFonts w:ascii="宋体" w:hAnsi="宋体"/>
          <w:color w:val="auto"/>
          <w:highlight w:val="none"/>
        </w:rPr>
        <w:t xml:space="preserve">     </w:t>
      </w:r>
    </w:p>
    <w:p w14:paraId="2D8BEF2F">
      <w:pPr>
        <w:spacing w:line="360" w:lineRule="auto"/>
        <w:rPr>
          <w:rFonts w:ascii="宋体" w:hAnsi="宋体"/>
          <w:color w:val="auto"/>
          <w:sz w:val="24"/>
          <w:szCs w:val="24"/>
          <w:highlight w:val="none"/>
        </w:rPr>
      </w:pPr>
      <w:r>
        <w:rPr>
          <w:rFonts w:hint="eastAsia" w:ascii="宋体" w:hAnsi="宋体"/>
          <w:color w:val="auto"/>
          <w:sz w:val="24"/>
          <w:szCs w:val="24"/>
          <w:highlight w:val="none"/>
        </w:rPr>
        <w:t>发包人：</w:t>
      </w:r>
    </w:p>
    <w:p w14:paraId="6AAD0713">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183B2B0B">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担保权人/承包人：</w:t>
      </w:r>
      <w:r>
        <w:rPr>
          <w:rFonts w:ascii="宋体" w:hAnsi="宋体"/>
          <w:color w:val="auto"/>
          <w:sz w:val="24"/>
          <w:szCs w:val="24"/>
          <w:highlight w:val="none"/>
        </w:rPr>
        <w:t xml:space="preserve"> </w:t>
      </w:r>
    </w:p>
    <w:p w14:paraId="07DE9FF1">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64FD30EA">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08E432A1">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07D07474">
      <w:pPr>
        <w:spacing w:line="360" w:lineRule="auto"/>
        <w:rPr>
          <w:rFonts w:ascii="宋体" w:hAnsi="宋体"/>
          <w:color w:val="auto"/>
          <w:sz w:val="24"/>
          <w:szCs w:val="24"/>
          <w:highlight w:val="none"/>
        </w:rPr>
      </w:pPr>
    </w:p>
    <w:p w14:paraId="55B495FB">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承包人</w:t>
      </w:r>
      <w:r>
        <w:rPr>
          <w:rFonts w:ascii="宋体" w:hAnsi="宋体"/>
          <w:color w:val="auto"/>
          <w:sz w:val="24"/>
          <w:szCs w:val="24"/>
          <w:highlight w:val="none"/>
        </w:rPr>
        <w:t xml:space="preserve">名称）： </w:t>
      </w:r>
    </w:p>
    <w:p w14:paraId="2936023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发包人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承包人</w:t>
      </w:r>
      <w:r>
        <w:rPr>
          <w:rFonts w:hint="eastAsia" w:ascii="宋体" w:hAnsi="宋体"/>
          <w:color w:val="auto"/>
          <w:sz w:val="24"/>
          <w:szCs w:val="24"/>
          <w:highlight w:val="none"/>
          <w:lang w:eastAsia="zh-CN"/>
        </w:rPr>
        <w:t>”</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本工程</w:t>
      </w:r>
      <w:r>
        <w:rPr>
          <w:rFonts w:hint="eastAsia" w:ascii="宋体" w:hAnsi="宋体"/>
          <w:color w:val="auto"/>
          <w:sz w:val="24"/>
          <w:szCs w:val="24"/>
          <w:highlight w:val="none"/>
          <w:lang w:eastAsia="zh-CN"/>
        </w:rPr>
        <w:t>”</w:t>
      </w:r>
      <w:r>
        <w:rPr>
          <w:rFonts w:hint="eastAsia" w:ascii="宋体" w:hAnsi="宋体"/>
          <w:color w:val="auto"/>
          <w:sz w:val="24"/>
          <w:szCs w:val="24"/>
          <w:highlight w:val="none"/>
        </w:rPr>
        <w:t>）施工和有关事项协商一致共同签订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主合同</w:t>
      </w:r>
      <w:r>
        <w:rPr>
          <w:rFonts w:hint="eastAsia" w:ascii="宋体" w:hAnsi="宋体"/>
          <w:color w:val="auto"/>
          <w:sz w:val="24"/>
          <w:szCs w:val="24"/>
          <w:highlight w:val="none"/>
          <w:lang w:eastAsia="zh-CN"/>
        </w:rPr>
        <w:t>”</w:t>
      </w:r>
      <w:r>
        <w:rPr>
          <w:rFonts w:hint="eastAsia" w:ascii="宋体" w:hAnsi="宋体"/>
          <w:color w:val="auto"/>
          <w:sz w:val="24"/>
          <w:szCs w:val="24"/>
          <w:highlight w:val="none"/>
        </w:rPr>
        <w:t>），我方即保证人基于发包人</w:t>
      </w:r>
      <w:r>
        <w:rPr>
          <w:rFonts w:ascii="宋体" w:hAnsi="宋体"/>
          <w:color w:val="auto"/>
          <w:sz w:val="24"/>
          <w:szCs w:val="24"/>
          <w:highlight w:val="none"/>
        </w:rPr>
        <w:t>的请求，同意就</w:t>
      </w:r>
      <w:r>
        <w:rPr>
          <w:rFonts w:hint="eastAsia" w:ascii="宋体" w:hAnsi="宋体"/>
          <w:color w:val="auto"/>
          <w:sz w:val="24"/>
          <w:szCs w:val="24"/>
          <w:highlight w:val="none"/>
        </w:rPr>
        <w:t>发包人</w:t>
      </w:r>
      <w:r>
        <w:rPr>
          <w:rFonts w:ascii="宋体" w:hAnsi="宋体"/>
          <w:color w:val="auto"/>
          <w:sz w:val="24"/>
          <w:szCs w:val="24"/>
          <w:highlight w:val="none"/>
        </w:rPr>
        <w:t>履行</w:t>
      </w:r>
      <w:r>
        <w:rPr>
          <w:rFonts w:hint="eastAsia" w:ascii="宋体" w:hAnsi="宋体"/>
          <w:color w:val="auto"/>
          <w:sz w:val="24"/>
          <w:szCs w:val="24"/>
          <w:highlight w:val="none"/>
        </w:rPr>
        <w:t>与贵方签订的主合同</w:t>
      </w:r>
      <w:r>
        <w:rPr>
          <w:rFonts w:ascii="宋体" w:hAnsi="宋体"/>
          <w:color w:val="auto"/>
          <w:sz w:val="24"/>
          <w:szCs w:val="24"/>
          <w:highlight w:val="none"/>
        </w:rPr>
        <w:t>项下的</w:t>
      </w:r>
      <w:r>
        <w:rPr>
          <w:rFonts w:hint="eastAsia" w:ascii="宋体" w:hAnsi="宋体"/>
          <w:color w:val="auto"/>
          <w:sz w:val="24"/>
          <w:szCs w:val="24"/>
          <w:highlight w:val="none"/>
        </w:rPr>
        <w:t>工程款（指主合同约定的除工程质量保修金以外的全部工程结算款项）付款</w:t>
      </w:r>
      <w:r>
        <w:rPr>
          <w:rFonts w:ascii="宋体" w:hAnsi="宋体"/>
          <w:color w:val="auto"/>
          <w:sz w:val="24"/>
          <w:szCs w:val="24"/>
          <w:highlight w:val="none"/>
        </w:rPr>
        <w:t>义务</w:t>
      </w:r>
      <w:r>
        <w:rPr>
          <w:rFonts w:hint="eastAsia" w:ascii="宋体" w:hAnsi="宋体"/>
          <w:color w:val="auto"/>
          <w:sz w:val="24"/>
          <w:szCs w:val="24"/>
          <w:highlight w:val="none"/>
        </w:rPr>
        <w:t>，</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本保证担保</w:t>
      </w:r>
      <w:r>
        <w:rPr>
          <w:rFonts w:hint="eastAsia" w:ascii="宋体" w:hAnsi="宋体"/>
          <w:color w:val="auto"/>
          <w:sz w:val="24"/>
          <w:szCs w:val="24"/>
          <w:highlight w:val="none"/>
          <w:lang w:eastAsia="zh-CN"/>
        </w:rPr>
        <w:t>”</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29FA47A1">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一、保证担保的范围及保证担保金额</w:t>
      </w:r>
    </w:p>
    <w:p w14:paraId="494C1A3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保证担保范围：申请人未履行主合同约定的工程款支付义务，应当向贵方承担的违约责任和赔偿因此造成的损失、利息、律师费、诉讼费用等实现债权的费用。</w:t>
      </w:r>
    </w:p>
    <w:p w14:paraId="1102F56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18A5C922">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776EFDD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74717A4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主合同约定的除工程质量保修金以外的工程款支付之日后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5D2E2F20">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69A7F1B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发包人未按合同约定向贵方支付主合同项下工程款的，由我方在保证金额内代为支付，并赔偿因此给贵方造成的损失，以及利息和律师费、诉讼费用等实现债权的费用。</w:t>
      </w:r>
    </w:p>
    <w:p w14:paraId="21209B7D">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092F54E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1.贵方要求我方承担保证责任的，应向我方发出书面索赔通知及发包人未支付主合同约定工程款的证明材料。索赔通知应写明要求索赔的金额，支付款项应到达的</w:t>
      </w:r>
      <w:r>
        <w:rPr>
          <w:rFonts w:hint="eastAsia" w:ascii="宋体" w:hAnsi="宋体"/>
          <w:color w:val="auto"/>
          <w:sz w:val="24"/>
          <w:szCs w:val="24"/>
          <w:highlight w:val="none"/>
          <w:lang w:eastAsia="zh-CN"/>
        </w:rPr>
        <w:t>账</w:t>
      </w:r>
      <w:r>
        <w:rPr>
          <w:rFonts w:hint="eastAsia" w:ascii="宋体" w:hAnsi="宋体"/>
          <w:color w:val="auto"/>
          <w:sz w:val="24"/>
          <w:szCs w:val="24"/>
          <w:highlight w:val="none"/>
        </w:rPr>
        <w:t>号。</w:t>
      </w:r>
    </w:p>
    <w:p w14:paraId="66C38F4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16BBA09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3.我方收到贵方的书面索赔通知及相应证明材料后，在</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1BD1783B">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06A408A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1396A38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33A9DE3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72298BA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6675F130">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2BFFDDE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发包人未履行主合同项下工程款付款义务的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2FCA58A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发包</w:t>
      </w:r>
      <w:r>
        <w:rPr>
          <w:rFonts w:ascii="宋体" w:hAnsi="宋体"/>
          <w:color w:val="auto"/>
          <w:sz w:val="24"/>
          <w:szCs w:val="24"/>
          <w:highlight w:val="none"/>
        </w:rPr>
        <w:t>人的另行约定，免除</w:t>
      </w:r>
      <w:r>
        <w:rPr>
          <w:rFonts w:hint="eastAsia" w:ascii="宋体" w:hAnsi="宋体"/>
          <w:color w:val="auto"/>
          <w:sz w:val="24"/>
          <w:szCs w:val="24"/>
          <w:highlight w:val="none"/>
        </w:rPr>
        <w:t>发包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7C4815A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发包</w:t>
      </w:r>
      <w:r>
        <w:rPr>
          <w:rFonts w:ascii="宋体" w:hAnsi="宋体"/>
          <w:color w:val="auto"/>
          <w:sz w:val="24"/>
          <w:szCs w:val="24"/>
          <w:highlight w:val="none"/>
        </w:rPr>
        <w:t>人</w:t>
      </w:r>
      <w:r>
        <w:rPr>
          <w:rFonts w:hint="eastAsia" w:ascii="宋体" w:hAnsi="宋体"/>
          <w:color w:val="auto"/>
          <w:sz w:val="24"/>
          <w:szCs w:val="24"/>
          <w:highlight w:val="none"/>
        </w:rPr>
        <w:t>未履行主合同项下工程款付款义务的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604AE22E">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22E6BD1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698A82F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7E3940D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64C6C512">
      <w:pPr>
        <w:spacing w:line="360" w:lineRule="auto"/>
        <w:ind w:firstLine="480" w:firstLineChars="200"/>
        <w:rPr>
          <w:rFonts w:ascii="宋体" w:hAnsi="宋体"/>
          <w:color w:val="auto"/>
          <w:sz w:val="24"/>
          <w:szCs w:val="24"/>
          <w:highlight w:val="none"/>
        </w:rPr>
      </w:pPr>
    </w:p>
    <w:p w14:paraId="286FA50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1067CD1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7F3EC34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0AA62F2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22F92C9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267170C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1974CEF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583F300E">
      <w:pPr>
        <w:rPr>
          <w:color w:val="auto"/>
          <w:highlight w:val="none"/>
        </w:rPr>
      </w:pPr>
    </w:p>
    <w:p w14:paraId="1C30EDA5">
      <w:pPr>
        <w:rPr>
          <w:color w:val="auto"/>
          <w:highlight w:val="none"/>
        </w:rPr>
      </w:pPr>
    </w:p>
    <w:p w14:paraId="14B79EE9">
      <w:pPr>
        <w:rPr>
          <w:color w:val="auto"/>
          <w:highlight w:val="none"/>
        </w:rPr>
      </w:pPr>
    </w:p>
    <w:p w14:paraId="6A4913F1">
      <w:pPr>
        <w:rPr>
          <w:color w:val="auto"/>
          <w:highlight w:val="none"/>
        </w:rPr>
      </w:pPr>
    </w:p>
    <w:p w14:paraId="3106FFD9">
      <w:pPr>
        <w:rPr>
          <w:color w:val="auto"/>
          <w:highlight w:val="none"/>
        </w:rPr>
      </w:pPr>
    </w:p>
    <w:p w14:paraId="3F02E304">
      <w:pPr>
        <w:rPr>
          <w:color w:val="auto"/>
          <w:highlight w:val="none"/>
        </w:rPr>
      </w:pPr>
    </w:p>
    <w:p w14:paraId="01BAF67A">
      <w:pPr>
        <w:rPr>
          <w:color w:val="auto"/>
          <w:highlight w:val="none"/>
        </w:rPr>
      </w:pPr>
    </w:p>
    <w:p w14:paraId="146AB935">
      <w:pPr>
        <w:rPr>
          <w:color w:val="auto"/>
          <w:highlight w:val="none"/>
        </w:rPr>
      </w:pPr>
    </w:p>
    <w:p w14:paraId="08600454">
      <w:pPr>
        <w:rPr>
          <w:color w:val="auto"/>
          <w:highlight w:val="none"/>
        </w:rPr>
      </w:pPr>
    </w:p>
    <w:p w14:paraId="2DEECA5D">
      <w:pPr>
        <w:rPr>
          <w:color w:val="auto"/>
          <w:highlight w:val="none"/>
        </w:rPr>
      </w:pPr>
    </w:p>
    <w:p w14:paraId="4402F976">
      <w:pPr>
        <w:rPr>
          <w:color w:val="auto"/>
          <w:highlight w:val="none"/>
        </w:rPr>
      </w:pPr>
    </w:p>
    <w:p w14:paraId="18420B96">
      <w:pPr>
        <w:rPr>
          <w:color w:val="auto"/>
          <w:highlight w:val="none"/>
        </w:rPr>
      </w:pPr>
    </w:p>
    <w:p w14:paraId="34736C03">
      <w:pPr>
        <w:rPr>
          <w:color w:val="auto"/>
          <w:highlight w:val="none"/>
        </w:rPr>
      </w:pPr>
    </w:p>
    <w:p w14:paraId="1824A6B2">
      <w:pPr>
        <w:rPr>
          <w:color w:val="auto"/>
          <w:highlight w:val="none"/>
        </w:rPr>
      </w:pPr>
    </w:p>
    <w:p w14:paraId="539F44DC">
      <w:pPr>
        <w:rPr>
          <w:color w:val="auto"/>
          <w:highlight w:val="none"/>
        </w:rPr>
      </w:pPr>
    </w:p>
    <w:p w14:paraId="42B4C3FD">
      <w:pPr>
        <w:rPr>
          <w:color w:val="auto"/>
          <w:highlight w:val="none"/>
        </w:rPr>
      </w:pPr>
    </w:p>
    <w:p w14:paraId="5113313A">
      <w:pPr>
        <w:rPr>
          <w:color w:val="auto"/>
          <w:highlight w:val="none"/>
        </w:rPr>
      </w:pPr>
    </w:p>
    <w:p w14:paraId="1AA5C64B">
      <w:pPr>
        <w:rPr>
          <w:color w:val="auto"/>
          <w:highlight w:val="none"/>
        </w:rPr>
      </w:pPr>
    </w:p>
    <w:p w14:paraId="2CF696EF">
      <w:pPr>
        <w:rPr>
          <w:color w:val="auto"/>
          <w:highlight w:val="none"/>
        </w:rPr>
      </w:pPr>
    </w:p>
    <w:p w14:paraId="7AAC5CA5">
      <w:pPr>
        <w:rPr>
          <w:color w:val="auto"/>
          <w:highlight w:val="none"/>
        </w:rPr>
      </w:pPr>
    </w:p>
    <w:p w14:paraId="6C4D4511">
      <w:pPr>
        <w:rPr>
          <w:color w:val="auto"/>
          <w:highlight w:val="none"/>
        </w:rPr>
      </w:pPr>
    </w:p>
    <w:p w14:paraId="31FBAF33">
      <w:pPr>
        <w:rPr>
          <w:color w:val="auto"/>
          <w:highlight w:val="none"/>
        </w:rPr>
      </w:pPr>
    </w:p>
    <w:p w14:paraId="62F65DF9">
      <w:pPr>
        <w:rPr>
          <w:color w:val="auto"/>
          <w:highlight w:val="none"/>
        </w:rPr>
      </w:pPr>
    </w:p>
    <w:p w14:paraId="4B5549AA">
      <w:pPr>
        <w:rPr>
          <w:color w:val="auto"/>
          <w:highlight w:val="none"/>
        </w:rPr>
      </w:pPr>
    </w:p>
    <w:p w14:paraId="0E9FA998">
      <w:pPr>
        <w:rPr>
          <w:color w:val="auto"/>
          <w:highlight w:val="none"/>
        </w:rPr>
      </w:pPr>
    </w:p>
    <w:p w14:paraId="52562913">
      <w:pPr>
        <w:rPr>
          <w:color w:val="auto"/>
          <w:highlight w:val="none"/>
        </w:rPr>
      </w:pPr>
    </w:p>
    <w:p w14:paraId="0CFF73C2">
      <w:pPr>
        <w:spacing w:line="360" w:lineRule="auto"/>
        <w:ind w:firstLine="480" w:firstLineChars="200"/>
        <w:rPr>
          <w:rFonts w:ascii="宋体" w:hAnsi="宋体"/>
          <w:color w:val="auto"/>
          <w:sz w:val="24"/>
          <w:szCs w:val="24"/>
          <w:highlight w:val="none"/>
        </w:rPr>
      </w:pPr>
    </w:p>
    <w:p w14:paraId="122F8366">
      <w:pPr>
        <w:spacing w:line="360" w:lineRule="auto"/>
        <w:ind w:firstLine="420" w:firstLineChars="200"/>
        <w:rPr>
          <w:rFonts w:hint="eastAsia"/>
          <w:color w:val="auto"/>
          <w:highlight w:val="none"/>
        </w:rPr>
      </w:pPr>
    </w:p>
    <w:p w14:paraId="2BA1DA37">
      <w:pPr>
        <w:jc w:val="left"/>
        <w:rPr>
          <w:rFonts w:hint="eastAsia" w:ascii="仿宋_GB2312" w:eastAsia="仿宋_GB2312" w:cs="仿宋_GB2312"/>
          <w:color w:val="auto"/>
          <w:sz w:val="30"/>
          <w:szCs w:val="30"/>
          <w:highlight w:val="none"/>
        </w:rPr>
      </w:pPr>
      <w:r>
        <w:rPr>
          <w:rFonts w:eastAsia="仿宋_GB2312"/>
          <w:color w:val="auto"/>
          <w:sz w:val="30"/>
          <w:szCs w:val="30"/>
          <w:highlight w:val="none"/>
        </w:rPr>
        <w:t xml:space="preserve"> </w:t>
      </w:r>
      <w:bookmarkStart w:id="1918" w:name="_Toc358569763"/>
      <w:r>
        <w:rPr>
          <w:rFonts w:hint="eastAsia" w:ascii="仿宋_GB2312" w:eastAsia="仿宋_GB2312" w:cs="仿宋_GB2312"/>
          <w:color w:val="auto"/>
          <w:sz w:val="30"/>
          <w:szCs w:val="30"/>
          <w:highlight w:val="none"/>
        </w:rPr>
        <w:t>附件10：预付款支付申请（核准）表</w:t>
      </w:r>
    </w:p>
    <w:p w14:paraId="722C1B0D">
      <w:pPr>
        <w:jc w:val="center"/>
        <w:outlineLvl w:val="9"/>
        <w:rPr>
          <w:rFonts w:hint="eastAsia" w:ascii="宋体" w:hAnsi="宋体"/>
          <w:b/>
          <w:color w:val="auto"/>
          <w:sz w:val="30"/>
          <w:szCs w:val="30"/>
          <w:highlight w:val="none"/>
        </w:rPr>
      </w:pPr>
      <w:r>
        <w:rPr>
          <w:rFonts w:hint="eastAsia" w:ascii="宋体" w:hAnsi="宋体"/>
          <w:b/>
          <w:color w:val="auto"/>
          <w:sz w:val="30"/>
          <w:szCs w:val="30"/>
          <w:highlight w:val="none"/>
        </w:rPr>
        <w:t>预付款支付申请（核准）表</w:t>
      </w:r>
    </w:p>
    <w:p w14:paraId="6CF4B6FD">
      <w:pPr>
        <w:jc w:val="center"/>
        <w:outlineLvl w:val="9"/>
        <w:rPr>
          <w:rFonts w:hint="eastAsia" w:ascii="宋体" w:hAnsi="宋体" w:eastAsia="宋体"/>
          <w:b/>
          <w:color w:val="auto"/>
          <w:sz w:val="30"/>
          <w:szCs w:val="30"/>
          <w:highlight w:val="none"/>
          <w:lang w:val="en-US" w:eastAsia="zh-CN"/>
        </w:rPr>
      </w:pPr>
      <w:r>
        <w:rPr>
          <w:rFonts w:hint="eastAsia" w:ascii="宋体" w:hAnsi="宋体"/>
          <w:b/>
          <w:color w:val="auto"/>
          <w:sz w:val="30"/>
          <w:szCs w:val="30"/>
          <w:highlight w:val="none"/>
          <w:lang w:eastAsia="zh-CN"/>
        </w:rPr>
        <w:t>（适用于分年度支付）</w:t>
      </w:r>
    </w:p>
    <w:p w14:paraId="1DCA6DC8">
      <w:pPr>
        <w:spacing w:line="360" w:lineRule="auto"/>
        <w:ind w:firstLine="420" w:firstLineChars="200"/>
        <w:rPr>
          <w:color w:val="auto"/>
          <w:sz w:val="21"/>
          <w:szCs w:val="21"/>
          <w:highlight w:val="none"/>
        </w:rPr>
      </w:pPr>
      <w:r>
        <w:rPr>
          <w:rFonts w:hint="eastAsia" w:ascii="宋体" w:hAnsi="宋体"/>
          <w:color w:val="auto"/>
          <w:sz w:val="21"/>
          <w:szCs w:val="21"/>
          <w:highlight w:val="none"/>
        </w:rPr>
        <w:t xml:space="preserve">工程名称：                                             </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rPr>
        <w:t>编号：</w:t>
      </w:r>
    </w:p>
    <w:tbl>
      <w:tblPr>
        <w:tblStyle w:val="4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9"/>
        <w:gridCol w:w="4543"/>
      </w:tblGrid>
      <w:tr w14:paraId="28B7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2433E858">
            <w:pPr>
              <w:keepNext w:val="0"/>
              <w:keepLines w:val="0"/>
              <w:suppressLineNumbers w:val="0"/>
              <w:spacing w:before="0" w:beforeAutospacing="0" w:after="0" w:afterAutospacing="0" w:line="480" w:lineRule="exact"/>
              <w:ind w:left="525" w:leftChars="149" w:right="0" w:hanging="212" w:hangingChars="101"/>
              <w:rPr>
                <w:rFonts w:hint="default"/>
                <w:color w:val="auto"/>
                <w:highlight w:val="none"/>
                <w:u w:val="single"/>
              </w:rPr>
            </w:pPr>
            <w:r>
              <w:rPr>
                <w:rFonts w:hint="eastAsia" w:ascii="宋体" w:hAnsi="宋体"/>
                <w:color w:val="auto"/>
                <w:highlight w:val="none"/>
              </w:rPr>
              <w:t>致：</w:t>
            </w:r>
            <w:r>
              <w:rPr>
                <w:rFonts w:hint="default"/>
                <w:color w:val="auto"/>
                <w:highlight w:val="none"/>
                <w:u w:val="single"/>
              </w:rPr>
              <w:t xml:space="preserve">                                   </w:t>
            </w:r>
            <w:r>
              <w:rPr>
                <w:rFonts w:hint="eastAsia" w:ascii="宋体" w:hAnsi="宋体"/>
                <w:color w:val="auto"/>
                <w:highlight w:val="none"/>
                <w:u w:val="single"/>
              </w:rPr>
              <w:t>（发包人全称）</w:t>
            </w:r>
          </w:p>
          <w:p w14:paraId="68AE5216">
            <w:pPr>
              <w:keepNext w:val="0"/>
              <w:keepLines w:val="0"/>
              <w:suppressLineNumbers w:val="0"/>
              <w:spacing w:before="0" w:beforeAutospacing="0" w:after="0" w:afterAutospacing="0" w:line="400" w:lineRule="exact"/>
              <w:ind w:left="-4" w:leftChars="-2" w:right="0" w:firstLine="315" w:firstLineChars="150"/>
              <w:rPr>
                <w:rFonts w:hint="default"/>
                <w:color w:val="auto"/>
                <w:highlight w:val="none"/>
              </w:rPr>
            </w:pPr>
            <w:r>
              <w:rPr>
                <w:rFonts w:hint="eastAsia" w:ascii="宋体" w:hAnsi="宋体"/>
                <w:color w:val="auto"/>
                <w:highlight w:val="none"/>
              </w:rPr>
              <w:t>我方根据施工合同的约定</w:t>
            </w:r>
            <w:r>
              <w:rPr>
                <w:rFonts w:hint="eastAsia" w:ascii="宋体" w:hAnsi="宋体"/>
                <w:color w:val="auto"/>
                <w:highlight w:val="none"/>
                <w:lang w:eastAsia="zh-CN"/>
              </w:rPr>
              <w:t>，</w:t>
            </w:r>
            <w:r>
              <w:rPr>
                <w:rFonts w:hint="eastAsia" w:ascii="宋体" w:hAnsi="宋体"/>
                <w:color w:val="auto"/>
                <w:highlight w:val="none"/>
              </w:rPr>
              <w:t>现申请支付</w:t>
            </w:r>
            <w:r>
              <w:rPr>
                <w:rFonts w:hint="eastAsia" w:ascii="宋体" w:hAnsi="宋体"/>
                <w:color w:val="auto"/>
                <w:highlight w:val="none"/>
                <w:u w:val="none"/>
                <w:lang w:eastAsia="zh-CN"/>
              </w:rPr>
              <w:t>第</w:t>
            </w:r>
            <w:r>
              <w:rPr>
                <w:rFonts w:hint="eastAsia" w:ascii="宋体" w:hAnsi="宋体"/>
                <w:color w:val="auto"/>
                <w:highlight w:val="none"/>
                <w:u w:val="single"/>
                <w:lang w:val="en-US" w:eastAsia="zh-CN"/>
              </w:rPr>
              <w:t xml:space="preserve">  </w:t>
            </w:r>
            <w:r>
              <w:rPr>
                <w:rFonts w:hint="eastAsia" w:ascii="宋体" w:hAnsi="宋体"/>
                <w:color w:val="auto"/>
                <w:highlight w:val="none"/>
                <w:u w:val="none"/>
                <w:lang w:val="en-US" w:eastAsia="zh-CN"/>
              </w:rPr>
              <w:t>年</w:t>
            </w:r>
            <w:r>
              <w:rPr>
                <w:rFonts w:hint="eastAsia" w:ascii="宋体" w:hAnsi="宋体"/>
                <w:color w:val="auto"/>
                <w:highlight w:val="none"/>
              </w:rPr>
              <w:t>工程预付款额为</w:t>
            </w:r>
            <w:r>
              <w:rPr>
                <w:rFonts w:hint="eastAsia"/>
                <w:color w:val="auto"/>
                <w:highlight w:val="none"/>
                <w:lang w:eastAsia="zh-CN"/>
              </w:rPr>
              <w:t>（</w:t>
            </w:r>
            <w:r>
              <w:rPr>
                <w:rFonts w:hint="eastAsia" w:ascii="宋体" w:hAnsi="宋体"/>
                <w:color w:val="auto"/>
                <w:highlight w:val="none"/>
              </w:rPr>
              <w:t>大写</w:t>
            </w:r>
            <w:r>
              <w:rPr>
                <w:rFonts w:hint="eastAsia"/>
                <w:color w:val="auto"/>
                <w:highlight w:val="none"/>
                <w:lang w:eastAsia="zh-CN"/>
              </w:rPr>
              <w:t>）</w:t>
            </w:r>
            <w:r>
              <w:rPr>
                <w:rFonts w:hint="default"/>
                <w:color w:val="auto"/>
                <w:highlight w:val="none"/>
                <w:u w:val="single"/>
              </w:rPr>
              <w:t xml:space="preserve">     </w:t>
            </w:r>
            <w:r>
              <w:rPr>
                <w:rFonts w:hint="eastAsia"/>
                <w:color w:val="auto"/>
                <w:highlight w:val="none"/>
                <w:u w:val="single"/>
              </w:rPr>
              <w:t xml:space="preserve">             </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color w:val="auto"/>
                <w:highlight w:val="none"/>
                <w:lang w:eastAsia="zh-CN"/>
              </w:rPr>
              <w:t>（</w:t>
            </w:r>
            <w:r>
              <w:rPr>
                <w:rFonts w:hint="eastAsia" w:ascii="宋体" w:hAnsi="宋体"/>
                <w:color w:val="auto"/>
                <w:highlight w:val="none"/>
              </w:rPr>
              <w:t>小写</w:t>
            </w:r>
            <w:r>
              <w:rPr>
                <w:rFonts w:hint="eastAsia"/>
                <w:color w:val="auto"/>
                <w:highlight w:val="none"/>
                <w:lang w:eastAsia="zh-CN"/>
              </w:rPr>
              <w:t>）</w:t>
            </w:r>
            <w:r>
              <w:rPr>
                <w:rFonts w:hint="default"/>
                <w:color w:val="auto"/>
                <w:highlight w:val="none"/>
                <w:u w:val="single"/>
              </w:rPr>
              <w:t xml:space="preserve">     </w:t>
            </w:r>
            <w:r>
              <w:rPr>
                <w:rFonts w:hint="eastAsia"/>
                <w:color w:val="auto"/>
                <w:highlight w:val="none"/>
                <w:u w:val="single"/>
              </w:rPr>
              <w:t xml:space="preserve">      </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请予核准。</w:t>
            </w:r>
          </w:p>
          <w:tbl>
            <w:tblPr>
              <w:tblStyle w:val="41"/>
              <w:tblW w:w="8842"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266"/>
              <w:gridCol w:w="1556"/>
              <w:gridCol w:w="1356"/>
              <w:gridCol w:w="1513"/>
              <w:gridCol w:w="1515"/>
            </w:tblGrid>
            <w:tr w14:paraId="28490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noWrap w:val="0"/>
                  <w:vAlign w:val="center"/>
                </w:tcPr>
                <w:p w14:paraId="0F3D97C0">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序号</w:t>
                  </w:r>
                </w:p>
              </w:tc>
              <w:tc>
                <w:tcPr>
                  <w:tcW w:w="2322" w:type="dxa"/>
                  <w:tcBorders>
                    <w:top w:val="single" w:color="auto" w:sz="4" w:space="0"/>
                    <w:left w:val="single" w:color="auto" w:sz="4" w:space="0"/>
                    <w:bottom w:val="single" w:color="auto" w:sz="4" w:space="0"/>
                    <w:right w:val="single" w:color="auto" w:sz="4" w:space="0"/>
                  </w:tcBorders>
                  <w:noWrap w:val="0"/>
                  <w:vAlign w:val="center"/>
                </w:tcPr>
                <w:p w14:paraId="45AFD5BA">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 xml:space="preserve">名 </w:t>
                  </w:r>
                  <w:r>
                    <w:rPr>
                      <w:rFonts w:hint="default"/>
                      <w:color w:val="auto"/>
                      <w:highlight w:val="none"/>
                    </w:rPr>
                    <w:t xml:space="preserve">     </w:t>
                  </w:r>
                  <w:r>
                    <w:rPr>
                      <w:rFonts w:hint="eastAsia" w:ascii="宋体" w:hAnsi="宋体"/>
                      <w:color w:val="auto"/>
                      <w:highlight w:val="none"/>
                    </w:rPr>
                    <w:t>称</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513279B4">
                  <w:pPr>
                    <w:keepNext w:val="0"/>
                    <w:keepLines w:val="0"/>
                    <w:suppressLineNumbers w:val="0"/>
                    <w:spacing w:before="0" w:beforeAutospacing="0" w:after="0" w:afterAutospacing="0" w:line="280" w:lineRule="exact"/>
                    <w:ind w:left="0" w:right="0"/>
                    <w:jc w:val="center"/>
                    <w:rPr>
                      <w:rFonts w:hint="eastAsia" w:ascii="宋体" w:hAnsi="宋体" w:eastAsia="宋体"/>
                      <w:color w:val="auto"/>
                      <w:highlight w:val="none"/>
                      <w:lang w:eastAsia="zh-CN"/>
                    </w:rPr>
                  </w:pPr>
                  <w:r>
                    <w:rPr>
                      <w:rFonts w:hint="eastAsia" w:ascii="宋体" w:hAnsi="宋体"/>
                      <w:color w:val="auto"/>
                      <w:highlight w:val="none"/>
                    </w:rPr>
                    <w:t>计算基数</w:t>
                  </w:r>
                  <w:r>
                    <w:rPr>
                      <w:rFonts w:hint="eastAsia" w:ascii="宋体" w:hAnsi="宋体"/>
                      <w:color w:val="auto"/>
                      <w:highlight w:val="none"/>
                      <w:lang w:eastAsia="zh-CN"/>
                    </w:rPr>
                    <w:t>（元）</w:t>
                  </w:r>
                </w:p>
              </w:tc>
              <w:tc>
                <w:tcPr>
                  <w:tcW w:w="1392" w:type="dxa"/>
                  <w:tcBorders>
                    <w:top w:val="single" w:color="auto" w:sz="4" w:space="0"/>
                    <w:left w:val="single" w:color="auto" w:sz="4" w:space="0"/>
                    <w:bottom w:val="single" w:color="auto" w:sz="4" w:space="0"/>
                    <w:right w:val="single" w:color="auto" w:sz="4" w:space="0"/>
                  </w:tcBorders>
                  <w:noWrap w:val="0"/>
                  <w:vAlign w:val="center"/>
                </w:tcPr>
                <w:p w14:paraId="75460B0D">
                  <w:pPr>
                    <w:keepNext w:val="0"/>
                    <w:keepLines w:val="0"/>
                    <w:suppressLineNumbers w:val="0"/>
                    <w:spacing w:before="0" w:beforeAutospacing="0" w:after="0" w:afterAutospacing="0" w:line="280" w:lineRule="exact"/>
                    <w:ind w:left="0" w:right="0"/>
                    <w:jc w:val="center"/>
                    <w:rPr>
                      <w:rFonts w:hint="default" w:ascii="宋体" w:hAnsi="宋体"/>
                      <w:color w:val="auto"/>
                      <w:highlight w:val="none"/>
                    </w:rPr>
                  </w:pPr>
                  <w:r>
                    <w:rPr>
                      <w:rFonts w:hint="eastAsia" w:ascii="宋体" w:hAnsi="宋体"/>
                      <w:color w:val="auto"/>
                      <w:highlight w:val="none"/>
                    </w:rPr>
                    <w:t>支付比例</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762715BF">
                  <w:pPr>
                    <w:keepNext w:val="0"/>
                    <w:keepLines w:val="0"/>
                    <w:suppressLineNumbers w:val="0"/>
                    <w:spacing w:before="0" w:beforeAutospacing="0" w:after="0" w:afterAutospacing="0" w:line="280" w:lineRule="exact"/>
                    <w:ind w:left="0" w:right="0"/>
                    <w:jc w:val="center"/>
                    <w:rPr>
                      <w:rFonts w:hint="default" w:ascii="宋体" w:hAnsi="宋体"/>
                      <w:color w:val="auto"/>
                      <w:highlight w:val="none"/>
                    </w:rPr>
                  </w:pPr>
                  <w:r>
                    <w:rPr>
                      <w:rFonts w:hint="eastAsia" w:ascii="宋体" w:hAnsi="宋体"/>
                      <w:color w:val="auto"/>
                      <w:highlight w:val="none"/>
                    </w:rPr>
                    <w:t>申请金额（元）</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6A5680D2">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复核金额（元）</w:t>
                  </w:r>
                </w:p>
              </w:tc>
            </w:tr>
            <w:tr w14:paraId="15A5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3A2CEB78">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1</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5B10A465">
                  <w:pPr>
                    <w:keepNext w:val="0"/>
                    <w:keepLines w:val="0"/>
                    <w:suppressLineNumbers w:val="0"/>
                    <w:spacing w:before="0" w:beforeAutospacing="0" w:after="0" w:afterAutospacing="0" w:line="280" w:lineRule="exact"/>
                    <w:ind w:left="0" w:right="0"/>
                    <w:rPr>
                      <w:rFonts w:hint="default" w:ascii="宋体" w:hAnsi="宋体"/>
                      <w:color w:val="auto"/>
                      <w:highlight w:val="none"/>
                    </w:rPr>
                  </w:pPr>
                  <w:r>
                    <w:rPr>
                      <w:rFonts w:hint="eastAsia" w:ascii="宋体" w:hAnsi="宋体"/>
                      <w:color w:val="auto"/>
                      <w:highlight w:val="none"/>
                    </w:rPr>
                    <w:t>签约合同价款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4AC27F7C">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510E62B3">
                  <w:pPr>
                    <w:keepNext w:val="0"/>
                    <w:keepLines w:val="0"/>
                    <w:suppressLineNumbers w:val="0"/>
                    <w:spacing w:before="0" w:beforeAutospacing="0" w:after="0" w:afterAutospacing="0" w:line="280" w:lineRule="exact"/>
                    <w:ind w:left="0" w:right="0"/>
                    <w:jc w:val="center"/>
                    <w:rPr>
                      <w:rFonts w:hint="default" w:eastAsia="宋体"/>
                      <w:color w:val="auto"/>
                      <w:highlight w:val="none"/>
                      <w:lang w:val="en-US" w:eastAsia="zh-CN"/>
                    </w:rPr>
                  </w:pPr>
                  <w:r>
                    <w:rPr>
                      <w:rFonts w:hint="eastAsia"/>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3FF9F28E">
                  <w:pPr>
                    <w:keepNext w:val="0"/>
                    <w:keepLines w:val="0"/>
                    <w:suppressLineNumbers w:val="0"/>
                    <w:spacing w:before="0" w:beforeAutospacing="0" w:after="0" w:afterAutospacing="0" w:line="280" w:lineRule="exact"/>
                    <w:ind w:left="0" w:right="0"/>
                    <w:jc w:val="center"/>
                    <w:rPr>
                      <w:rFonts w:hint="default" w:eastAsia="宋体"/>
                      <w:color w:val="auto"/>
                      <w:highlight w:val="none"/>
                      <w:lang w:val="en-US" w:eastAsia="zh-CN"/>
                    </w:rPr>
                  </w:pPr>
                  <w:r>
                    <w:rPr>
                      <w:rFonts w:hint="eastAsia"/>
                      <w:color w:val="auto"/>
                      <w:highlight w:val="none"/>
                      <w:lang w:val="en-US" w:eastAsia="zh-CN"/>
                    </w:rPr>
                    <w:t>-</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3E6F02D9">
                  <w:pPr>
                    <w:keepNext w:val="0"/>
                    <w:keepLines w:val="0"/>
                    <w:suppressLineNumbers w:val="0"/>
                    <w:spacing w:before="0" w:beforeAutospacing="0" w:after="0" w:afterAutospacing="0" w:line="280" w:lineRule="exact"/>
                    <w:ind w:left="0" w:right="0"/>
                    <w:jc w:val="center"/>
                    <w:rPr>
                      <w:rFonts w:hint="eastAsia" w:eastAsia="宋体"/>
                      <w:color w:val="auto"/>
                      <w:highlight w:val="none"/>
                      <w:lang w:val="en-US" w:eastAsia="zh-CN"/>
                    </w:rPr>
                  </w:pPr>
                  <w:r>
                    <w:rPr>
                      <w:rFonts w:hint="eastAsia"/>
                      <w:color w:val="auto"/>
                      <w:highlight w:val="none"/>
                      <w:lang w:val="en-US" w:eastAsia="zh-CN"/>
                    </w:rPr>
                    <w:t>-</w:t>
                  </w:r>
                </w:p>
              </w:tc>
            </w:tr>
            <w:tr w14:paraId="4664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14F8AE9A">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1.1</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7F1FE28B">
                  <w:pPr>
                    <w:keepNext w:val="0"/>
                    <w:keepLines w:val="0"/>
                    <w:suppressLineNumbers w:val="0"/>
                    <w:spacing w:before="0" w:beforeAutospacing="0" w:after="0" w:afterAutospacing="0" w:line="280" w:lineRule="exact"/>
                    <w:ind w:left="0" w:right="0"/>
                    <w:rPr>
                      <w:rFonts w:hint="default" w:ascii="宋体" w:hAnsi="宋体"/>
                      <w:color w:val="auto"/>
                      <w:highlight w:val="none"/>
                    </w:rPr>
                  </w:pPr>
                  <w:r>
                    <w:rPr>
                      <w:rFonts w:hint="eastAsia" w:ascii="宋体" w:hAnsi="宋体"/>
                      <w:color w:val="auto"/>
                      <w:highlight w:val="none"/>
                    </w:rPr>
                    <w:t>暂列金额</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623F9F32">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7A5783D3">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3ADE1A2C">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429A603C">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r>
            <w:tr w14:paraId="13270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0797EEE4">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1.</w:t>
                  </w:r>
                  <w:r>
                    <w:rPr>
                      <w:rFonts w:hint="eastAsia"/>
                      <w:color w:val="auto"/>
                      <w:highlight w:val="none"/>
                      <w:lang w:val="en-US" w:eastAsia="zh-CN"/>
                    </w:rPr>
                    <w:t>2</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5AC268CA">
                  <w:pPr>
                    <w:keepNext w:val="0"/>
                    <w:keepLines w:val="0"/>
                    <w:suppressLineNumbers w:val="0"/>
                    <w:spacing w:before="0" w:beforeAutospacing="0" w:after="0" w:afterAutospacing="0" w:line="280" w:lineRule="exact"/>
                    <w:ind w:left="0" w:right="0"/>
                    <w:rPr>
                      <w:rFonts w:hint="default" w:ascii="宋体" w:hAnsi="宋体"/>
                      <w:color w:val="auto"/>
                      <w:highlight w:val="none"/>
                    </w:rPr>
                  </w:pPr>
                  <w:r>
                    <w:rPr>
                      <w:rFonts w:hint="eastAsia" w:ascii="宋体" w:hAnsi="宋体"/>
                      <w:color w:val="auto"/>
                      <w:highlight w:val="none"/>
                    </w:rPr>
                    <w:t>专业工程暂估价</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26665058">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142438D6">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41079089">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3AA18006">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r>
            <w:tr w14:paraId="10364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1D71EE8D">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1.</w:t>
                  </w:r>
                  <w:r>
                    <w:rPr>
                      <w:rFonts w:hint="eastAsia"/>
                      <w:color w:val="auto"/>
                      <w:highlight w:val="none"/>
                      <w:lang w:val="en-US" w:eastAsia="zh-CN"/>
                    </w:rPr>
                    <w:t>3</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39D5077F">
                  <w:pPr>
                    <w:keepNext w:val="0"/>
                    <w:keepLines w:val="0"/>
                    <w:suppressLineNumbers w:val="0"/>
                    <w:spacing w:before="0" w:beforeAutospacing="0" w:after="0" w:afterAutospacing="0" w:line="280" w:lineRule="exact"/>
                    <w:ind w:left="0" w:right="0"/>
                    <w:rPr>
                      <w:rFonts w:hint="default" w:ascii="宋体" w:hAnsi="宋体"/>
                      <w:color w:val="auto"/>
                      <w:highlight w:val="none"/>
                      <w:lang w:val="en"/>
                    </w:rPr>
                  </w:pPr>
                  <w:r>
                    <w:rPr>
                      <w:rFonts w:hint="default" w:ascii="宋体" w:hAnsi="宋体"/>
                      <w:color w:val="auto"/>
                      <w:highlight w:val="none"/>
                      <w:lang w:val="en"/>
                    </w:rPr>
                    <w:t>安全生产费</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52B8416C">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7CDD4365">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6977A6FA">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0F2A3B4B">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r>
            <w:tr w14:paraId="5B2E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5B68C97D">
                  <w:pPr>
                    <w:keepNext w:val="0"/>
                    <w:keepLines w:val="0"/>
                    <w:suppressLineNumbers w:val="0"/>
                    <w:spacing w:before="0" w:beforeAutospacing="0" w:after="0" w:afterAutospacing="0" w:line="280" w:lineRule="exact"/>
                    <w:ind w:left="0" w:right="0"/>
                    <w:jc w:val="center"/>
                    <w:rPr>
                      <w:rFonts w:hint="eastAsia" w:eastAsia="宋体"/>
                      <w:color w:val="auto"/>
                      <w:highlight w:val="none"/>
                      <w:lang w:val="en-US" w:eastAsia="zh-CN"/>
                    </w:rPr>
                  </w:pPr>
                  <w:r>
                    <w:rPr>
                      <w:rFonts w:hint="eastAsia"/>
                      <w:color w:val="auto"/>
                      <w:highlight w:val="none"/>
                      <w:lang w:val="en-US" w:eastAsia="zh-CN"/>
                    </w:rPr>
                    <w:t>2</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45007B86">
                  <w:pPr>
                    <w:keepNext w:val="0"/>
                    <w:keepLines w:val="0"/>
                    <w:suppressLineNumbers w:val="0"/>
                    <w:spacing w:before="0" w:beforeAutospacing="0" w:after="0" w:afterAutospacing="0" w:line="280" w:lineRule="exact"/>
                    <w:ind w:left="0" w:right="0"/>
                    <w:rPr>
                      <w:rFonts w:hint="eastAsia" w:ascii="宋体" w:hAnsi="宋体" w:eastAsia="宋体"/>
                      <w:color w:val="auto"/>
                      <w:highlight w:val="none"/>
                      <w:lang w:eastAsia="zh-CN"/>
                    </w:rPr>
                  </w:pPr>
                  <w:r>
                    <w:rPr>
                      <w:rFonts w:hint="eastAsia" w:ascii="宋体" w:hAnsi="宋体"/>
                      <w:color w:val="auto"/>
                      <w:highlight w:val="none"/>
                      <w:lang w:eastAsia="zh-CN"/>
                    </w:rPr>
                    <w:t>应付预付款支付基数</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681C3624">
                  <w:pPr>
                    <w:keepNext w:val="0"/>
                    <w:keepLines w:val="0"/>
                    <w:suppressLineNumbers w:val="0"/>
                    <w:spacing w:before="0" w:beforeAutospacing="0" w:after="0" w:afterAutospacing="0" w:line="280" w:lineRule="exact"/>
                    <w:ind w:left="0" w:right="0"/>
                    <w:jc w:val="center"/>
                    <w:rPr>
                      <w:rFonts w:hint="default" w:eastAsia="宋体"/>
                      <w:color w:val="auto"/>
                      <w:highlight w:val="none"/>
                      <w:lang w:val="en-US" w:eastAsia="zh-CN"/>
                    </w:rPr>
                  </w:pPr>
                  <w:r>
                    <w:rPr>
                      <w:rFonts w:hint="eastAsia"/>
                      <w:color w:val="auto"/>
                      <w:highlight w:val="none"/>
                      <w:lang w:val="en-US" w:eastAsia="zh-CN"/>
                    </w:rPr>
                    <w:t>1-(1.1+1.2+1.3)</w:t>
                  </w:r>
                </w:p>
              </w:tc>
              <w:tc>
                <w:tcPr>
                  <w:tcW w:w="1392" w:type="dxa"/>
                  <w:tcBorders>
                    <w:top w:val="single" w:color="auto" w:sz="4" w:space="0"/>
                    <w:left w:val="single" w:color="auto" w:sz="4" w:space="0"/>
                    <w:bottom w:val="single" w:color="auto" w:sz="4" w:space="0"/>
                    <w:right w:val="single" w:color="auto" w:sz="4" w:space="0"/>
                  </w:tcBorders>
                  <w:noWrap w:val="0"/>
                  <w:vAlign w:val="center"/>
                </w:tcPr>
                <w:p w14:paraId="010AC2E5">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7146D8BC">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181AA8EC">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r>
            <w:tr w14:paraId="55BB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5FD59370">
                  <w:pPr>
                    <w:keepNext w:val="0"/>
                    <w:keepLines w:val="0"/>
                    <w:suppressLineNumbers w:val="0"/>
                    <w:spacing w:before="0" w:beforeAutospacing="0" w:after="0" w:afterAutospacing="0" w:line="280" w:lineRule="exact"/>
                    <w:ind w:left="0" w:right="0"/>
                    <w:jc w:val="center"/>
                    <w:rPr>
                      <w:rFonts w:hint="default" w:eastAsia="宋体"/>
                      <w:color w:val="auto"/>
                      <w:highlight w:val="none"/>
                      <w:lang w:val="en-US" w:eastAsia="zh-CN"/>
                    </w:rPr>
                  </w:pPr>
                  <w:r>
                    <w:rPr>
                      <w:rFonts w:hint="eastAsia"/>
                      <w:color w:val="auto"/>
                      <w:highlight w:val="none"/>
                      <w:lang w:val="en-US" w:eastAsia="zh-CN"/>
                    </w:rPr>
                    <w:t>2.1</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30E4BA21">
                  <w:pPr>
                    <w:keepNext w:val="0"/>
                    <w:keepLines w:val="0"/>
                    <w:suppressLineNumbers w:val="0"/>
                    <w:spacing w:before="0" w:beforeAutospacing="0" w:after="0" w:afterAutospacing="0" w:line="280" w:lineRule="exact"/>
                    <w:ind w:left="0" w:right="0"/>
                    <w:rPr>
                      <w:rFonts w:hint="eastAsia" w:ascii="宋体" w:hAnsi="宋体" w:eastAsia="宋体"/>
                      <w:color w:val="auto"/>
                      <w:highlight w:val="none"/>
                      <w:lang w:eastAsia="zh-CN"/>
                    </w:rPr>
                  </w:pPr>
                  <w:r>
                    <w:rPr>
                      <w:rFonts w:hint="eastAsia" w:ascii="宋体" w:hAnsi="宋体"/>
                      <w:color w:val="auto"/>
                      <w:highlight w:val="none"/>
                      <w:lang w:eastAsia="zh-CN"/>
                    </w:rPr>
                    <w:t>第一年应付预付款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2C8A68A3">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59967040">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33A8DF5E">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3B4B2CA1">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6EA4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3409D8C5">
                  <w:pPr>
                    <w:keepNext w:val="0"/>
                    <w:keepLines w:val="0"/>
                    <w:suppressLineNumbers w:val="0"/>
                    <w:spacing w:before="0" w:beforeAutospacing="0" w:after="0" w:afterAutospacing="0" w:line="280" w:lineRule="exact"/>
                    <w:ind w:left="0" w:right="0"/>
                    <w:jc w:val="center"/>
                    <w:rPr>
                      <w:rFonts w:hint="default" w:eastAsia="宋体"/>
                      <w:color w:val="auto"/>
                      <w:highlight w:val="none"/>
                      <w:lang w:val="en-US" w:eastAsia="zh-CN"/>
                    </w:rPr>
                  </w:pPr>
                  <w:r>
                    <w:rPr>
                      <w:rFonts w:hint="eastAsia"/>
                      <w:color w:val="auto"/>
                      <w:highlight w:val="none"/>
                      <w:lang w:val="en-US" w:eastAsia="zh-CN"/>
                    </w:rPr>
                    <w:t>2.2</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60906BD8">
                  <w:pPr>
                    <w:keepNext w:val="0"/>
                    <w:keepLines w:val="0"/>
                    <w:suppressLineNumbers w:val="0"/>
                    <w:spacing w:before="0" w:beforeAutospacing="0" w:after="0" w:afterAutospacing="0" w:line="280" w:lineRule="exact"/>
                    <w:ind w:left="0" w:right="0"/>
                    <w:rPr>
                      <w:rFonts w:hint="eastAsia" w:ascii="宋体" w:hAnsi="宋体" w:eastAsia="宋体"/>
                      <w:color w:val="auto"/>
                      <w:highlight w:val="none"/>
                      <w:lang w:eastAsia="zh-CN"/>
                    </w:rPr>
                  </w:pPr>
                  <w:r>
                    <w:rPr>
                      <w:rFonts w:hint="eastAsia" w:ascii="宋体" w:hAnsi="宋体"/>
                      <w:color w:val="auto"/>
                      <w:highlight w:val="none"/>
                      <w:lang w:eastAsia="zh-CN"/>
                    </w:rPr>
                    <w:t>第二年应付预付款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61E33EE2">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5B9595DF">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09851F30">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613B1011">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4B8F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6C58B35A">
                  <w:pPr>
                    <w:keepNext w:val="0"/>
                    <w:keepLines w:val="0"/>
                    <w:suppressLineNumbers w:val="0"/>
                    <w:spacing w:before="0" w:beforeAutospacing="0" w:after="0" w:afterAutospacing="0" w:line="280" w:lineRule="exact"/>
                    <w:ind w:left="0" w:right="0"/>
                    <w:jc w:val="center"/>
                    <w:rPr>
                      <w:rFonts w:hint="eastAsia" w:ascii="宋体" w:hAnsi="宋体" w:eastAsia="宋体"/>
                      <w:color w:val="auto"/>
                      <w:highlight w:val="none"/>
                      <w:lang w:eastAsia="zh-CN"/>
                    </w:rPr>
                  </w:pPr>
                  <w:r>
                    <w:rPr>
                      <w:rFonts w:hint="eastAsia"/>
                      <w:color w:val="auto"/>
                      <w:highlight w:val="none"/>
                      <w:lang w:val="en-US" w:eastAsia="zh-CN"/>
                    </w:rPr>
                    <w:t>……</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198FC6F1">
                  <w:pPr>
                    <w:keepNext w:val="0"/>
                    <w:keepLines w:val="0"/>
                    <w:suppressLineNumbers w:val="0"/>
                    <w:spacing w:before="0" w:beforeAutospacing="0" w:after="0" w:afterAutospacing="0" w:line="280" w:lineRule="exact"/>
                    <w:ind w:left="0" w:right="0"/>
                    <w:rPr>
                      <w:rFonts w:hint="default" w:ascii="宋体" w:hAnsi="宋体"/>
                      <w:color w:val="auto"/>
                      <w:highlight w:val="none"/>
                    </w:rPr>
                  </w:pPr>
                  <w:r>
                    <w:rPr>
                      <w:rFonts w:hint="eastAsia" w:ascii="宋体" w:hAnsi="宋体"/>
                      <w:color w:val="auto"/>
                      <w:highlight w:val="none"/>
                      <w:lang w:eastAsia="zh-CN"/>
                    </w:rPr>
                    <w:t>第……年应付预付款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637CEF54">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6979472B">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5A029E0A">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2C2C8064">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6F96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0315B0ED">
                  <w:pPr>
                    <w:keepNext w:val="0"/>
                    <w:keepLines w:val="0"/>
                    <w:suppressLineNumbers w:val="0"/>
                    <w:spacing w:before="0" w:beforeAutospacing="0" w:after="0" w:afterAutospacing="0" w:line="280" w:lineRule="exact"/>
                    <w:ind w:left="0" w:leftChars="0" w:right="0" w:rightChars="0"/>
                    <w:jc w:val="center"/>
                    <w:rPr>
                      <w:rFonts w:hint="eastAsia" w:ascii="Calibri" w:hAnsi="Calibri" w:eastAsia="宋体"/>
                      <w:color w:val="auto"/>
                      <w:highlight w:val="none"/>
                      <w:lang w:val="en-US" w:eastAsia="zh-CN"/>
                    </w:rPr>
                  </w:pPr>
                  <w:r>
                    <w:rPr>
                      <w:rFonts w:hint="eastAsia"/>
                      <w:color w:val="auto"/>
                      <w:highlight w:val="none"/>
                      <w:lang w:val="en-US" w:eastAsia="zh-CN"/>
                    </w:rPr>
                    <w:t>3</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10CE89F0">
                  <w:pPr>
                    <w:keepNext w:val="0"/>
                    <w:keepLines w:val="0"/>
                    <w:suppressLineNumbers w:val="0"/>
                    <w:spacing w:before="0" w:beforeAutospacing="0" w:after="0" w:afterAutospacing="0" w:line="280" w:lineRule="exact"/>
                    <w:ind w:left="0" w:leftChars="0" w:right="0" w:rightChars="0"/>
                    <w:rPr>
                      <w:rFonts w:hint="default" w:ascii="Calibri" w:hAnsi="Calibri"/>
                      <w:color w:val="auto"/>
                      <w:highlight w:val="none"/>
                    </w:rPr>
                  </w:pPr>
                  <w:r>
                    <w:rPr>
                      <w:rFonts w:hint="eastAsia" w:ascii="宋体" w:hAnsi="宋体"/>
                      <w:color w:val="auto"/>
                      <w:highlight w:val="none"/>
                    </w:rPr>
                    <w:t>累计</w:t>
                  </w:r>
                  <w:r>
                    <w:rPr>
                      <w:rFonts w:hint="eastAsia" w:ascii="宋体" w:hAnsi="宋体"/>
                      <w:color w:val="auto"/>
                      <w:highlight w:val="none"/>
                      <w:lang w:eastAsia="zh-CN"/>
                    </w:rPr>
                    <w:t>应</w:t>
                  </w:r>
                  <w:r>
                    <w:rPr>
                      <w:rFonts w:hint="eastAsia" w:ascii="宋体" w:hAnsi="宋体"/>
                      <w:color w:val="auto"/>
                      <w:highlight w:val="none"/>
                    </w:rPr>
                    <w:t>支付的预付款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2EB33076">
                  <w:pPr>
                    <w:keepNext w:val="0"/>
                    <w:keepLines w:val="0"/>
                    <w:suppressLineNumbers w:val="0"/>
                    <w:spacing w:before="0" w:beforeAutospacing="0" w:after="0" w:afterAutospacing="0" w:line="280" w:lineRule="exact"/>
                    <w:ind w:left="0" w:leftChars="0" w:right="0" w:rightChars="0"/>
                    <w:jc w:val="center"/>
                    <w:rPr>
                      <w:rFonts w:hint="default" w:ascii="Calibri" w:hAnsi="Calibri"/>
                      <w:color w:val="auto"/>
                      <w:highlight w:val="none"/>
                    </w:rPr>
                  </w:pPr>
                  <w:r>
                    <w:rPr>
                      <w:rFonts w:hint="eastAsia"/>
                      <w:color w:val="auto"/>
                      <w:highlight w:val="none"/>
                      <w:lang w:val="en-US" w:eastAsia="zh-CN"/>
                    </w:rPr>
                    <w:t>-</w:t>
                  </w:r>
                </w:p>
              </w:tc>
              <w:tc>
                <w:tcPr>
                  <w:tcW w:w="1392" w:type="dxa"/>
                  <w:tcBorders>
                    <w:top w:val="single" w:color="auto" w:sz="4" w:space="0"/>
                    <w:left w:val="single" w:color="auto" w:sz="4" w:space="0"/>
                    <w:bottom w:val="single" w:color="auto" w:sz="4" w:space="0"/>
                    <w:right w:val="single" w:color="auto" w:sz="4" w:space="0"/>
                  </w:tcBorders>
                  <w:noWrap w:val="0"/>
                  <w:vAlign w:val="center"/>
                </w:tcPr>
                <w:p w14:paraId="039E5D15">
                  <w:pPr>
                    <w:keepNext w:val="0"/>
                    <w:keepLines w:val="0"/>
                    <w:suppressLineNumbers w:val="0"/>
                    <w:spacing w:before="0" w:beforeAutospacing="0" w:after="0" w:afterAutospacing="0" w:line="280" w:lineRule="exact"/>
                    <w:ind w:left="0" w:leftChars="0" w:right="0" w:rightChars="0"/>
                    <w:jc w:val="center"/>
                    <w:rPr>
                      <w:rFonts w:hint="default" w:ascii="Calibri" w:hAnsi="Calibri"/>
                      <w:color w:val="auto"/>
                      <w:highlight w:val="none"/>
                    </w:rPr>
                  </w:pPr>
                  <w:r>
                    <w:rPr>
                      <w:rFonts w:hint="eastAsia"/>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35E69230">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4C68954B">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2348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647638B2">
                  <w:pPr>
                    <w:keepNext w:val="0"/>
                    <w:keepLines w:val="0"/>
                    <w:suppressLineNumbers w:val="0"/>
                    <w:spacing w:before="0" w:beforeAutospacing="0" w:after="0" w:afterAutospacing="0" w:line="280" w:lineRule="exact"/>
                    <w:ind w:left="0" w:leftChars="0" w:right="0" w:rightChars="0"/>
                    <w:jc w:val="center"/>
                    <w:rPr>
                      <w:rFonts w:hint="default" w:ascii="Calibri" w:hAnsi="Calibri"/>
                      <w:color w:val="auto"/>
                      <w:highlight w:val="none"/>
                    </w:rPr>
                  </w:pPr>
                  <w:r>
                    <w:rPr>
                      <w:rFonts w:hint="eastAsia" w:ascii="Calibri" w:hAnsi="Calibri"/>
                      <w:color w:val="auto"/>
                      <w:highlight w:val="none"/>
                      <w:lang w:val="en-US" w:eastAsia="zh-CN"/>
                    </w:rPr>
                    <w:t>4</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4D308D90">
                  <w:pPr>
                    <w:keepNext w:val="0"/>
                    <w:keepLines w:val="0"/>
                    <w:suppressLineNumbers w:val="0"/>
                    <w:spacing w:before="0" w:beforeAutospacing="0" w:after="0" w:afterAutospacing="0" w:line="280" w:lineRule="exact"/>
                    <w:ind w:left="0" w:leftChars="0" w:right="0" w:rightChars="0"/>
                    <w:rPr>
                      <w:rFonts w:hint="default" w:ascii="Calibri" w:hAnsi="Calibri"/>
                      <w:color w:val="auto"/>
                      <w:highlight w:val="none"/>
                    </w:rPr>
                  </w:pPr>
                  <w:r>
                    <w:rPr>
                      <w:rFonts w:hint="eastAsia" w:ascii="宋体" w:hAnsi="宋体"/>
                      <w:color w:val="auto"/>
                      <w:highlight w:val="none"/>
                    </w:rPr>
                    <w:t>累计</w:t>
                  </w:r>
                  <w:r>
                    <w:rPr>
                      <w:rFonts w:hint="eastAsia" w:ascii="宋体" w:hAnsi="宋体"/>
                      <w:color w:val="auto"/>
                      <w:highlight w:val="none"/>
                      <w:lang w:eastAsia="zh-CN"/>
                    </w:rPr>
                    <w:t>已</w:t>
                  </w:r>
                  <w:r>
                    <w:rPr>
                      <w:rFonts w:hint="eastAsia" w:ascii="宋体" w:hAnsi="宋体"/>
                      <w:color w:val="auto"/>
                      <w:highlight w:val="none"/>
                    </w:rPr>
                    <w:t>支付的预付款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3921F070">
                  <w:pPr>
                    <w:keepNext w:val="0"/>
                    <w:keepLines w:val="0"/>
                    <w:suppressLineNumbers w:val="0"/>
                    <w:spacing w:before="0" w:beforeAutospacing="0" w:after="0" w:afterAutospacing="0" w:line="280" w:lineRule="exact"/>
                    <w:ind w:left="0" w:leftChars="0" w:right="0" w:rightChars="0"/>
                    <w:jc w:val="center"/>
                    <w:rPr>
                      <w:rFonts w:hint="default" w:ascii="Calibri" w:hAnsi="Calibri"/>
                      <w:color w:val="auto"/>
                      <w:highlight w:val="none"/>
                    </w:rPr>
                  </w:pPr>
                  <w:r>
                    <w:rPr>
                      <w:rFonts w:hint="eastAsia"/>
                      <w:color w:val="auto"/>
                      <w:highlight w:val="none"/>
                      <w:lang w:val="en-US" w:eastAsia="zh-CN"/>
                    </w:rPr>
                    <w:t>-</w:t>
                  </w:r>
                </w:p>
              </w:tc>
              <w:tc>
                <w:tcPr>
                  <w:tcW w:w="1392" w:type="dxa"/>
                  <w:tcBorders>
                    <w:top w:val="single" w:color="auto" w:sz="4" w:space="0"/>
                    <w:left w:val="single" w:color="auto" w:sz="4" w:space="0"/>
                    <w:bottom w:val="single" w:color="auto" w:sz="4" w:space="0"/>
                    <w:right w:val="single" w:color="auto" w:sz="4" w:space="0"/>
                  </w:tcBorders>
                  <w:noWrap w:val="0"/>
                  <w:vAlign w:val="center"/>
                </w:tcPr>
                <w:p w14:paraId="4CBDFC72">
                  <w:pPr>
                    <w:keepNext w:val="0"/>
                    <w:keepLines w:val="0"/>
                    <w:suppressLineNumbers w:val="0"/>
                    <w:spacing w:before="0" w:beforeAutospacing="0" w:after="0" w:afterAutospacing="0" w:line="280" w:lineRule="exact"/>
                    <w:ind w:left="0" w:leftChars="0" w:right="0" w:rightChars="0"/>
                    <w:jc w:val="center"/>
                    <w:rPr>
                      <w:rFonts w:hint="default" w:ascii="Calibri" w:hAnsi="Calibri"/>
                      <w:color w:val="auto"/>
                      <w:highlight w:val="none"/>
                    </w:rPr>
                  </w:pPr>
                  <w:r>
                    <w:rPr>
                      <w:rFonts w:hint="eastAsia"/>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2FB88C96">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5D4DF760">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7B07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20A93FCF">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2322" w:type="dxa"/>
                  <w:tcBorders>
                    <w:top w:val="single" w:color="auto" w:sz="4" w:space="0"/>
                    <w:left w:val="single" w:color="auto" w:sz="4" w:space="0"/>
                    <w:bottom w:val="single" w:color="auto" w:sz="4" w:space="0"/>
                    <w:right w:val="single" w:color="auto" w:sz="4" w:space="0"/>
                  </w:tcBorders>
                  <w:noWrap w:val="0"/>
                  <w:vAlign w:val="top"/>
                </w:tcPr>
                <w:p w14:paraId="138817E2">
                  <w:pPr>
                    <w:keepNext w:val="0"/>
                    <w:keepLines w:val="0"/>
                    <w:suppressLineNumbers w:val="0"/>
                    <w:spacing w:before="0" w:beforeAutospacing="0" w:after="0" w:afterAutospacing="0" w:line="280" w:lineRule="exact"/>
                    <w:ind w:left="0" w:right="0"/>
                    <w:rPr>
                      <w:rFonts w:hint="default"/>
                      <w:color w:val="auto"/>
                      <w:highlight w:val="none"/>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14:paraId="46A5599C">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578D57C5">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601000F4">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04614DA8">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3C26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6D68C899">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2322" w:type="dxa"/>
                  <w:tcBorders>
                    <w:top w:val="single" w:color="auto" w:sz="4" w:space="0"/>
                    <w:left w:val="single" w:color="auto" w:sz="4" w:space="0"/>
                    <w:bottom w:val="single" w:color="auto" w:sz="4" w:space="0"/>
                    <w:right w:val="single" w:color="auto" w:sz="4" w:space="0"/>
                  </w:tcBorders>
                  <w:noWrap w:val="0"/>
                  <w:vAlign w:val="top"/>
                </w:tcPr>
                <w:p w14:paraId="048109C5">
                  <w:pPr>
                    <w:keepNext w:val="0"/>
                    <w:keepLines w:val="0"/>
                    <w:suppressLineNumbers w:val="0"/>
                    <w:spacing w:before="0" w:beforeAutospacing="0" w:after="0" w:afterAutospacing="0" w:line="280" w:lineRule="exact"/>
                    <w:ind w:left="0" w:right="0"/>
                    <w:rPr>
                      <w:rFonts w:hint="default"/>
                      <w:color w:val="auto"/>
                      <w:highlight w:val="none"/>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14:paraId="2BA02885">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1175033B">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7A1B6201">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1CF5F82D">
                  <w:pPr>
                    <w:keepNext w:val="0"/>
                    <w:keepLines w:val="0"/>
                    <w:suppressLineNumbers w:val="0"/>
                    <w:spacing w:before="0" w:beforeAutospacing="0" w:after="0" w:afterAutospacing="0" w:line="280" w:lineRule="exact"/>
                    <w:ind w:left="0" w:right="0"/>
                    <w:jc w:val="center"/>
                    <w:rPr>
                      <w:rFonts w:hint="default"/>
                      <w:color w:val="auto"/>
                      <w:highlight w:val="none"/>
                    </w:rPr>
                  </w:pPr>
                </w:p>
              </w:tc>
            </w:tr>
          </w:tbl>
          <w:p w14:paraId="714ACAC0">
            <w:pPr>
              <w:keepNext w:val="0"/>
              <w:keepLines w:val="0"/>
              <w:suppressLineNumbers w:val="0"/>
              <w:wordWrap w:val="0"/>
              <w:spacing w:before="0" w:beforeAutospacing="0" w:after="0" w:afterAutospacing="0" w:line="400" w:lineRule="exact"/>
              <w:ind w:left="0" w:right="420"/>
              <w:rPr>
                <w:rFonts w:hint="default" w:ascii="宋体" w:hAnsi="宋体"/>
                <w:color w:val="auto"/>
                <w:highlight w:val="none"/>
              </w:rPr>
            </w:pPr>
            <w:r>
              <w:rPr>
                <w:rFonts w:hint="default"/>
                <w:color w:val="auto"/>
                <w:highlight w:val="none"/>
              </w:rPr>
              <w:t xml:space="preserve">          </w:t>
            </w:r>
          </w:p>
          <w:p w14:paraId="7E44BF76">
            <w:pPr>
              <w:keepNext w:val="0"/>
              <w:keepLines w:val="0"/>
              <w:suppressLineNumbers w:val="0"/>
              <w:wordWrap w:val="0"/>
              <w:spacing w:before="0" w:beforeAutospacing="0" w:after="0" w:afterAutospacing="0" w:line="400" w:lineRule="exact"/>
              <w:ind w:left="0" w:right="420"/>
              <w:rPr>
                <w:rFonts w:hint="default"/>
                <w:color w:val="auto"/>
                <w:highlight w:val="none"/>
              </w:rPr>
            </w:pPr>
            <w:r>
              <w:rPr>
                <w:rFonts w:hint="default"/>
                <w:color w:val="auto"/>
                <w:highlight w:val="none"/>
              </w:rPr>
              <w:t xml:space="preserve">                                  </w:t>
            </w:r>
            <w:r>
              <w:rPr>
                <w:rFonts w:hint="eastAsia"/>
                <w:color w:val="auto"/>
                <w:highlight w:val="none"/>
              </w:rPr>
              <w:t xml:space="preserve">                  </w:t>
            </w:r>
            <w:r>
              <w:rPr>
                <w:rFonts w:hint="eastAsia" w:ascii="宋体" w:hAnsi="宋体"/>
                <w:color w:val="auto"/>
                <w:highlight w:val="none"/>
              </w:rPr>
              <w:t xml:space="preserve">承包人（章） </w:t>
            </w:r>
            <w:r>
              <w:rPr>
                <w:rFonts w:hint="default"/>
                <w:color w:val="auto"/>
                <w:highlight w:val="none"/>
              </w:rPr>
              <w:t xml:space="preserve">            </w:t>
            </w:r>
          </w:p>
          <w:p w14:paraId="48F4207D">
            <w:pPr>
              <w:keepNext w:val="0"/>
              <w:keepLines w:val="0"/>
              <w:suppressLineNumbers w:val="0"/>
              <w:spacing w:before="0" w:beforeAutospacing="0" w:after="0" w:afterAutospacing="0" w:line="400" w:lineRule="exact"/>
              <w:ind w:left="0" w:right="420" w:firstLine="435"/>
              <w:rPr>
                <w:rFonts w:hint="default"/>
                <w:color w:val="auto"/>
                <w:highlight w:val="none"/>
              </w:rPr>
            </w:pPr>
            <w:r>
              <w:rPr>
                <w:rFonts w:hint="eastAsia" w:ascii="宋体" w:hAnsi="宋体"/>
                <w:color w:val="auto"/>
                <w:highlight w:val="none"/>
              </w:rPr>
              <w:t>造价人员</w:t>
            </w:r>
            <w:r>
              <w:rPr>
                <w:rFonts w:hint="default"/>
                <w:color w:val="auto"/>
                <w:highlight w:val="none"/>
                <w:u w:val="single"/>
              </w:rPr>
              <w:t xml:space="preserve">               </w:t>
            </w:r>
            <w:r>
              <w:rPr>
                <w:rFonts w:hint="eastAsia" w:ascii="宋体" w:hAnsi="宋体"/>
                <w:color w:val="auto"/>
                <w:highlight w:val="none"/>
              </w:rPr>
              <w:t>承包人代表</w:t>
            </w:r>
            <w:r>
              <w:rPr>
                <w:rFonts w:hint="default"/>
                <w:color w:val="auto"/>
                <w:highlight w:val="none"/>
                <w:u w:val="singl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r w14:paraId="160F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4529" w:type="dxa"/>
            <w:tcBorders>
              <w:top w:val="single" w:color="auto" w:sz="4" w:space="0"/>
              <w:left w:val="single" w:color="auto" w:sz="4" w:space="0"/>
              <w:bottom w:val="single" w:color="auto" w:sz="4" w:space="0"/>
              <w:right w:val="single" w:color="auto" w:sz="4" w:space="0"/>
            </w:tcBorders>
            <w:noWrap w:val="0"/>
            <w:vAlign w:val="top"/>
          </w:tcPr>
          <w:p w14:paraId="33F4BED9">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23F8985D">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□与合同约定不相符</w:t>
            </w:r>
            <w:r>
              <w:rPr>
                <w:rFonts w:hint="eastAsia" w:ascii="宋体" w:hAnsi="宋体"/>
                <w:color w:val="auto"/>
                <w:highlight w:val="none"/>
                <w:lang w:eastAsia="zh-CN"/>
              </w:rPr>
              <w:t>，</w:t>
            </w:r>
            <w:r>
              <w:rPr>
                <w:rFonts w:hint="eastAsia" w:ascii="宋体" w:hAnsi="宋体"/>
                <w:color w:val="auto"/>
                <w:highlight w:val="none"/>
              </w:rPr>
              <w:t>修改意见见附件。</w:t>
            </w:r>
          </w:p>
          <w:p w14:paraId="72F9414E">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□与合同约定相符</w:t>
            </w:r>
            <w:r>
              <w:rPr>
                <w:rFonts w:hint="eastAsia" w:ascii="宋体" w:hAnsi="宋体"/>
                <w:color w:val="auto"/>
                <w:highlight w:val="none"/>
                <w:lang w:eastAsia="zh-CN"/>
              </w:rPr>
              <w:t>，</w:t>
            </w:r>
            <w:r>
              <w:rPr>
                <w:rFonts w:hint="eastAsia" w:ascii="宋体" w:hAnsi="宋体"/>
                <w:color w:val="auto"/>
                <w:highlight w:val="none"/>
              </w:rPr>
              <w:t>具体金额由造价工程师复核。</w:t>
            </w:r>
          </w:p>
          <w:p w14:paraId="11F1A865">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监理工程师</w:t>
            </w:r>
            <w:r>
              <w:rPr>
                <w:rFonts w:hint="default"/>
                <w:color w:val="auto"/>
                <w:highlight w:val="none"/>
                <w:u w:val="single"/>
              </w:rPr>
              <w:t xml:space="preserve">           </w:t>
            </w:r>
          </w:p>
          <w:p w14:paraId="3B20C85D">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c>
          <w:tcPr>
            <w:tcW w:w="4543" w:type="dxa"/>
            <w:tcBorders>
              <w:top w:val="single" w:color="auto" w:sz="4" w:space="0"/>
              <w:left w:val="single" w:color="auto" w:sz="4" w:space="0"/>
              <w:bottom w:val="single" w:color="auto" w:sz="4" w:space="0"/>
              <w:right w:val="single" w:color="auto" w:sz="4" w:space="0"/>
            </w:tcBorders>
            <w:noWrap w:val="0"/>
            <w:vAlign w:val="top"/>
          </w:tcPr>
          <w:p w14:paraId="2B52695A">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25973D01">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你方提出的支付申请经复核</w:t>
            </w:r>
            <w:r>
              <w:rPr>
                <w:rFonts w:hint="eastAsia" w:ascii="宋体" w:hAnsi="宋体"/>
                <w:color w:val="auto"/>
                <w:highlight w:val="none"/>
                <w:lang w:eastAsia="zh-CN"/>
              </w:rPr>
              <w:t>，</w:t>
            </w:r>
            <w:r>
              <w:rPr>
                <w:rFonts w:hint="eastAsia" w:ascii="宋体" w:hAnsi="宋体"/>
                <w:color w:val="auto"/>
                <w:highlight w:val="none"/>
              </w:rPr>
              <w:t>应支付预付款金额为</w:t>
            </w:r>
            <w:r>
              <w:rPr>
                <w:rFonts w:hint="eastAsia"/>
                <w:color w:val="auto"/>
                <w:highlight w:val="none"/>
                <w:lang w:eastAsia="zh-CN"/>
              </w:rPr>
              <w:t>（</w:t>
            </w:r>
            <w:r>
              <w:rPr>
                <w:rFonts w:hint="eastAsia" w:ascii="宋体" w:hAnsi="宋体"/>
                <w:color w:val="auto"/>
                <w:highlight w:val="none"/>
              </w:rPr>
              <w:t>大写</w:t>
            </w:r>
            <w:r>
              <w:rPr>
                <w:rFonts w:hint="eastAsia"/>
                <w:color w:val="auto"/>
                <w:highlight w:val="none"/>
                <w:lang w:eastAsia="zh-CN"/>
              </w:rPr>
              <w:t>）</w:t>
            </w:r>
            <w:r>
              <w:rPr>
                <w:rFonts w:hint="default"/>
                <w:color w:val="auto"/>
                <w:highlight w:val="none"/>
                <w:u w:val="single"/>
              </w:rPr>
              <w:t xml:space="preserve">         </w:t>
            </w:r>
            <w:r>
              <w:rPr>
                <w:rFonts w:hint="eastAsia"/>
                <w:color w:val="auto"/>
                <w:highlight w:val="none"/>
                <w:u w:val="single"/>
              </w:rPr>
              <w:t xml:space="preserve">          </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（小写）</w:t>
            </w:r>
            <w:r>
              <w:rPr>
                <w:rFonts w:hint="default"/>
                <w:color w:val="auto"/>
                <w:highlight w:val="none"/>
                <w:u w:val="single"/>
              </w:rPr>
              <w:t xml:space="preserve">   </w:t>
            </w:r>
            <w:r>
              <w:rPr>
                <w:rFonts w:hint="eastAsia"/>
                <w:color w:val="auto"/>
                <w:highlight w:val="none"/>
                <w:u w:val="single"/>
              </w:rPr>
              <w:t xml:space="preserve">   </w:t>
            </w:r>
            <w:r>
              <w:rPr>
                <w:rFonts w:hint="default"/>
                <w:color w:val="auto"/>
                <w:highlight w:val="none"/>
                <w:u w:val="single"/>
              </w:rPr>
              <w:t xml:space="preserve">       </w:t>
            </w:r>
            <w:r>
              <w:rPr>
                <w:rFonts w:hint="default"/>
                <w:color w:val="auto"/>
                <w:highlight w:val="none"/>
              </w:rPr>
              <w:t xml:space="preserve"> </w:t>
            </w:r>
            <w:r>
              <w:rPr>
                <w:rFonts w:hint="eastAsia" w:ascii="宋体" w:hAnsi="宋体"/>
                <w:color w:val="auto"/>
                <w:highlight w:val="none"/>
              </w:rPr>
              <w:t>元。</w:t>
            </w:r>
          </w:p>
          <w:p w14:paraId="1ACBC50C">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造价工程师</w:t>
            </w:r>
            <w:r>
              <w:rPr>
                <w:rFonts w:hint="default"/>
                <w:color w:val="auto"/>
                <w:highlight w:val="none"/>
                <w:u w:val="single"/>
              </w:rPr>
              <w:t xml:space="preserve">           </w:t>
            </w:r>
          </w:p>
          <w:p w14:paraId="7E68AE62">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r w14:paraId="6642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3C785775">
            <w:pPr>
              <w:keepNext w:val="0"/>
              <w:keepLines w:val="0"/>
              <w:suppressLineNumbers w:val="0"/>
              <w:spacing w:before="0" w:beforeAutospacing="0" w:after="0" w:afterAutospacing="0"/>
              <w:ind w:left="0" w:right="0"/>
              <w:rPr>
                <w:rFonts w:hint="default"/>
                <w:color w:val="auto"/>
                <w:highlight w:val="none"/>
              </w:rPr>
            </w:pPr>
            <w:r>
              <w:rPr>
                <w:rFonts w:hint="eastAsia" w:ascii="宋体" w:hAnsi="宋体"/>
                <w:color w:val="auto"/>
                <w:highlight w:val="none"/>
              </w:rPr>
              <w:t>审核意见：</w:t>
            </w:r>
          </w:p>
          <w:p w14:paraId="334EFD25">
            <w:pPr>
              <w:keepNext w:val="0"/>
              <w:keepLines w:val="0"/>
              <w:suppressLineNumbers w:val="0"/>
              <w:spacing w:before="0" w:beforeAutospacing="0" w:after="0" w:afterAutospacing="0"/>
              <w:ind w:left="0" w:right="0" w:firstLine="435"/>
              <w:rPr>
                <w:rFonts w:hint="default"/>
                <w:color w:val="auto"/>
                <w:highlight w:val="none"/>
              </w:rPr>
            </w:pPr>
            <w:r>
              <w:rPr>
                <w:rFonts w:hint="eastAsia" w:ascii="宋体" w:hAnsi="宋体"/>
                <w:color w:val="auto"/>
                <w:highlight w:val="none"/>
              </w:rPr>
              <w:t>□不同意。</w:t>
            </w:r>
          </w:p>
          <w:p w14:paraId="03292E58">
            <w:pPr>
              <w:keepNext w:val="0"/>
              <w:keepLines w:val="0"/>
              <w:suppressLineNumbers w:val="0"/>
              <w:spacing w:before="0" w:beforeAutospacing="0" w:after="0" w:afterAutospacing="0"/>
              <w:ind w:left="0" w:right="0" w:firstLine="420" w:firstLineChars="200"/>
              <w:rPr>
                <w:rFonts w:hint="default"/>
                <w:color w:val="auto"/>
                <w:highlight w:val="none"/>
              </w:rPr>
            </w:pPr>
            <w:r>
              <w:rPr>
                <w:rFonts w:hint="eastAsia" w:ascii="宋体" w:hAnsi="宋体"/>
                <w:color w:val="auto"/>
                <w:highlight w:val="none"/>
              </w:rPr>
              <w:t>□同意</w:t>
            </w:r>
            <w:r>
              <w:rPr>
                <w:rFonts w:hint="eastAsia" w:ascii="宋体" w:hAnsi="宋体"/>
                <w:color w:val="auto"/>
                <w:highlight w:val="none"/>
                <w:lang w:eastAsia="zh-CN"/>
              </w:rPr>
              <w:t>，</w:t>
            </w:r>
            <w:r>
              <w:rPr>
                <w:rFonts w:hint="eastAsia" w:ascii="宋体" w:hAnsi="宋体"/>
                <w:color w:val="auto"/>
                <w:highlight w:val="none"/>
              </w:rPr>
              <w:t>支付时间为本表签发后的</w:t>
            </w:r>
            <w:r>
              <w:rPr>
                <w:rFonts w:hint="eastAsia"/>
                <w:color w:val="auto"/>
                <w:highlight w:val="none"/>
              </w:rPr>
              <w:t>15</w:t>
            </w:r>
            <w:r>
              <w:rPr>
                <w:rFonts w:hint="eastAsia" w:ascii="宋体" w:hAnsi="宋体"/>
                <w:color w:val="auto"/>
                <w:highlight w:val="none"/>
              </w:rPr>
              <w:t>天内。</w:t>
            </w:r>
          </w:p>
          <w:p w14:paraId="5096F28D">
            <w:pPr>
              <w:keepNext w:val="0"/>
              <w:keepLines w:val="0"/>
              <w:suppressLineNumbers w:val="0"/>
              <w:spacing w:before="0" w:beforeAutospacing="0" w:after="0" w:afterAutospacing="0"/>
              <w:ind w:left="0" w:right="735" w:firstLine="6195" w:firstLineChars="2950"/>
              <w:rPr>
                <w:rFonts w:hint="default"/>
                <w:color w:val="auto"/>
                <w:highlight w:val="none"/>
              </w:rPr>
            </w:pPr>
            <w:r>
              <w:rPr>
                <w:rFonts w:hint="eastAsia" w:ascii="宋体" w:hAnsi="宋体"/>
                <w:color w:val="auto"/>
                <w:highlight w:val="none"/>
              </w:rPr>
              <w:t xml:space="preserve">发包人（章） </w:t>
            </w:r>
            <w:r>
              <w:rPr>
                <w:rFonts w:hint="default"/>
                <w:color w:val="auto"/>
                <w:highlight w:val="none"/>
              </w:rPr>
              <w:t xml:space="preserve">          </w:t>
            </w:r>
          </w:p>
          <w:p w14:paraId="06DDAC2C">
            <w:pPr>
              <w:keepNext w:val="0"/>
              <w:keepLines w:val="0"/>
              <w:suppressLineNumbers w:val="0"/>
              <w:spacing w:before="0" w:beforeAutospacing="0" w:after="0" w:afterAutospacing="0"/>
              <w:ind w:left="0" w:right="420" w:firstLine="6195" w:firstLineChars="2950"/>
              <w:rPr>
                <w:rFonts w:hint="default"/>
                <w:color w:val="auto"/>
                <w:highlight w:val="none"/>
                <w:u w:val="single"/>
              </w:rPr>
            </w:pPr>
            <w:r>
              <w:rPr>
                <w:rFonts w:hint="eastAsia" w:ascii="宋体" w:hAnsi="宋体"/>
                <w:color w:val="auto"/>
                <w:highlight w:val="none"/>
              </w:rPr>
              <w:t>发包人代表</w:t>
            </w:r>
            <w:r>
              <w:rPr>
                <w:rFonts w:hint="default"/>
                <w:color w:val="auto"/>
                <w:highlight w:val="none"/>
                <w:u w:val="single"/>
              </w:rPr>
              <w:t xml:space="preserve">             </w:t>
            </w:r>
          </w:p>
          <w:p w14:paraId="0911E047">
            <w:pPr>
              <w:keepNext w:val="0"/>
              <w:keepLines w:val="0"/>
              <w:suppressLineNumbers w:val="0"/>
              <w:spacing w:before="0" w:beforeAutospacing="0" w:after="0" w:afterAutospacing="0"/>
              <w:ind w:left="0" w:right="420" w:firstLine="6195" w:firstLineChars="2950"/>
              <w:rPr>
                <w:rFonts w:hint="default"/>
                <w:color w:val="auto"/>
                <w:highlight w:val="none"/>
                <w:u w:val="single"/>
              </w:rPr>
            </w:pP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bl>
    <w:p w14:paraId="00FAA2CB">
      <w:pPr>
        <w:ind w:firstLine="360" w:firstLineChars="200"/>
        <w:rPr>
          <w:rFonts w:ascii="宋体" w:hAnsi="宋体"/>
          <w:color w:val="auto"/>
          <w:sz w:val="18"/>
          <w:szCs w:val="18"/>
          <w:highlight w:val="none"/>
        </w:rPr>
      </w:pPr>
      <w:r>
        <w:rPr>
          <w:rFonts w:hint="eastAsia" w:ascii="宋体" w:hAnsi="宋体"/>
          <w:color w:val="auto"/>
          <w:sz w:val="18"/>
          <w:szCs w:val="18"/>
          <w:highlight w:val="none"/>
        </w:rPr>
        <w:t>注：1.在选择栏中的</w:t>
      </w:r>
      <w:r>
        <w:rPr>
          <w:rFonts w:hint="eastAsia" w:ascii="宋体" w:hAnsi="宋体"/>
          <w:color w:val="auto"/>
          <w:sz w:val="18"/>
          <w:szCs w:val="18"/>
          <w:highlight w:val="none"/>
          <w:lang w:eastAsia="zh-CN"/>
        </w:rPr>
        <w:t>“</w:t>
      </w:r>
      <w:r>
        <w:rPr>
          <w:rFonts w:hint="eastAsia" w:ascii="宋体" w:hAnsi="宋体"/>
          <w:color w:val="auto"/>
          <w:sz w:val="18"/>
          <w:szCs w:val="18"/>
          <w:highlight w:val="none"/>
        </w:rPr>
        <w:t>□</w:t>
      </w:r>
      <w:r>
        <w:rPr>
          <w:rFonts w:hint="eastAsia" w:ascii="宋体" w:hAnsi="宋体"/>
          <w:color w:val="auto"/>
          <w:sz w:val="18"/>
          <w:szCs w:val="18"/>
          <w:highlight w:val="none"/>
          <w:lang w:eastAsia="zh-CN"/>
        </w:rPr>
        <w:t>”</w:t>
      </w:r>
      <w:r>
        <w:rPr>
          <w:rFonts w:hint="eastAsia" w:ascii="宋体" w:hAnsi="宋体"/>
          <w:color w:val="auto"/>
          <w:sz w:val="18"/>
          <w:szCs w:val="18"/>
          <w:highlight w:val="none"/>
        </w:rPr>
        <w:t>内作标识</w:t>
      </w:r>
      <w:r>
        <w:rPr>
          <w:rFonts w:hint="eastAsia" w:ascii="宋体" w:hAnsi="宋体"/>
          <w:color w:val="auto"/>
          <w:sz w:val="18"/>
          <w:szCs w:val="18"/>
          <w:highlight w:val="none"/>
          <w:lang w:eastAsia="zh-CN"/>
        </w:rPr>
        <w:t>“</w:t>
      </w:r>
      <w:r>
        <w:rPr>
          <w:rFonts w:hint="eastAsia" w:ascii="宋体" w:hAnsi="宋体"/>
          <w:color w:val="auto"/>
          <w:sz w:val="18"/>
          <w:szCs w:val="18"/>
          <w:highlight w:val="none"/>
        </w:rPr>
        <w:t>√</w:t>
      </w:r>
      <w:r>
        <w:rPr>
          <w:rFonts w:hint="eastAsia" w:ascii="宋体" w:hAnsi="宋体"/>
          <w:color w:val="auto"/>
          <w:sz w:val="18"/>
          <w:szCs w:val="18"/>
          <w:highlight w:val="none"/>
          <w:lang w:eastAsia="zh-CN"/>
        </w:rPr>
        <w:t>”</w:t>
      </w:r>
      <w:r>
        <w:rPr>
          <w:rFonts w:hint="eastAsia" w:ascii="宋体" w:hAnsi="宋体"/>
          <w:color w:val="auto"/>
          <w:sz w:val="18"/>
          <w:szCs w:val="18"/>
          <w:highlight w:val="none"/>
        </w:rPr>
        <w:t xml:space="preserve">。 </w:t>
      </w:r>
    </w:p>
    <w:p w14:paraId="6D3416A4">
      <w:pPr>
        <w:ind w:left="720" w:hanging="720" w:hangingChars="400"/>
        <w:rPr>
          <w:rFonts w:ascii="宋体" w:hAnsi="宋体"/>
          <w:color w:val="auto"/>
          <w:sz w:val="18"/>
          <w:szCs w:val="18"/>
          <w:highlight w:val="none"/>
        </w:rPr>
      </w:pPr>
      <w:r>
        <w:rPr>
          <w:rFonts w:hint="eastAsia" w:ascii="宋体" w:hAnsi="宋体"/>
          <w:color w:val="auto"/>
          <w:sz w:val="18"/>
          <w:szCs w:val="18"/>
          <w:highlight w:val="none"/>
        </w:rPr>
        <w:t xml:space="preserve">    </w:t>
      </w:r>
      <w:r>
        <w:rPr>
          <w:rFonts w:ascii="宋体" w:hAnsi="宋体"/>
          <w:color w:val="auto"/>
          <w:sz w:val="18"/>
          <w:szCs w:val="18"/>
          <w:highlight w:val="none"/>
        </w:rPr>
        <w:t xml:space="preserve">  </w:t>
      </w:r>
      <w:r>
        <w:rPr>
          <w:rFonts w:hint="eastAsia" w:ascii="宋体" w:hAnsi="宋体"/>
          <w:color w:val="auto"/>
          <w:sz w:val="18"/>
          <w:szCs w:val="18"/>
          <w:highlight w:val="none"/>
        </w:rPr>
        <w:t xml:space="preserve">  2.本表一式四份</w:t>
      </w:r>
      <w:r>
        <w:rPr>
          <w:rFonts w:hint="eastAsia" w:ascii="宋体" w:hAnsi="宋体"/>
          <w:color w:val="auto"/>
          <w:sz w:val="18"/>
          <w:szCs w:val="18"/>
          <w:highlight w:val="none"/>
          <w:lang w:eastAsia="zh-CN"/>
        </w:rPr>
        <w:t>，</w:t>
      </w:r>
      <w:r>
        <w:rPr>
          <w:rFonts w:hint="eastAsia" w:ascii="宋体" w:hAnsi="宋体"/>
          <w:color w:val="auto"/>
          <w:sz w:val="18"/>
          <w:szCs w:val="18"/>
          <w:highlight w:val="none"/>
        </w:rPr>
        <w:t>由承包人填报</w:t>
      </w:r>
      <w:r>
        <w:rPr>
          <w:rFonts w:hint="eastAsia" w:ascii="宋体" w:hAnsi="宋体"/>
          <w:color w:val="auto"/>
          <w:sz w:val="18"/>
          <w:szCs w:val="18"/>
          <w:highlight w:val="none"/>
          <w:lang w:eastAsia="zh-CN"/>
        </w:rPr>
        <w:t>，</w:t>
      </w:r>
      <w:r>
        <w:rPr>
          <w:rFonts w:hint="eastAsia" w:ascii="宋体" w:hAnsi="宋体"/>
          <w:color w:val="auto"/>
          <w:sz w:val="18"/>
          <w:szCs w:val="18"/>
          <w:highlight w:val="none"/>
        </w:rPr>
        <w:t>发包人、监理人、工程造价咨询人、承包人各存一份。</w:t>
      </w:r>
    </w:p>
    <w:p w14:paraId="3C6D7541">
      <w:pPr>
        <w:widowControl/>
        <w:ind w:firstLine="720" w:firstLineChars="400"/>
        <w:jc w:val="both"/>
        <w:rPr>
          <w:rFonts w:hint="eastAsia" w:eastAsia="宋体"/>
          <w:color w:val="auto"/>
          <w:sz w:val="21"/>
          <w:szCs w:val="21"/>
          <w:highlight w:val="none"/>
          <w:lang w:eastAsia="zh-CN"/>
        </w:rPr>
      </w:pPr>
      <w:r>
        <w:rPr>
          <w:rFonts w:hint="eastAsia" w:ascii="宋体" w:hAnsi="宋体"/>
          <w:color w:val="auto"/>
          <w:sz w:val="18"/>
          <w:szCs w:val="18"/>
          <w:highlight w:val="none"/>
          <w:lang w:val="en-US" w:eastAsia="zh-CN"/>
        </w:rPr>
        <w:t>3.</w:t>
      </w:r>
      <w:r>
        <w:rPr>
          <w:rFonts w:hint="eastAsia" w:ascii="宋体" w:hAnsi="宋体"/>
          <w:color w:val="auto"/>
          <w:sz w:val="18"/>
          <w:szCs w:val="18"/>
          <w:highlight w:val="none"/>
        </w:rPr>
        <w:t>应付预付款计算基数=签约合同价款-暂列金额-专业工程暂估价-安全生产费</w:t>
      </w:r>
      <w:r>
        <w:rPr>
          <w:rFonts w:hint="eastAsia" w:ascii="宋体" w:hAnsi="宋体"/>
          <w:color w:val="auto"/>
          <w:sz w:val="18"/>
          <w:szCs w:val="18"/>
          <w:highlight w:val="none"/>
          <w:lang w:eastAsia="zh-CN"/>
        </w:rPr>
        <w:t>。</w:t>
      </w:r>
      <w:r>
        <w:rPr>
          <w:rFonts w:hint="eastAsia" w:ascii="宋体" w:hAnsi="宋体"/>
          <w:color w:val="auto"/>
          <w:sz w:val="18"/>
          <w:szCs w:val="18"/>
          <w:highlight w:val="none"/>
          <w:lang w:val="en-US" w:eastAsia="zh-CN"/>
        </w:rPr>
        <w:t xml:space="preserve"> </w:t>
      </w:r>
      <w:r>
        <w:rPr>
          <w:rFonts w:hint="eastAsia" w:ascii="宋体" w:hAnsi="宋体"/>
          <w:color w:val="auto"/>
          <w:sz w:val="24"/>
          <w:highlight w:val="none"/>
          <w:lang w:val="en-US" w:eastAsia="zh-CN"/>
        </w:rPr>
        <w:t xml:space="preserve">                                                                       </w:t>
      </w:r>
      <w:r>
        <w:rPr>
          <w:rFonts w:hint="eastAsia" w:ascii="宋体" w:hAnsi="宋体"/>
          <w:color w:val="auto"/>
          <w:sz w:val="21"/>
          <w:szCs w:val="21"/>
          <w:highlight w:val="none"/>
          <w:lang w:val="en-US" w:eastAsia="zh-CN"/>
        </w:rPr>
        <w:t xml:space="preserve"> </w:t>
      </w:r>
    </w:p>
    <w:p w14:paraId="3170FEDB">
      <w:pPr>
        <w:jc w:val="center"/>
        <w:outlineLvl w:val="9"/>
        <w:rPr>
          <w:rFonts w:hint="eastAsia" w:ascii="宋体" w:hAnsi="宋体"/>
          <w:b/>
          <w:color w:val="auto"/>
          <w:sz w:val="30"/>
          <w:szCs w:val="30"/>
          <w:highlight w:val="none"/>
        </w:rPr>
      </w:pPr>
      <w:r>
        <w:rPr>
          <w:rFonts w:hint="eastAsia" w:ascii="宋体" w:hAnsi="宋体"/>
          <w:b/>
          <w:color w:val="auto"/>
          <w:sz w:val="30"/>
          <w:szCs w:val="30"/>
          <w:highlight w:val="none"/>
        </w:rPr>
        <w:br w:type="page"/>
      </w:r>
      <w:r>
        <w:rPr>
          <w:rFonts w:hint="eastAsia" w:ascii="宋体" w:hAnsi="宋体"/>
          <w:b/>
          <w:color w:val="auto"/>
          <w:sz w:val="30"/>
          <w:szCs w:val="30"/>
          <w:highlight w:val="none"/>
        </w:rPr>
        <w:t>预付款支付申请（核准）表</w:t>
      </w:r>
    </w:p>
    <w:p w14:paraId="5A6C18DE">
      <w:pPr>
        <w:jc w:val="center"/>
        <w:outlineLvl w:val="9"/>
        <w:rPr>
          <w:rFonts w:hint="eastAsia" w:ascii="宋体" w:hAnsi="宋体" w:eastAsia="宋体"/>
          <w:b/>
          <w:color w:val="auto"/>
          <w:sz w:val="36"/>
          <w:szCs w:val="36"/>
          <w:highlight w:val="none"/>
          <w:lang w:val="en-US" w:eastAsia="zh-CN"/>
        </w:rPr>
      </w:pPr>
      <w:r>
        <w:rPr>
          <w:rFonts w:hint="eastAsia" w:ascii="宋体" w:hAnsi="宋体"/>
          <w:b/>
          <w:color w:val="auto"/>
          <w:sz w:val="30"/>
          <w:szCs w:val="30"/>
          <w:highlight w:val="none"/>
          <w:lang w:val="en-US" w:eastAsia="zh-CN"/>
        </w:rPr>
        <w:t>（适用一次性支付）</w:t>
      </w:r>
    </w:p>
    <w:p w14:paraId="5A03D1AC">
      <w:pPr>
        <w:spacing w:line="360" w:lineRule="auto"/>
        <w:rPr>
          <w:color w:val="auto"/>
          <w:sz w:val="21"/>
          <w:szCs w:val="21"/>
          <w:highlight w:val="none"/>
        </w:rPr>
      </w:pPr>
      <w:r>
        <w:rPr>
          <w:rFonts w:hint="eastAsia" w:ascii="宋体" w:hAnsi="宋体"/>
          <w:color w:val="auto"/>
          <w:sz w:val="21"/>
          <w:szCs w:val="21"/>
          <w:highlight w:val="none"/>
        </w:rPr>
        <w:t xml:space="preserve">工程名称：                                          </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rPr>
        <w:t xml:space="preserve">   编号：</w:t>
      </w:r>
    </w:p>
    <w:tbl>
      <w:tblPr>
        <w:tblStyle w:val="41"/>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6"/>
        <w:gridCol w:w="4543"/>
      </w:tblGrid>
      <w:tr w14:paraId="49F8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8" w:hRule="atLeast"/>
          <w:jc w:val="center"/>
        </w:trPr>
        <w:tc>
          <w:tcPr>
            <w:tcW w:w="9639" w:type="dxa"/>
            <w:gridSpan w:val="2"/>
            <w:tcBorders>
              <w:top w:val="single" w:color="auto" w:sz="4" w:space="0"/>
              <w:left w:val="single" w:color="auto" w:sz="4" w:space="0"/>
              <w:bottom w:val="single" w:color="auto" w:sz="4" w:space="0"/>
              <w:right w:val="single" w:color="auto" w:sz="4" w:space="0"/>
            </w:tcBorders>
            <w:noWrap w:val="0"/>
            <w:vAlign w:val="top"/>
          </w:tcPr>
          <w:p w14:paraId="603F3A6E">
            <w:pPr>
              <w:keepNext w:val="0"/>
              <w:keepLines w:val="0"/>
              <w:suppressLineNumbers w:val="0"/>
              <w:spacing w:before="0" w:beforeAutospacing="0" w:after="0" w:afterAutospacing="0" w:line="480" w:lineRule="exact"/>
              <w:ind w:left="525" w:leftChars="149" w:right="0" w:hanging="212" w:hangingChars="101"/>
              <w:rPr>
                <w:rFonts w:hint="default"/>
                <w:color w:val="auto"/>
                <w:highlight w:val="none"/>
                <w:u w:val="single"/>
              </w:rPr>
            </w:pPr>
            <w:r>
              <w:rPr>
                <w:rFonts w:hint="eastAsia" w:ascii="宋体" w:hAnsi="宋体"/>
                <w:color w:val="auto"/>
                <w:highlight w:val="none"/>
              </w:rPr>
              <w:t>致：</w:t>
            </w:r>
            <w:r>
              <w:rPr>
                <w:rFonts w:hint="default"/>
                <w:color w:val="auto"/>
                <w:highlight w:val="none"/>
                <w:u w:val="single"/>
              </w:rPr>
              <w:t xml:space="preserve">                                   </w:t>
            </w:r>
            <w:r>
              <w:rPr>
                <w:rFonts w:hint="eastAsia" w:ascii="宋体" w:hAnsi="宋体"/>
                <w:color w:val="auto"/>
                <w:highlight w:val="none"/>
                <w:u w:val="single"/>
              </w:rPr>
              <w:t>（发包人全称）</w:t>
            </w:r>
          </w:p>
          <w:p w14:paraId="48D7FB82">
            <w:pPr>
              <w:keepNext w:val="0"/>
              <w:keepLines w:val="0"/>
              <w:suppressLineNumbers w:val="0"/>
              <w:spacing w:before="0" w:beforeAutospacing="0" w:after="0" w:afterAutospacing="0" w:line="400" w:lineRule="exact"/>
              <w:ind w:left="-4" w:leftChars="-2" w:right="0" w:firstLine="315" w:firstLineChars="150"/>
              <w:rPr>
                <w:rFonts w:hint="default"/>
                <w:color w:val="auto"/>
                <w:highlight w:val="none"/>
              </w:rPr>
            </w:pPr>
            <w:r>
              <w:rPr>
                <w:rFonts w:hint="eastAsia" w:ascii="宋体" w:hAnsi="宋体"/>
                <w:color w:val="auto"/>
                <w:highlight w:val="none"/>
              </w:rPr>
              <w:t>我方根据施工合同的约定</w:t>
            </w:r>
            <w:r>
              <w:rPr>
                <w:rFonts w:hint="eastAsia" w:ascii="宋体" w:hAnsi="宋体"/>
                <w:color w:val="auto"/>
                <w:highlight w:val="none"/>
                <w:lang w:eastAsia="zh-CN"/>
              </w:rPr>
              <w:t>，</w:t>
            </w:r>
            <w:r>
              <w:rPr>
                <w:rFonts w:hint="eastAsia" w:ascii="宋体" w:hAnsi="宋体"/>
                <w:color w:val="auto"/>
                <w:highlight w:val="none"/>
              </w:rPr>
              <w:t>现申请支付工程预付款额为</w:t>
            </w:r>
            <w:r>
              <w:rPr>
                <w:rFonts w:hint="eastAsia"/>
                <w:color w:val="auto"/>
                <w:highlight w:val="none"/>
                <w:lang w:eastAsia="zh-CN"/>
              </w:rPr>
              <w:t>（</w:t>
            </w:r>
            <w:r>
              <w:rPr>
                <w:rFonts w:hint="eastAsia" w:ascii="宋体" w:hAnsi="宋体"/>
                <w:color w:val="auto"/>
                <w:highlight w:val="none"/>
              </w:rPr>
              <w:t>大写</w:t>
            </w:r>
            <w:r>
              <w:rPr>
                <w:rFonts w:hint="eastAsia"/>
                <w:color w:val="auto"/>
                <w:highlight w:val="none"/>
                <w:lang w:eastAsia="zh-CN"/>
              </w:rPr>
              <w:t>）</w:t>
            </w:r>
            <w:r>
              <w:rPr>
                <w:rFonts w:hint="default"/>
                <w:color w:val="auto"/>
                <w:highlight w:val="none"/>
                <w:u w:val="single"/>
              </w:rPr>
              <w:t xml:space="preserve">     </w:t>
            </w:r>
            <w:r>
              <w:rPr>
                <w:rFonts w:hint="eastAsia"/>
                <w:color w:val="auto"/>
                <w:highlight w:val="none"/>
                <w:u w:val="single"/>
              </w:rPr>
              <w:t xml:space="preserve">             </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color w:val="auto"/>
                <w:highlight w:val="none"/>
                <w:lang w:eastAsia="zh-CN"/>
              </w:rPr>
              <w:t>（</w:t>
            </w:r>
            <w:r>
              <w:rPr>
                <w:rFonts w:hint="eastAsia" w:ascii="宋体" w:hAnsi="宋体"/>
                <w:color w:val="auto"/>
                <w:highlight w:val="none"/>
              </w:rPr>
              <w:t>小写</w:t>
            </w:r>
            <w:r>
              <w:rPr>
                <w:rFonts w:hint="eastAsia"/>
                <w:color w:val="auto"/>
                <w:highlight w:val="none"/>
                <w:lang w:eastAsia="zh-CN"/>
              </w:rPr>
              <w:t>）</w:t>
            </w:r>
            <w:r>
              <w:rPr>
                <w:rFonts w:hint="default"/>
                <w:color w:val="auto"/>
                <w:highlight w:val="none"/>
                <w:u w:val="single"/>
              </w:rPr>
              <w:t xml:space="preserve">     </w:t>
            </w:r>
            <w:r>
              <w:rPr>
                <w:rFonts w:hint="eastAsia"/>
                <w:color w:val="auto"/>
                <w:highlight w:val="none"/>
                <w:u w:val="single"/>
              </w:rPr>
              <w:t xml:space="preserve">      </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请予核准。</w:t>
            </w:r>
          </w:p>
          <w:tbl>
            <w:tblPr>
              <w:tblStyle w:val="41"/>
              <w:tblW w:w="8842"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211"/>
              <w:gridCol w:w="1661"/>
              <w:gridCol w:w="1336"/>
              <w:gridCol w:w="1498"/>
              <w:gridCol w:w="1500"/>
            </w:tblGrid>
            <w:tr w14:paraId="3D38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noWrap w:val="0"/>
                  <w:vAlign w:val="center"/>
                </w:tcPr>
                <w:p w14:paraId="6474ED92">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序号</w:t>
                  </w:r>
                </w:p>
              </w:tc>
              <w:tc>
                <w:tcPr>
                  <w:tcW w:w="2211" w:type="dxa"/>
                  <w:tcBorders>
                    <w:top w:val="single" w:color="auto" w:sz="4" w:space="0"/>
                    <w:left w:val="single" w:color="auto" w:sz="4" w:space="0"/>
                    <w:bottom w:val="single" w:color="auto" w:sz="4" w:space="0"/>
                    <w:right w:val="single" w:color="auto" w:sz="4" w:space="0"/>
                  </w:tcBorders>
                  <w:noWrap w:val="0"/>
                  <w:vAlign w:val="center"/>
                </w:tcPr>
                <w:p w14:paraId="47EAC059">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 xml:space="preserve">名 </w:t>
                  </w:r>
                  <w:r>
                    <w:rPr>
                      <w:rFonts w:hint="default"/>
                      <w:color w:val="auto"/>
                      <w:highlight w:val="none"/>
                    </w:rPr>
                    <w:t xml:space="preserve">     </w:t>
                  </w:r>
                  <w:r>
                    <w:rPr>
                      <w:rFonts w:hint="eastAsia" w:ascii="宋体" w:hAnsi="宋体"/>
                      <w:color w:val="auto"/>
                      <w:highlight w:val="none"/>
                    </w:rPr>
                    <w:t>称</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3D8A8632">
                  <w:pPr>
                    <w:keepNext w:val="0"/>
                    <w:keepLines w:val="0"/>
                    <w:suppressLineNumbers w:val="0"/>
                    <w:spacing w:before="0" w:beforeAutospacing="0" w:after="0" w:afterAutospacing="0" w:line="280" w:lineRule="exact"/>
                    <w:ind w:left="0" w:right="0"/>
                    <w:jc w:val="center"/>
                    <w:rPr>
                      <w:rFonts w:hint="default" w:ascii="宋体" w:hAnsi="宋体"/>
                      <w:color w:val="auto"/>
                      <w:highlight w:val="none"/>
                    </w:rPr>
                  </w:pPr>
                  <w:r>
                    <w:rPr>
                      <w:rFonts w:hint="eastAsia" w:ascii="宋体" w:hAnsi="宋体"/>
                      <w:color w:val="auto"/>
                      <w:highlight w:val="none"/>
                    </w:rPr>
                    <w:t>计算基数</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59B9FCC9">
                  <w:pPr>
                    <w:keepNext w:val="0"/>
                    <w:keepLines w:val="0"/>
                    <w:suppressLineNumbers w:val="0"/>
                    <w:spacing w:before="0" w:beforeAutospacing="0" w:after="0" w:afterAutospacing="0" w:line="280" w:lineRule="exact"/>
                    <w:ind w:left="0" w:right="0"/>
                    <w:jc w:val="center"/>
                    <w:rPr>
                      <w:rFonts w:hint="default" w:ascii="宋体" w:hAnsi="宋体"/>
                      <w:color w:val="auto"/>
                      <w:highlight w:val="none"/>
                    </w:rPr>
                  </w:pPr>
                  <w:r>
                    <w:rPr>
                      <w:rFonts w:hint="eastAsia" w:ascii="宋体" w:hAnsi="宋体"/>
                      <w:color w:val="auto"/>
                      <w:highlight w:val="none"/>
                    </w:rPr>
                    <w:t>支付比例</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34A163DC">
                  <w:pPr>
                    <w:keepNext w:val="0"/>
                    <w:keepLines w:val="0"/>
                    <w:suppressLineNumbers w:val="0"/>
                    <w:spacing w:before="0" w:beforeAutospacing="0" w:after="0" w:afterAutospacing="0" w:line="280" w:lineRule="exact"/>
                    <w:ind w:left="0" w:right="0"/>
                    <w:jc w:val="center"/>
                    <w:rPr>
                      <w:rFonts w:hint="default" w:ascii="宋体" w:hAnsi="宋体"/>
                      <w:color w:val="auto"/>
                      <w:highlight w:val="none"/>
                    </w:rPr>
                  </w:pPr>
                  <w:r>
                    <w:rPr>
                      <w:rFonts w:hint="eastAsia" w:ascii="宋体" w:hAnsi="宋体"/>
                      <w:color w:val="auto"/>
                      <w:highlight w:val="none"/>
                    </w:rPr>
                    <w:t>申请金额（元）</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67D0E8F9">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复核金额（元）</w:t>
                  </w:r>
                </w:p>
              </w:tc>
            </w:tr>
            <w:tr w14:paraId="0756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085CD13F">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1</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3A12DF1A">
                  <w:pPr>
                    <w:keepNext w:val="0"/>
                    <w:keepLines w:val="0"/>
                    <w:suppressLineNumbers w:val="0"/>
                    <w:spacing w:before="0" w:beforeAutospacing="0" w:after="0" w:afterAutospacing="0" w:line="280" w:lineRule="exact"/>
                    <w:ind w:left="0" w:right="0"/>
                    <w:rPr>
                      <w:rFonts w:hint="default" w:ascii="宋体" w:hAnsi="宋体"/>
                      <w:color w:val="auto"/>
                      <w:highlight w:val="none"/>
                    </w:rPr>
                  </w:pPr>
                  <w:r>
                    <w:rPr>
                      <w:rFonts w:hint="eastAsia" w:ascii="宋体" w:hAnsi="宋体"/>
                      <w:color w:val="auto"/>
                      <w:highlight w:val="none"/>
                    </w:rPr>
                    <w:t>签约合同价款</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4B1DBBA5">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4117CFA9">
                  <w:pPr>
                    <w:keepNext w:val="0"/>
                    <w:keepLines w:val="0"/>
                    <w:suppressLineNumbers w:val="0"/>
                    <w:spacing w:before="0" w:beforeAutospacing="0" w:after="0" w:afterAutospacing="0" w:line="280" w:lineRule="exact"/>
                    <w:ind w:left="0" w:right="0"/>
                    <w:jc w:val="center"/>
                    <w:rPr>
                      <w:rFonts w:hint="default" w:eastAsia="宋体"/>
                      <w:color w:val="auto"/>
                      <w:highlight w:val="none"/>
                      <w:lang w:val="en-US" w:eastAsia="zh-CN"/>
                    </w:rPr>
                  </w:pPr>
                  <w:r>
                    <w:rPr>
                      <w:rFonts w:hint="eastAsia"/>
                      <w:color w:val="auto"/>
                      <w:highlight w:val="none"/>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1D88DCBA">
                  <w:pPr>
                    <w:keepNext w:val="0"/>
                    <w:keepLines w:val="0"/>
                    <w:suppressLineNumbers w:val="0"/>
                    <w:spacing w:before="0" w:beforeAutospacing="0" w:after="0" w:afterAutospacing="0" w:line="280" w:lineRule="exact"/>
                    <w:ind w:left="0" w:right="0"/>
                    <w:jc w:val="center"/>
                    <w:rPr>
                      <w:rFonts w:hint="default" w:eastAsia="宋体"/>
                      <w:color w:val="auto"/>
                      <w:highlight w:val="none"/>
                      <w:lang w:val="en-US" w:eastAsia="zh-CN"/>
                    </w:rPr>
                  </w:pPr>
                  <w:r>
                    <w:rPr>
                      <w:rFonts w:hint="eastAsia"/>
                      <w:color w:val="auto"/>
                      <w:highlight w:val="none"/>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3F3FFA6D">
                  <w:pPr>
                    <w:keepNext w:val="0"/>
                    <w:keepLines w:val="0"/>
                    <w:suppressLineNumbers w:val="0"/>
                    <w:spacing w:before="0" w:beforeAutospacing="0" w:after="0" w:afterAutospacing="0" w:line="280" w:lineRule="exact"/>
                    <w:ind w:left="0" w:right="0"/>
                    <w:jc w:val="center"/>
                    <w:rPr>
                      <w:rFonts w:hint="eastAsia" w:eastAsia="宋体"/>
                      <w:color w:val="auto"/>
                      <w:highlight w:val="none"/>
                      <w:lang w:val="en-US" w:eastAsia="zh-CN"/>
                    </w:rPr>
                  </w:pPr>
                  <w:r>
                    <w:rPr>
                      <w:rFonts w:hint="eastAsia"/>
                      <w:color w:val="auto"/>
                      <w:highlight w:val="none"/>
                      <w:lang w:val="en-US" w:eastAsia="zh-CN"/>
                    </w:rPr>
                    <w:t>-</w:t>
                  </w:r>
                </w:p>
              </w:tc>
            </w:tr>
            <w:tr w14:paraId="15543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013FA2B9">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1.1</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44E8F017">
                  <w:pPr>
                    <w:keepNext w:val="0"/>
                    <w:keepLines w:val="0"/>
                    <w:suppressLineNumbers w:val="0"/>
                    <w:spacing w:before="0" w:beforeAutospacing="0" w:after="0" w:afterAutospacing="0" w:line="280" w:lineRule="exact"/>
                    <w:ind w:left="0" w:right="0"/>
                    <w:rPr>
                      <w:rFonts w:hint="default" w:ascii="宋体" w:hAnsi="宋体"/>
                      <w:color w:val="auto"/>
                      <w:highlight w:val="none"/>
                    </w:rPr>
                  </w:pPr>
                  <w:r>
                    <w:rPr>
                      <w:rFonts w:hint="eastAsia" w:ascii="宋体" w:hAnsi="宋体"/>
                      <w:color w:val="auto"/>
                      <w:highlight w:val="none"/>
                    </w:rPr>
                    <w:t>暂列金额</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71A653D5">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4B324788">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5B881C6C">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72A98196">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r>
            <w:tr w14:paraId="4878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6496B57F">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1.</w:t>
                  </w:r>
                  <w:r>
                    <w:rPr>
                      <w:rFonts w:hint="eastAsia"/>
                      <w:color w:val="auto"/>
                      <w:highlight w:val="none"/>
                      <w:lang w:val="en-US" w:eastAsia="zh-CN"/>
                    </w:rPr>
                    <w:t>2</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48B94029">
                  <w:pPr>
                    <w:keepNext w:val="0"/>
                    <w:keepLines w:val="0"/>
                    <w:suppressLineNumbers w:val="0"/>
                    <w:spacing w:before="0" w:beforeAutospacing="0" w:after="0" w:afterAutospacing="0" w:line="280" w:lineRule="exact"/>
                    <w:ind w:left="0" w:right="0"/>
                    <w:rPr>
                      <w:rFonts w:hint="default" w:ascii="宋体" w:hAnsi="宋体"/>
                      <w:color w:val="auto"/>
                      <w:highlight w:val="none"/>
                    </w:rPr>
                  </w:pPr>
                  <w:r>
                    <w:rPr>
                      <w:rFonts w:hint="eastAsia" w:ascii="宋体" w:hAnsi="宋体"/>
                      <w:color w:val="auto"/>
                      <w:highlight w:val="none"/>
                    </w:rPr>
                    <w:t>专业工程暂估价</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02641ED5">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7012E6F9">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54A6FCA6">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767B997">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r>
            <w:tr w14:paraId="30DE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62534F02">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1.</w:t>
                  </w:r>
                  <w:r>
                    <w:rPr>
                      <w:rFonts w:hint="eastAsia"/>
                      <w:color w:val="auto"/>
                      <w:highlight w:val="none"/>
                      <w:lang w:val="en-US" w:eastAsia="zh-CN"/>
                    </w:rPr>
                    <w:t>3</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6B613B5B">
                  <w:pPr>
                    <w:keepNext w:val="0"/>
                    <w:keepLines w:val="0"/>
                    <w:suppressLineNumbers w:val="0"/>
                    <w:spacing w:before="0" w:beforeAutospacing="0" w:after="0" w:afterAutospacing="0" w:line="280" w:lineRule="exact"/>
                    <w:ind w:left="0" w:right="0"/>
                    <w:rPr>
                      <w:rFonts w:hint="default" w:ascii="宋体" w:hAnsi="宋体"/>
                      <w:color w:val="auto"/>
                      <w:highlight w:val="none"/>
                      <w:lang w:val="en"/>
                    </w:rPr>
                  </w:pPr>
                  <w:r>
                    <w:rPr>
                      <w:rFonts w:hint="default" w:ascii="宋体" w:hAnsi="宋体"/>
                      <w:color w:val="auto"/>
                      <w:highlight w:val="none"/>
                      <w:lang w:val="en"/>
                    </w:rPr>
                    <w:t>安全生产费</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07876F16">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776D60F7">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2DE5EDD8">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E86C219">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r>
            <w:tr w14:paraId="22C5E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33202419">
                  <w:pPr>
                    <w:keepNext w:val="0"/>
                    <w:keepLines w:val="0"/>
                    <w:suppressLineNumbers w:val="0"/>
                    <w:spacing w:before="0" w:beforeAutospacing="0" w:after="0" w:afterAutospacing="0" w:line="280" w:lineRule="exact"/>
                    <w:ind w:left="0" w:right="0"/>
                    <w:jc w:val="center"/>
                    <w:rPr>
                      <w:rFonts w:hint="eastAsia" w:eastAsia="宋体"/>
                      <w:color w:val="auto"/>
                      <w:highlight w:val="none"/>
                      <w:lang w:val="en-US" w:eastAsia="zh-CN"/>
                    </w:rPr>
                  </w:pPr>
                  <w:r>
                    <w:rPr>
                      <w:rFonts w:hint="eastAsia"/>
                      <w:color w:val="auto"/>
                      <w:highlight w:val="none"/>
                      <w:lang w:val="en-US" w:eastAsia="zh-CN"/>
                    </w:rPr>
                    <w:t>2</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04F5B706">
                  <w:pPr>
                    <w:keepNext w:val="0"/>
                    <w:keepLines w:val="0"/>
                    <w:suppressLineNumbers w:val="0"/>
                    <w:spacing w:before="0" w:beforeAutospacing="0" w:after="0" w:afterAutospacing="0" w:line="280" w:lineRule="exact"/>
                    <w:ind w:left="0" w:right="0"/>
                    <w:rPr>
                      <w:rFonts w:hint="eastAsia" w:ascii="宋体" w:hAnsi="宋体" w:eastAsia="宋体"/>
                      <w:color w:val="auto"/>
                      <w:highlight w:val="none"/>
                      <w:lang w:eastAsia="zh-CN"/>
                    </w:rPr>
                  </w:pPr>
                  <w:r>
                    <w:rPr>
                      <w:rFonts w:hint="eastAsia" w:ascii="宋体" w:hAnsi="宋体"/>
                      <w:color w:val="auto"/>
                      <w:highlight w:val="none"/>
                      <w:lang w:val="en-US" w:eastAsia="zh-CN"/>
                    </w:rPr>
                    <w:t>应付</w:t>
                  </w:r>
                  <w:r>
                    <w:rPr>
                      <w:rFonts w:hint="eastAsia" w:ascii="宋体" w:hAnsi="宋体"/>
                      <w:color w:val="auto"/>
                      <w:highlight w:val="none"/>
                      <w:lang w:eastAsia="zh-CN"/>
                    </w:rPr>
                    <w:t>预付款</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27E6A4C7">
                  <w:pPr>
                    <w:keepNext w:val="0"/>
                    <w:keepLines w:val="0"/>
                    <w:suppressLineNumbers w:val="0"/>
                    <w:spacing w:before="0" w:beforeAutospacing="0" w:after="0" w:afterAutospacing="0" w:line="280" w:lineRule="exact"/>
                    <w:ind w:left="0" w:right="0"/>
                    <w:jc w:val="center"/>
                    <w:rPr>
                      <w:rFonts w:hint="default" w:eastAsia="宋体"/>
                      <w:color w:val="auto"/>
                      <w:highlight w:val="none"/>
                      <w:lang w:val="en-US" w:eastAsia="zh-CN"/>
                    </w:rPr>
                  </w:pPr>
                  <w:r>
                    <w:rPr>
                      <w:rFonts w:hint="eastAsia"/>
                      <w:color w:val="auto"/>
                      <w:highlight w:val="none"/>
                      <w:lang w:val="en-US" w:eastAsia="zh-CN"/>
                    </w:rPr>
                    <w:t>1-(1.1+1.2+1.3)</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66E25CBB">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48F12A9F">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2C76520">
                  <w:pPr>
                    <w:keepNext w:val="0"/>
                    <w:keepLines w:val="0"/>
                    <w:suppressLineNumbers w:val="0"/>
                    <w:spacing w:before="0" w:beforeAutospacing="0" w:after="0" w:afterAutospacing="0" w:line="280" w:lineRule="exact"/>
                    <w:ind w:left="0" w:leftChars="0" w:right="0" w:rightChars="0"/>
                    <w:jc w:val="center"/>
                    <w:rPr>
                      <w:rFonts w:hint="default"/>
                      <w:color w:val="auto"/>
                      <w:highlight w:val="none"/>
                    </w:rPr>
                  </w:pPr>
                  <w:r>
                    <w:rPr>
                      <w:rFonts w:hint="eastAsia"/>
                      <w:color w:val="auto"/>
                      <w:highlight w:val="none"/>
                      <w:lang w:val="en-US" w:eastAsia="zh-CN"/>
                    </w:rPr>
                    <w:t>-</w:t>
                  </w:r>
                </w:p>
              </w:tc>
            </w:tr>
            <w:tr w14:paraId="452E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7FDEC95B">
                  <w:pPr>
                    <w:keepNext w:val="0"/>
                    <w:keepLines w:val="0"/>
                    <w:suppressLineNumbers w:val="0"/>
                    <w:spacing w:before="0" w:beforeAutospacing="0" w:after="0" w:afterAutospacing="0" w:line="280" w:lineRule="exact"/>
                    <w:ind w:left="0" w:leftChars="0" w:right="0" w:rightChars="0"/>
                    <w:jc w:val="center"/>
                    <w:rPr>
                      <w:rFonts w:hint="eastAsia" w:ascii="Calibri" w:hAnsi="Calibri" w:eastAsia="宋体"/>
                      <w:color w:val="auto"/>
                      <w:highlight w:val="none"/>
                      <w:lang w:val="en-US" w:eastAsia="zh-CN"/>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35AB9592">
                  <w:pPr>
                    <w:keepNext w:val="0"/>
                    <w:keepLines w:val="0"/>
                    <w:suppressLineNumbers w:val="0"/>
                    <w:spacing w:before="0" w:beforeAutospacing="0" w:after="0" w:afterAutospacing="0" w:line="280" w:lineRule="exact"/>
                    <w:ind w:left="0" w:leftChars="0" w:right="0" w:rightChars="0"/>
                    <w:rPr>
                      <w:rFonts w:hint="default" w:ascii="Calibri" w:hAnsi="Calibri"/>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6E8CB657">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4F94FECE">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08DD6C97">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124D35E2">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1BE8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2F11F88C">
                  <w:pPr>
                    <w:keepNext w:val="0"/>
                    <w:keepLines w:val="0"/>
                    <w:suppressLineNumbers w:val="0"/>
                    <w:spacing w:before="0" w:beforeAutospacing="0" w:after="0" w:afterAutospacing="0" w:line="280" w:lineRule="exact"/>
                    <w:ind w:left="0" w:leftChars="0" w:right="0" w:rightChars="0"/>
                    <w:jc w:val="center"/>
                    <w:rPr>
                      <w:rFonts w:hint="default" w:ascii="Calibri" w:hAnsi="Calibri"/>
                      <w:color w:val="auto"/>
                      <w:highlight w:val="none"/>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5CCAA5FC">
                  <w:pPr>
                    <w:keepNext w:val="0"/>
                    <w:keepLines w:val="0"/>
                    <w:suppressLineNumbers w:val="0"/>
                    <w:spacing w:before="0" w:beforeAutospacing="0" w:after="0" w:afterAutospacing="0" w:line="280" w:lineRule="exact"/>
                    <w:ind w:left="0" w:leftChars="0" w:right="0" w:rightChars="0"/>
                    <w:rPr>
                      <w:rFonts w:hint="default" w:ascii="Calibri" w:hAnsi="Calibri"/>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70E736BF">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20223F6B">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307F0071">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8FE3E7E">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5D7C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6FE3A178">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128B124E">
                  <w:pPr>
                    <w:keepNext w:val="0"/>
                    <w:keepLines w:val="0"/>
                    <w:suppressLineNumbers w:val="0"/>
                    <w:spacing w:before="0" w:beforeAutospacing="0" w:after="0" w:afterAutospacing="0" w:line="280" w:lineRule="exact"/>
                    <w:ind w:left="0" w:right="0"/>
                    <w:rPr>
                      <w:rFonts w:hint="default"/>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70AF0614">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344B046B">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7BBA7E92">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9BDD343">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797A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359ED7E1">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1DD272F6">
                  <w:pPr>
                    <w:keepNext w:val="0"/>
                    <w:keepLines w:val="0"/>
                    <w:suppressLineNumbers w:val="0"/>
                    <w:spacing w:before="0" w:beforeAutospacing="0" w:after="0" w:afterAutospacing="0" w:line="280" w:lineRule="exact"/>
                    <w:ind w:left="0" w:right="0"/>
                    <w:rPr>
                      <w:rFonts w:hint="default"/>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5C0B99C8">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004FB3EF">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334011A5">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682FD2EE">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55B0E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35A831B3">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05AE7F19">
                  <w:pPr>
                    <w:keepNext w:val="0"/>
                    <w:keepLines w:val="0"/>
                    <w:suppressLineNumbers w:val="0"/>
                    <w:spacing w:before="0" w:beforeAutospacing="0" w:after="0" w:afterAutospacing="0" w:line="280" w:lineRule="exact"/>
                    <w:ind w:left="0" w:right="0"/>
                    <w:rPr>
                      <w:rFonts w:hint="default"/>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1D5568BA">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47BC94A6">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7E9DE499">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0479B6DC">
                  <w:pPr>
                    <w:keepNext w:val="0"/>
                    <w:keepLines w:val="0"/>
                    <w:suppressLineNumbers w:val="0"/>
                    <w:spacing w:before="0" w:beforeAutospacing="0" w:after="0" w:afterAutospacing="0" w:line="280" w:lineRule="exact"/>
                    <w:ind w:left="0" w:right="0"/>
                    <w:jc w:val="center"/>
                    <w:rPr>
                      <w:rFonts w:hint="default"/>
                      <w:color w:val="auto"/>
                      <w:highlight w:val="none"/>
                    </w:rPr>
                  </w:pPr>
                </w:p>
              </w:tc>
            </w:tr>
            <w:tr w14:paraId="64F0A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44F70316">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7325C602">
                  <w:pPr>
                    <w:keepNext w:val="0"/>
                    <w:keepLines w:val="0"/>
                    <w:suppressLineNumbers w:val="0"/>
                    <w:spacing w:before="0" w:beforeAutospacing="0" w:after="0" w:afterAutospacing="0" w:line="280" w:lineRule="exact"/>
                    <w:ind w:left="0" w:right="0"/>
                    <w:rPr>
                      <w:rFonts w:hint="default"/>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6EC2E3CD">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28D4B243">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60BE9516">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0DD2DADA">
                  <w:pPr>
                    <w:keepNext w:val="0"/>
                    <w:keepLines w:val="0"/>
                    <w:suppressLineNumbers w:val="0"/>
                    <w:spacing w:before="0" w:beforeAutospacing="0" w:after="0" w:afterAutospacing="0" w:line="280" w:lineRule="exact"/>
                    <w:ind w:left="0" w:right="0"/>
                    <w:jc w:val="center"/>
                    <w:rPr>
                      <w:rFonts w:hint="default"/>
                      <w:color w:val="auto"/>
                      <w:highlight w:val="none"/>
                    </w:rPr>
                  </w:pPr>
                </w:p>
              </w:tc>
            </w:tr>
          </w:tbl>
          <w:p w14:paraId="5BFED8A3">
            <w:pPr>
              <w:keepNext w:val="0"/>
              <w:keepLines w:val="0"/>
              <w:suppressLineNumbers w:val="0"/>
              <w:wordWrap w:val="0"/>
              <w:spacing w:before="0" w:beforeAutospacing="0" w:after="0" w:afterAutospacing="0" w:line="400" w:lineRule="exact"/>
              <w:ind w:left="0" w:right="420"/>
              <w:rPr>
                <w:rFonts w:hint="default"/>
                <w:color w:val="auto"/>
                <w:highlight w:val="none"/>
              </w:rPr>
            </w:pPr>
            <w:r>
              <w:rPr>
                <w:rFonts w:hint="default"/>
                <w:color w:val="auto"/>
                <w:highlight w:val="none"/>
              </w:rPr>
              <w:t xml:space="preserve">          </w:t>
            </w:r>
          </w:p>
          <w:p w14:paraId="60F57632">
            <w:pPr>
              <w:keepNext w:val="0"/>
              <w:keepLines w:val="0"/>
              <w:suppressLineNumbers w:val="0"/>
              <w:wordWrap w:val="0"/>
              <w:spacing w:before="0" w:beforeAutospacing="0" w:after="0" w:afterAutospacing="0" w:line="400" w:lineRule="exact"/>
              <w:ind w:left="0" w:right="420"/>
              <w:rPr>
                <w:rFonts w:hint="default"/>
                <w:color w:val="auto"/>
                <w:highlight w:val="none"/>
              </w:rPr>
            </w:pPr>
          </w:p>
          <w:p w14:paraId="0DC95AE2">
            <w:pPr>
              <w:keepNext w:val="0"/>
              <w:keepLines w:val="0"/>
              <w:suppressLineNumbers w:val="0"/>
              <w:wordWrap w:val="0"/>
              <w:spacing w:before="0" w:beforeAutospacing="0" w:after="0" w:afterAutospacing="0" w:line="400" w:lineRule="exact"/>
              <w:ind w:left="0" w:right="420"/>
              <w:rPr>
                <w:rFonts w:hint="default"/>
                <w:color w:val="auto"/>
                <w:highlight w:val="none"/>
              </w:rPr>
            </w:pPr>
            <w:r>
              <w:rPr>
                <w:rFonts w:hint="default"/>
                <w:color w:val="auto"/>
                <w:highlight w:val="none"/>
              </w:rPr>
              <w:t xml:space="preserve">                                  </w:t>
            </w:r>
            <w:r>
              <w:rPr>
                <w:rFonts w:hint="eastAsia"/>
                <w:color w:val="auto"/>
                <w:highlight w:val="none"/>
              </w:rPr>
              <w:t xml:space="preserve">                  </w:t>
            </w:r>
            <w:r>
              <w:rPr>
                <w:rFonts w:hint="eastAsia" w:ascii="宋体" w:hAnsi="宋体"/>
                <w:color w:val="auto"/>
                <w:highlight w:val="none"/>
              </w:rPr>
              <w:t xml:space="preserve">承包人（章） </w:t>
            </w:r>
            <w:r>
              <w:rPr>
                <w:rFonts w:hint="default"/>
                <w:color w:val="auto"/>
                <w:highlight w:val="none"/>
              </w:rPr>
              <w:t xml:space="preserve">            </w:t>
            </w:r>
          </w:p>
          <w:p w14:paraId="17574A6F">
            <w:pPr>
              <w:keepNext w:val="0"/>
              <w:keepLines w:val="0"/>
              <w:suppressLineNumbers w:val="0"/>
              <w:spacing w:before="0" w:beforeAutospacing="0" w:after="0" w:afterAutospacing="0" w:line="400" w:lineRule="exact"/>
              <w:ind w:left="0" w:right="420" w:firstLine="435"/>
              <w:rPr>
                <w:rFonts w:hint="default"/>
                <w:color w:val="auto"/>
                <w:highlight w:val="none"/>
              </w:rPr>
            </w:pPr>
            <w:r>
              <w:rPr>
                <w:rFonts w:hint="eastAsia" w:ascii="宋体" w:hAnsi="宋体"/>
                <w:color w:val="auto"/>
                <w:highlight w:val="none"/>
              </w:rPr>
              <w:t>造价人员</w:t>
            </w:r>
            <w:r>
              <w:rPr>
                <w:rFonts w:hint="default"/>
                <w:color w:val="auto"/>
                <w:highlight w:val="none"/>
                <w:u w:val="single"/>
              </w:rPr>
              <w:t xml:space="preserve">               </w:t>
            </w:r>
            <w:r>
              <w:rPr>
                <w:rFonts w:hint="eastAsia" w:ascii="宋体" w:hAnsi="宋体"/>
                <w:color w:val="auto"/>
                <w:highlight w:val="none"/>
              </w:rPr>
              <w:t>承包人代表</w:t>
            </w:r>
            <w:r>
              <w:rPr>
                <w:rFonts w:hint="default"/>
                <w:color w:val="auto"/>
                <w:highlight w:val="none"/>
                <w:u w:val="singl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r w14:paraId="6B78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096" w:type="dxa"/>
            <w:tcBorders>
              <w:top w:val="single" w:color="auto" w:sz="4" w:space="0"/>
              <w:left w:val="single" w:color="auto" w:sz="4" w:space="0"/>
              <w:bottom w:val="single" w:color="auto" w:sz="4" w:space="0"/>
              <w:right w:val="single" w:color="auto" w:sz="4" w:space="0"/>
            </w:tcBorders>
            <w:noWrap w:val="0"/>
            <w:vAlign w:val="top"/>
          </w:tcPr>
          <w:p w14:paraId="33DCB8DF">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763CDAD6">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□与合同约定不相符</w:t>
            </w:r>
            <w:r>
              <w:rPr>
                <w:rFonts w:hint="eastAsia" w:ascii="宋体" w:hAnsi="宋体"/>
                <w:color w:val="auto"/>
                <w:highlight w:val="none"/>
                <w:lang w:eastAsia="zh-CN"/>
              </w:rPr>
              <w:t>，</w:t>
            </w:r>
            <w:r>
              <w:rPr>
                <w:rFonts w:hint="eastAsia" w:ascii="宋体" w:hAnsi="宋体"/>
                <w:color w:val="auto"/>
                <w:highlight w:val="none"/>
              </w:rPr>
              <w:t>修改意见见附件。</w:t>
            </w:r>
          </w:p>
          <w:p w14:paraId="16F111E3">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□与合同约定相符</w:t>
            </w:r>
            <w:r>
              <w:rPr>
                <w:rFonts w:hint="eastAsia" w:ascii="宋体" w:hAnsi="宋体"/>
                <w:color w:val="auto"/>
                <w:highlight w:val="none"/>
                <w:lang w:eastAsia="zh-CN"/>
              </w:rPr>
              <w:t>，</w:t>
            </w:r>
            <w:r>
              <w:rPr>
                <w:rFonts w:hint="eastAsia" w:ascii="宋体" w:hAnsi="宋体"/>
                <w:color w:val="auto"/>
                <w:highlight w:val="none"/>
              </w:rPr>
              <w:t>具体金额由造价工程师复核。</w:t>
            </w:r>
          </w:p>
          <w:p w14:paraId="7269801E">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监理工程师</w:t>
            </w:r>
            <w:r>
              <w:rPr>
                <w:rFonts w:hint="default"/>
                <w:color w:val="auto"/>
                <w:highlight w:val="none"/>
                <w:u w:val="single"/>
              </w:rPr>
              <w:t xml:space="preserve">           </w:t>
            </w:r>
          </w:p>
          <w:p w14:paraId="379D6B93">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c>
          <w:tcPr>
            <w:tcW w:w="4543" w:type="dxa"/>
            <w:tcBorders>
              <w:top w:val="single" w:color="auto" w:sz="4" w:space="0"/>
              <w:left w:val="single" w:color="auto" w:sz="4" w:space="0"/>
              <w:bottom w:val="single" w:color="auto" w:sz="4" w:space="0"/>
              <w:right w:val="single" w:color="auto" w:sz="4" w:space="0"/>
            </w:tcBorders>
            <w:noWrap w:val="0"/>
            <w:vAlign w:val="top"/>
          </w:tcPr>
          <w:p w14:paraId="2E82846D">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1A2DEFB9">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你方提出的支付申请经复核</w:t>
            </w:r>
            <w:r>
              <w:rPr>
                <w:rFonts w:hint="eastAsia" w:ascii="宋体" w:hAnsi="宋体"/>
                <w:color w:val="auto"/>
                <w:highlight w:val="none"/>
                <w:lang w:eastAsia="zh-CN"/>
              </w:rPr>
              <w:t>，</w:t>
            </w:r>
            <w:r>
              <w:rPr>
                <w:rFonts w:hint="eastAsia" w:ascii="宋体" w:hAnsi="宋体"/>
                <w:color w:val="auto"/>
                <w:highlight w:val="none"/>
              </w:rPr>
              <w:t>应支付预付款金额为</w:t>
            </w:r>
            <w:r>
              <w:rPr>
                <w:rFonts w:hint="eastAsia"/>
                <w:color w:val="auto"/>
                <w:highlight w:val="none"/>
                <w:lang w:eastAsia="zh-CN"/>
              </w:rPr>
              <w:t>（</w:t>
            </w:r>
            <w:r>
              <w:rPr>
                <w:rFonts w:hint="eastAsia" w:ascii="宋体" w:hAnsi="宋体"/>
                <w:color w:val="auto"/>
                <w:highlight w:val="none"/>
              </w:rPr>
              <w:t>大写</w:t>
            </w:r>
            <w:r>
              <w:rPr>
                <w:rFonts w:hint="eastAsia"/>
                <w:color w:val="auto"/>
                <w:highlight w:val="none"/>
                <w:lang w:eastAsia="zh-CN"/>
              </w:rPr>
              <w:t>）</w:t>
            </w:r>
            <w:r>
              <w:rPr>
                <w:rFonts w:hint="default"/>
                <w:color w:val="auto"/>
                <w:highlight w:val="none"/>
                <w:u w:val="single"/>
              </w:rPr>
              <w:t xml:space="preserve">         </w:t>
            </w:r>
            <w:r>
              <w:rPr>
                <w:rFonts w:hint="eastAsia"/>
                <w:color w:val="auto"/>
                <w:highlight w:val="none"/>
                <w:u w:val="single"/>
              </w:rPr>
              <w:t xml:space="preserve">          </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（小写）</w:t>
            </w:r>
            <w:r>
              <w:rPr>
                <w:rFonts w:hint="default"/>
                <w:color w:val="auto"/>
                <w:highlight w:val="none"/>
                <w:u w:val="single"/>
              </w:rPr>
              <w:t xml:space="preserve">   </w:t>
            </w:r>
            <w:r>
              <w:rPr>
                <w:rFonts w:hint="eastAsia"/>
                <w:color w:val="auto"/>
                <w:highlight w:val="none"/>
                <w:u w:val="single"/>
              </w:rPr>
              <w:t xml:space="preserve">   </w:t>
            </w:r>
            <w:r>
              <w:rPr>
                <w:rFonts w:hint="default"/>
                <w:color w:val="auto"/>
                <w:highlight w:val="none"/>
                <w:u w:val="single"/>
              </w:rPr>
              <w:t xml:space="preserve">       </w:t>
            </w:r>
            <w:r>
              <w:rPr>
                <w:rFonts w:hint="default"/>
                <w:color w:val="auto"/>
                <w:highlight w:val="none"/>
              </w:rPr>
              <w:t xml:space="preserve"> </w:t>
            </w:r>
            <w:r>
              <w:rPr>
                <w:rFonts w:hint="eastAsia" w:ascii="宋体" w:hAnsi="宋体"/>
                <w:color w:val="auto"/>
                <w:highlight w:val="none"/>
              </w:rPr>
              <w:t>元。</w:t>
            </w:r>
          </w:p>
          <w:p w14:paraId="4C5FDF0A">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造价工程师</w:t>
            </w:r>
            <w:r>
              <w:rPr>
                <w:rFonts w:hint="default"/>
                <w:color w:val="auto"/>
                <w:highlight w:val="none"/>
                <w:u w:val="single"/>
              </w:rPr>
              <w:t xml:space="preserve">           </w:t>
            </w:r>
          </w:p>
          <w:p w14:paraId="5B3DE631">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r w14:paraId="32FDC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9639" w:type="dxa"/>
            <w:gridSpan w:val="2"/>
            <w:tcBorders>
              <w:top w:val="single" w:color="auto" w:sz="4" w:space="0"/>
              <w:left w:val="single" w:color="auto" w:sz="4" w:space="0"/>
              <w:bottom w:val="single" w:color="auto" w:sz="4" w:space="0"/>
              <w:right w:val="single" w:color="auto" w:sz="4" w:space="0"/>
            </w:tcBorders>
            <w:noWrap w:val="0"/>
            <w:vAlign w:val="top"/>
          </w:tcPr>
          <w:p w14:paraId="68B48FBA">
            <w:pPr>
              <w:keepNext w:val="0"/>
              <w:keepLines w:val="0"/>
              <w:suppressLineNumbers w:val="0"/>
              <w:spacing w:before="0" w:beforeAutospacing="0" w:after="0" w:afterAutospacing="0"/>
              <w:ind w:left="0" w:right="0"/>
              <w:rPr>
                <w:rFonts w:hint="default"/>
                <w:color w:val="auto"/>
                <w:highlight w:val="none"/>
              </w:rPr>
            </w:pPr>
            <w:r>
              <w:rPr>
                <w:rFonts w:hint="eastAsia" w:ascii="宋体" w:hAnsi="宋体"/>
                <w:color w:val="auto"/>
                <w:highlight w:val="none"/>
              </w:rPr>
              <w:t>审核意见：</w:t>
            </w:r>
          </w:p>
          <w:p w14:paraId="6F60C316">
            <w:pPr>
              <w:keepNext w:val="0"/>
              <w:keepLines w:val="0"/>
              <w:suppressLineNumbers w:val="0"/>
              <w:spacing w:before="0" w:beforeAutospacing="0" w:after="0" w:afterAutospacing="0"/>
              <w:ind w:left="0" w:right="0" w:firstLine="435"/>
              <w:rPr>
                <w:rFonts w:hint="default"/>
                <w:color w:val="auto"/>
                <w:highlight w:val="none"/>
              </w:rPr>
            </w:pPr>
            <w:r>
              <w:rPr>
                <w:rFonts w:hint="eastAsia" w:ascii="宋体" w:hAnsi="宋体"/>
                <w:color w:val="auto"/>
                <w:highlight w:val="none"/>
              </w:rPr>
              <w:t>□不同意。</w:t>
            </w:r>
          </w:p>
          <w:p w14:paraId="599F1270">
            <w:pPr>
              <w:keepNext w:val="0"/>
              <w:keepLines w:val="0"/>
              <w:suppressLineNumbers w:val="0"/>
              <w:spacing w:before="0" w:beforeAutospacing="0" w:after="0" w:afterAutospacing="0"/>
              <w:ind w:left="0" w:right="0" w:firstLine="420" w:firstLineChars="200"/>
              <w:rPr>
                <w:rFonts w:hint="default"/>
                <w:color w:val="auto"/>
                <w:highlight w:val="none"/>
              </w:rPr>
            </w:pPr>
            <w:r>
              <w:rPr>
                <w:rFonts w:hint="eastAsia" w:ascii="宋体" w:hAnsi="宋体"/>
                <w:color w:val="auto"/>
                <w:highlight w:val="none"/>
              </w:rPr>
              <w:t>□同意</w:t>
            </w:r>
            <w:r>
              <w:rPr>
                <w:rFonts w:hint="eastAsia" w:ascii="宋体" w:hAnsi="宋体"/>
                <w:color w:val="auto"/>
                <w:highlight w:val="none"/>
                <w:lang w:eastAsia="zh-CN"/>
              </w:rPr>
              <w:t>，</w:t>
            </w:r>
            <w:r>
              <w:rPr>
                <w:rFonts w:hint="eastAsia" w:ascii="宋体" w:hAnsi="宋体"/>
                <w:color w:val="auto"/>
                <w:highlight w:val="none"/>
              </w:rPr>
              <w:t>支付时间为本表签发后的</w:t>
            </w:r>
            <w:r>
              <w:rPr>
                <w:rFonts w:hint="eastAsia"/>
                <w:color w:val="auto"/>
                <w:highlight w:val="none"/>
              </w:rPr>
              <w:t>15</w:t>
            </w:r>
            <w:r>
              <w:rPr>
                <w:rFonts w:hint="eastAsia" w:ascii="宋体" w:hAnsi="宋体"/>
                <w:color w:val="auto"/>
                <w:highlight w:val="none"/>
              </w:rPr>
              <w:t>天内。</w:t>
            </w:r>
          </w:p>
          <w:p w14:paraId="63B3C6A1">
            <w:pPr>
              <w:keepNext w:val="0"/>
              <w:keepLines w:val="0"/>
              <w:suppressLineNumbers w:val="0"/>
              <w:spacing w:before="0" w:beforeAutospacing="0" w:after="0" w:afterAutospacing="0"/>
              <w:ind w:left="0" w:right="735" w:firstLine="6195" w:firstLineChars="2950"/>
              <w:rPr>
                <w:rFonts w:hint="default"/>
                <w:color w:val="auto"/>
                <w:highlight w:val="none"/>
              </w:rPr>
            </w:pPr>
            <w:r>
              <w:rPr>
                <w:rFonts w:hint="eastAsia" w:ascii="宋体" w:hAnsi="宋体"/>
                <w:color w:val="auto"/>
                <w:highlight w:val="none"/>
              </w:rPr>
              <w:t xml:space="preserve">发包人（章） </w:t>
            </w:r>
            <w:r>
              <w:rPr>
                <w:rFonts w:hint="default"/>
                <w:color w:val="auto"/>
                <w:highlight w:val="none"/>
              </w:rPr>
              <w:t xml:space="preserve">          </w:t>
            </w:r>
          </w:p>
          <w:p w14:paraId="408C816B">
            <w:pPr>
              <w:keepNext w:val="0"/>
              <w:keepLines w:val="0"/>
              <w:suppressLineNumbers w:val="0"/>
              <w:spacing w:before="0" w:beforeAutospacing="0" w:after="0" w:afterAutospacing="0"/>
              <w:ind w:left="0" w:right="420" w:firstLine="6195" w:firstLineChars="2950"/>
              <w:rPr>
                <w:rFonts w:hint="default"/>
                <w:color w:val="auto"/>
                <w:highlight w:val="none"/>
                <w:u w:val="single"/>
              </w:rPr>
            </w:pPr>
            <w:r>
              <w:rPr>
                <w:rFonts w:hint="eastAsia" w:ascii="宋体" w:hAnsi="宋体"/>
                <w:color w:val="auto"/>
                <w:highlight w:val="none"/>
              </w:rPr>
              <w:t>发包人代表</w:t>
            </w:r>
            <w:r>
              <w:rPr>
                <w:rFonts w:hint="default"/>
                <w:color w:val="auto"/>
                <w:highlight w:val="none"/>
                <w:u w:val="single"/>
              </w:rPr>
              <w:t xml:space="preserve">             </w:t>
            </w:r>
          </w:p>
          <w:p w14:paraId="66203A55">
            <w:pPr>
              <w:keepNext w:val="0"/>
              <w:keepLines w:val="0"/>
              <w:suppressLineNumbers w:val="0"/>
              <w:spacing w:before="0" w:beforeAutospacing="0" w:after="0" w:afterAutospacing="0"/>
              <w:ind w:left="0" w:right="420" w:firstLine="6195" w:firstLineChars="2950"/>
              <w:rPr>
                <w:rFonts w:hint="default"/>
                <w:color w:val="auto"/>
                <w:highlight w:val="none"/>
                <w:u w:val="single"/>
              </w:rPr>
            </w:pP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bl>
    <w:p w14:paraId="512164BB">
      <w:pPr>
        <w:ind w:firstLine="360" w:firstLineChars="200"/>
        <w:rPr>
          <w:rFonts w:ascii="宋体" w:hAnsi="宋体"/>
          <w:color w:val="auto"/>
          <w:sz w:val="18"/>
          <w:szCs w:val="18"/>
          <w:highlight w:val="none"/>
        </w:rPr>
      </w:pPr>
      <w:r>
        <w:rPr>
          <w:rFonts w:hint="eastAsia" w:ascii="宋体" w:hAnsi="宋体"/>
          <w:color w:val="auto"/>
          <w:sz w:val="18"/>
          <w:szCs w:val="18"/>
          <w:highlight w:val="none"/>
        </w:rPr>
        <w:t>注：1.在选择栏中的</w:t>
      </w:r>
      <w:r>
        <w:rPr>
          <w:rFonts w:hint="eastAsia" w:ascii="宋体" w:hAnsi="宋体"/>
          <w:color w:val="auto"/>
          <w:sz w:val="18"/>
          <w:szCs w:val="18"/>
          <w:highlight w:val="none"/>
          <w:lang w:eastAsia="zh-CN"/>
        </w:rPr>
        <w:t>“</w:t>
      </w:r>
      <w:r>
        <w:rPr>
          <w:rFonts w:hint="eastAsia" w:ascii="宋体" w:hAnsi="宋体"/>
          <w:color w:val="auto"/>
          <w:sz w:val="18"/>
          <w:szCs w:val="18"/>
          <w:highlight w:val="none"/>
        </w:rPr>
        <w:t>□</w:t>
      </w:r>
      <w:r>
        <w:rPr>
          <w:rFonts w:hint="eastAsia" w:ascii="宋体" w:hAnsi="宋体"/>
          <w:color w:val="auto"/>
          <w:sz w:val="18"/>
          <w:szCs w:val="18"/>
          <w:highlight w:val="none"/>
          <w:lang w:eastAsia="zh-CN"/>
        </w:rPr>
        <w:t>”</w:t>
      </w:r>
      <w:r>
        <w:rPr>
          <w:rFonts w:hint="eastAsia" w:ascii="宋体" w:hAnsi="宋体"/>
          <w:color w:val="auto"/>
          <w:sz w:val="18"/>
          <w:szCs w:val="18"/>
          <w:highlight w:val="none"/>
        </w:rPr>
        <w:t>内作标识</w:t>
      </w:r>
      <w:r>
        <w:rPr>
          <w:rFonts w:hint="eastAsia" w:ascii="宋体" w:hAnsi="宋体"/>
          <w:color w:val="auto"/>
          <w:sz w:val="18"/>
          <w:szCs w:val="18"/>
          <w:highlight w:val="none"/>
          <w:lang w:eastAsia="zh-CN"/>
        </w:rPr>
        <w:t>“</w:t>
      </w:r>
      <w:r>
        <w:rPr>
          <w:rFonts w:hint="eastAsia" w:ascii="宋体" w:hAnsi="宋体"/>
          <w:color w:val="auto"/>
          <w:sz w:val="18"/>
          <w:szCs w:val="18"/>
          <w:highlight w:val="none"/>
        </w:rPr>
        <w:t>√</w:t>
      </w:r>
      <w:r>
        <w:rPr>
          <w:rFonts w:hint="eastAsia" w:ascii="宋体" w:hAnsi="宋体"/>
          <w:color w:val="auto"/>
          <w:sz w:val="18"/>
          <w:szCs w:val="18"/>
          <w:highlight w:val="none"/>
          <w:lang w:eastAsia="zh-CN"/>
        </w:rPr>
        <w:t>”</w:t>
      </w:r>
      <w:r>
        <w:rPr>
          <w:rFonts w:hint="eastAsia" w:ascii="宋体" w:hAnsi="宋体"/>
          <w:color w:val="auto"/>
          <w:sz w:val="18"/>
          <w:szCs w:val="18"/>
          <w:highlight w:val="none"/>
        </w:rPr>
        <w:t xml:space="preserve">。 </w:t>
      </w:r>
    </w:p>
    <w:p w14:paraId="439661FD">
      <w:pPr>
        <w:ind w:left="720" w:hanging="720" w:hangingChars="400"/>
        <w:rPr>
          <w:rFonts w:ascii="宋体" w:hAnsi="宋体"/>
          <w:color w:val="auto"/>
          <w:sz w:val="18"/>
          <w:szCs w:val="18"/>
          <w:highlight w:val="none"/>
        </w:rPr>
      </w:pPr>
      <w:r>
        <w:rPr>
          <w:rFonts w:hint="eastAsia" w:ascii="宋体" w:hAnsi="宋体"/>
          <w:color w:val="auto"/>
          <w:sz w:val="18"/>
          <w:szCs w:val="18"/>
          <w:highlight w:val="none"/>
        </w:rPr>
        <w:t xml:space="preserve">    </w:t>
      </w:r>
      <w:r>
        <w:rPr>
          <w:rFonts w:ascii="宋体" w:hAnsi="宋体"/>
          <w:color w:val="auto"/>
          <w:sz w:val="18"/>
          <w:szCs w:val="18"/>
          <w:highlight w:val="none"/>
        </w:rPr>
        <w:t xml:space="preserve">  </w:t>
      </w:r>
      <w:r>
        <w:rPr>
          <w:rFonts w:hint="eastAsia" w:ascii="宋体" w:hAnsi="宋体"/>
          <w:color w:val="auto"/>
          <w:sz w:val="18"/>
          <w:szCs w:val="18"/>
          <w:highlight w:val="none"/>
        </w:rPr>
        <w:t xml:space="preserve">  2.本表一式四份</w:t>
      </w:r>
      <w:r>
        <w:rPr>
          <w:rFonts w:hint="eastAsia" w:ascii="宋体" w:hAnsi="宋体"/>
          <w:color w:val="auto"/>
          <w:sz w:val="18"/>
          <w:szCs w:val="18"/>
          <w:highlight w:val="none"/>
          <w:lang w:eastAsia="zh-CN"/>
        </w:rPr>
        <w:t>，</w:t>
      </w:r>
      <w:r>
        <w:rPr>
          <w:rFonts w:hint="eastAsia" w:ascii="宋体" w:hAnsi="宋体"/>
          <w:color w:val="auto"/>
          <w:sz w:val="18"/>
          <w:szCs w:val="18"/>
          <w:highlight w:val="none"/>
        </w:rPr>
        <w:t>由承包人填报</w:t>
      </w:r>
      <w:r>
        <w:rPr>
          <w:rFonts w:hint="eastAsia" w:ascii="宋体" w:hAnsi="宋体"/>
          <w:color w:val="auto"/>
          <w:sz w:val="18"/>
          <w:szCs w:val="18"/>
          <w:highlight w:val="none"/>
          <w:lang w:eastAsia="zh-CN"/>
        </w:rPr>
        <w:t>，</w:t>
      </w:r>
      <w:r>
        <w:rPr>
          <w:rFonts w:hint="eastAsia" w:ascii="宋体" w:hAnsi="宋体"/>
          <w:color w:val="auto"/>
          <w:sz w:val="18"/>
          <w:szCs w:val="18"/>
          <w:highlight w:val="none"/>
        </w:rPr>
        <w:t>发包人、监理人、工程造价咨询人、承包人各存一份。</w:t>
      </w:r>
    </w:p>
    <w:p w14:paraId="0AB275C5">
      <w:pPr>
        <w:spacing w:before="0" w:beforeLines="-2147483648"/>
        <w:ind w:left="714" w:leftChars="340" w:firstLine="0" w:firstLineChars="0"/>
        <w:rPr>
          <w:rFonts w:hint="eastAsia" w:ascii="宋体" w:hAnsi="宋体" w:eastAsia="宋体"/>
          <w:color w:val="auto"/>
          <w:sz w:val="18"/>
          <w:szCs w:val="18"/>
          <w:highlight w:val="none"/>
        </w:rPr>
      </w:pPr>
      <w:r>
        <w:rPr>
          <w:rFonts w:hint="eastAsia" w:ascii="宋体" w:hAnsi="宋体" w:eastAsia="宋体"/>
          <w:color w:val="auto"/>
          <w:sz w:val="18"/>
          <w:szCs w:val="18"/>
          <w:highlight w:val="none"/>
        </w:rPr>
        <w:t>3.应付预付款计算基数=签约合同价款-暂列金额-专业工程暂估价-安全生产费</w:t>
      </w:r>
      <w:r>
        <w:rPr>
          <w:rFonts w:hint="eastAsia" w:ascii="宋体" w:hAnsi="宋体" w:eastAsia="宋体"/>
          <w:color w:val="auto"/>
          <w:sz w:val="18"/>
          <w:szCs w:val="18"/>
          <w:highlight w:val="none"/>
          <w:lang w:eastAsia="zh-CN"/>
        </w:rPr>
        <w:t>。</w:t>
      </w:r>
    </w:p>
    <w:p w14:paraId="02C572C4">
      <w:pPr>
        <w:spacing w:before="120" w:beforeLines="50"/>
        <w:ind w:left="1200" w:hanging="1200" w:hangingChars="400"/>
        <w:rPr>
          <w:rFonts w:hint="eastAsia" w:eastAsia="仿宋_GB2312"/>
          <w:color w:val="auto"/>
          <w:sz w:val="30"/>
          <w:szCs w:val="30"/>
          <w:highlight w:val="none"/>
        </w:rPr>
      </w:pPr>
    </w:p>
    <w:p w14:paraId="3F2BA87D">
      <w:pPr>
        <w:pStyle w:val="40"/>
        <w:rPr>
          <w:rFonts w:hint="eastAsia" w:eastAsia="仿宋_GB2312"/>
          <w:color w:val="auto"/>
          <w:sz w:val="30"/>
          <w:szCs w:val="30"/>
          <w:highlight w:val="none"/>
        </w:rPr>
      </w:pPr>
    </w:p>
    <w:p w14:paraId="150524E1">
      <w:pPr>
        <w:pStyle w:val="40"/>
        <w:rPr>
          <w:rFonts w:hint="eastAsia" w:eastAsia="仿宋_GB2312"/>
          <w:color w:val="auto"/>
          <w:sz w:val="30"/>
          <w:szCs w:val="30"/>
          <w:highlight w:val="none"/>
        </w:rPr>
      </w:pPr>
    </w:p>
    <w:p w14:paraId="60998F6F">
      <w:pPr>
        <w:spacing w:before="120" w:beforeLines="50" w:after="120" w:afterLines="50" w:line="440" w:lineRule="exact"/>
        <w:jc w:val="left"/>
        <w:rPr>
          <w:rFonts w:hint="eastAsia" w:ascii="仿宋_GB2312" w:eastAsia="仿宋_GB2312" w:cs="仿宋_GB2312"/>
          <w:color w:val="auto"/>
          <w:sz w:val="30"/>
          <w:szCs w:val="30"/>
          <w:highlight w:val="none"/>
        </w:rPr>
      </w:pPr>
      <w:r>
        <w:rPr>
          <w:rFonts w:hint="eastAsia" w:ascii="仿宋_GB2312" w:eastAsia="仿宋_GB2312" w:cs="仿宋_GB2312"/>
          <w:color w:val="auto"/>
          <w:sz w:val="30"/>
          <w:szCs w:val="30"/>
          <w:highlight w:val="none"/>
        </w:rPr>
        <w:t>附件11：进度款支付申请（核准）表</w:t>
      </w:r>
    </w:p>
    <w:p w14:paraId="0E5387F6">
      <w:pPr>
        <w:jc w:val="center"/>
        <w:rPr>
          <w:rFonts w:hint="default" w:ascii="Times New Roman" w:hAnsi="Times New Roman" w:cs="Times New Roman"/>
          <w:b/>
          <w:color w:val="auto"/>
          <w:sz w:val="36"/>
          <w:szCs w:val="36"/>
          <w:highlight w:val="none"/>
        </w:rPr>
      </w:pPr>
      <w:r>
        <w:rPr>
          <w:rFonts w:hint="default" w:ascii="Times New Roman" w:hAnsi="Times New Roman" w:cs="Times New Roman"/>
          <w:b/>
          <w:color w:val="auto"/>
          <w:sz w:val="36"/>
          <w:szCs w:val="36"/>
          <w:highlight w:val="none"/>
        </w:rPr>
        <w:t>进度款支付申请（核准）表</w:t>
      </w:r>
    </w:p>
    <w:p w14:paraId="5E95FCF1">
      <w:pPr>
        <w:rPr>
          <w:color w:val="auto"/>
          <w:sz w:val="24"/>
          <w:szCs w:val="24"/>
          <w:highlight w:val="none"/>
        </w:rPr>
      </w:pPr>
      <w:r>
        <w:rPr>
          <w:rFonts w:hint="eastAsia" w:ascii="宋体" w:hAnsi="宋体"/>
          <w:color w:val="auto"/>
          <w:sz w:val="24"/>
          <w:szCs w:val="24"/>
          <w:highlight w:val="none"/>
        </w:rPr>
        <w:t xml:space="preserve">工程名称：                                      </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编号：</w:t>
      </w:r>
    </w:p>
    <w:tbl>
      <w:tblPr>
        <w:tblStyle w:val="41"/>
        <w:tblW w:w="9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9"/>
        <w:gridCol w:w="4552"/>
      </w:tblGrid>
      <w:tr w14:paraId="79506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511" w:type="dxa"/>
            <w:gridSpan w:val="2"/>
            <w:tcBorders>
              <w:top w:val="single" w:color="auto" w:sz="4" w:space="0"/>
              <w:left w:val="single" w:color="auto" w:sz="4" w:space="0"/>
              <w:bottom w:val="single" w:color="auto" w:sz="4" w:space="0"/>
              <w:right w:val="single" w:color="auto" w:sz="4" w:space="0"/>
            </w:tcBorders>
            <w:noWrap w:val="0"/>
            <w:vAlign w:val="top"/>
          </w:tcPr>
          <w:p w14:paraId="74F2ED41">
            <w:pPr>
              <w:keepNext w:val="0"/>
              <w:keepLines w:val="0"/>
              <w:suppressLineNumbers w:val="0"/>
              <w:spacing w:before="0" w:beforeAutospacing="0" w:after="0" w:afterAutospacing="0" w:line="480" w:lineRule="exact"/>
              <w:ind w:left="525" w:leftChars="149" w:right="0" w:hanging="212" w:hangingChars="101"/>
              <w:rPr>
                <w:rFonts w:hint="default" w:ascii="Times New Roman" w:hAnsi="Times New Roman" w:eastAsia="宋体" w:cs="Times New Roman"/>
                <w:color w:val="auto"/>
                <w:highlight w:val="none"/>
                <w:u w:val="single"/>
              </w:rPr>
            </w:pPr>
            <w:r>
              <w:rPr>
                <w:rFonts w:hint="eastAsia" w:ascii="宋体" w:hAnsi="宋体" w:eastAsia="宋体" w:cs="Times New Roman"/>
                <w:color w:val="auto"/>
                <w:highlight w:val="none"/>
              </w:rPr>
              <w:t>致：</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u w:val="single"/>
              </w:rPr>
              <w:t>（发包人全称）</w:t>
            </w:r>
          </w:p>
          <w:p w14:paraId="61786440">
            <w:pPr>
              <w:keepNext w:val="0"/>
              <w:keepLines w:val="0"/>
              <w:suppressLineNumbers w:val="0"/>
              <w:spacing w:before="0" w:beforeAutospacing="0" w:after="0" w:afterAutospacing="0" w:line="400" w:lineRule="exact"/>
              <w:ind w:left="-4" w:leftChars="-2" w:right="0" w:firstLine="315" w:firstLineChars="150"/>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我方于</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至</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期间已完成了</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工作，根据施工合同的约定，现申请支付本期的进度款额为</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大写</w:t>
            </w:r>
            <w:r>
              <w:rPr>
                <w:rFonts w:hint="eastAsia" w:ascii="宋体" w:hAnsi="宋体" w:cs="Times New Roman"/>
                <w:color w:val="auto"/>
                <w:highlight w:val="none"/>
                <w:lang w:eastAsia="zh-CN"/>
              </w:rPr>
              <w:t>）</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小写</w:t>
            </w:r>
            <w:r>
              <w:rPr>
                <w:rFonts w:hint="eastAsia" w:ascii="宋体" w:hAnsi="宋体" w:cs="Times New Roman"/>
                <w:color w:val="auto"/>
                <w:highlight w:val="none"/>
                <w:lang w:eastAsia="zh-CN"/>
              </w:rPr>
              <w:t>）</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元，请予核准。</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38"/>
              <w:gridCol w:w="4656"/>
              <w:gridCol w:w="1328"/>
              <w:gridCol w:w="1291"/>
              <w:gridCol w:w="572"/>
            </w:tblGrid>
            <w:tr w14:paraId="0BB45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99" w:type="dxa"/>
                  <w:tcBorders>
                    <w:top w:val="single" w:color="auto" w:sz="4" w:space="0"/>
                    <w:left w:val="single" w:color="auto" w:sz="4" w:space="0"/>
                    <w:bottom w:val="single" w:color="auto" w:sz="4" w:space="0"/>
                    <w:right w:val="single" w:color="auto" w:sz="4" w:space="0"/>
                  </w:tcBorders>
                  <w:noWrap w:val="0"/>
                  <w:vAlign w:val="center"/>
                </w:tcPr>
                <w:p w14:paraId="35343A20">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序号</w:t>
                  </w:r>
                </w:p>
              </w:tc>
              <w:tc>
                <w:tcPr>
                  <w:tcW w:w="5394" w:type="dxa"/>
                  <w:gridSpan w:val="2"/>
                  <w:tcBorders>
                    <w:top w:val="single" w:color="auto" w:sz="4" w:space="0"/>
                    <w:left w:val="single" w:color="auto" w:sz="4" w:space="0"/>
                    <w:bottom w:val="single" w:color="auto" w:sz="4" w:space="0"/>
                    <w:right w:val="single" w:color="auto" w:sz="4" w:space="0"/>
                  </w:tcBorders>
                  <w:noWrap w:val="0"/>
                  <w:vAlign w:val="center"/>
                </w:tcPr>
                <w:p w14:paraId="588B3514">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 xml:space="preserve">名 </w:t>
                  </w:r>
                  <w:r>
                    <w:rPr>
                      <w:rFonts w:hint="default"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称</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251E359F">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18"/>
                      <w:szCs w:val="18"/>
                      <w:highlight w:val="none"/>
                    </w:rPr>
                  </w:pPr>
                  <w:r>
                    <w:rPr>
                      <w:rFonts w:hint="eastAsia" w:ascii="宋体" w:hAnsi="宋体" w:eastAsia="宋体" w:cs="Times New Roman"/>
                      <w:color w:val="auto"/>
                      <w:sz w:val="18"/>
                      <w:szCs w:val="18"/>
                      <w:highlight w:val="none"/>
                    </w:rPr>
                    <w:t>申请金额（元）</w:t>
                  </w:r>
                </w:p>
              </w:tc>
              <w:tc>
                <w:tcPr>
                  <w:tcW w:w="1291" w:type="dxa"/>
                  <w:tcBorders>
                    <w:top w:val="single" w:color="auto" w:sz="4" w:space="0"/>
                    <w:left w:val="single" w:color="auto" w:sz="4" w:space="0"/>
                    <w:bottom w:val="single" w:color="auto" w:sz="4" w:space="0"/>
                    <w:right w:val="single" w:color="auto" w:sz="4" w:space="0"/>
                  </w:tcBorders>
                  <w:noWrap w:val="0"/>
                  <w:vAlign w:val="center"/>
                </w:tcPr>
                <w:p w14:paraId="1E48B974">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18"/>
                      <w:szCs w:val="18"/>
                      <w:highlight w:val="none"/>
                    </w:rPr>
                  </w:pPr>
                  <w:r>
                    <w:rPr>
                      <w:rFonts w:hint="eastAsia" w:ascii="宋体" w:hAnsi="宋体" w:eastAsia="宋体" w:cs="Times New Roman"/>
                      <w:color w:val="auto"/>
                      <w:sz w:val="18"/>
                      <w:szCs w:val="18"/>
                      <w:highlight w:val="none"/>
                    </w:rPr>
                    <w:t>核定金额（元）</w:t>
                  </w:r>
                </w:p>
              </w:tc>
              <w:tc>
                <w:tcPr>
                  <w:tcW w:w="572" w:type="dxa"/>
                  <w:tcBorders>
                    <w:top w:val="single" w:color="auto" w:sz="4" w:space="0"/>
                    <w:left w:val="single" w:color="auto" w:sz="4" w:space="0"/>
                    <w:bottom w:val="single" w:color="auto" w:sz="4" w:space="0"/>
                    <w:right w:val="single" w:color="auto" w:sz="4" w:space="0"/>
                  </w:tcBorders>
                  <w:noWrap w:val="0"/>
                  <w:vAlign w:val="center"/>
                </w:tcPr>
                <w:p w14:paraId="3464AA87">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 w:val="18"/>
                      <w:szCs w:val="18"/>
                      <w:highlight w:val="none"/>
                    </w:rPr>
                  </w:pPr>
                  <w:r>
                    <w:rPr>
                      <w:rFonts w:hint="eastAsia" w:ascii="宋体" w:hAnsi="宋体" w:eastAsia="宋体" w:cs="Times New Roman"/>
                      <w:color w:val="auto"/>
                      <w:sz w:val="18"/>
                      <w:szCs w:val="18"/>
                      <w:highlight w:val="none"/>
                    </w:rPr>
                    <w:t>备注</w:t>
                  </w:r>
                </w:p>
              </w:tc>
            </w:tr>
            <w:tr w14:paraId="596D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99" w:type="dxa"/>
                  <w:tcBorders>
                    <w:top w:val="single" w:color="auto" w:sz="4" w:space="0"/>
                    <w:left w:val="single" w:color="auto" w:sz="4" w:space="0"/>
                    <w:bottom w:val="single" w:color="auto" w:sz="4" w:space="0"/>
                    <w:right w:val="single" w:color="auto" w:sz="4" w:space="0"/>
                  </w:tcBorders>
                  <w:noWrap w:val="0"/>
                  <w:vAlign w:val="top"/>
                </w:tcPr>
                <w:p w14:paraId="7BACA8D0">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1</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1CE78CFD">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r>
                    <w:rPr>
                      <w:rFonts w:hint="eastAsia" w:ascii="宋体" w:hAnsi="宋体" w:eastAsia="宋体" w:cs="Times New Roman"/>
                      <w:color w:val="auto"/>
                      <w:highlight w:val="none"/>
                    </w:rPr>
                    <w:t>累计已完成的工程价款（不含本期）</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546BE9F7">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36CE6DAB">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6D9C062D">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79BE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77D84516">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2</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267E13B3">
                  <w:pPr>
                    <w:keepNext w:val="0"/>
                    <w:keepLines w:val="0"/>
                    <w:suppressLineNumbers w:val="0"/>
                    <w:spacing w:before="0" w:beforeAutospacing="0" w:after="0" w:afterAutospacing="0" w:line="280" w:lineRule="exact"/>
                    <w:ind w:left="0" w:right="0"/>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累计已实际支付的工程价款</w:t>
                  </w:r>
                  <w:r>
                    <w:rPr>
                      <w:rFonts w:hint="eastAsia" w:ascii="宋体" w:hAnsi="宋体" w:cs="Times New Roman"/>
                      <w:color w:val="auto"/>
                      <w:highlight w:val="none"/>
                      <w:lang w:eastAsia="zh-CN"/>
                    </w:rPr>
                    <w:t>（含预付款）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652742DD">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1624CBBC">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7EEA5972">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54E8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1C3761CF">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2.1</w:t>
                  </w:r>
                </w:p>
              </w:tc>
              <w:tc>
                <w:tcPr>
                  <w:tcW w:w="738" w:type="dxa"/>
                  <w:tcBorders>
                    <w:top w:val="nil"/>
                    <w:left w:val="single" w:color="auto" w:sz="4" w:space="0"/>
                    <w:bottom w:val="single" w:color="auto" w:sz="4" w:space="0"/>
                    <w:right w:val="single" w:color="auto" w:sz="4" w:space="0"/>
                  </w:tcBorders>
                  <w:noWrap w:val="0"/>
                  <w:vAlign w:val="center"/>
                </w:tcPr>
                <w:p w14:paraId="2F54367C">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其中</w:t>
                  </w:r>
                </w:p>
              </w:tc>
              <w:tc>
                <w:tcPr>
                  <w:tcW w:w="4656" w:type="dxa"/>
                  <w:tcBorders>
                    <w:top w:val="single" w:color="auto" w:sz="4" w:space="0"/>
                    <w:left w:val="single" w:color="auto" w:sz="4" w:space="0"/>
                    <w:bottom w:val="single" w:color="auto" w:sz="4" w:space="0"/>
                    <w:right w:val="single" w:color="auto" w:sz="4" w:space="0"/>
                  </w:tcBorders>
                  <w:noWrap w:val="0"/>
                  <w:vAlign w:val="top"/>
                </w:tcPr>
                <w:p w14:paraId="59B86505">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r>
                    <w:rPr>
                      <w:rFonts w:hint="eastAsia" w:ascii="宋体" w:hAnsi="宋体" w:eastAsia="宋体" w:cs="Times New Roman"/>
                      <w:color w:val="auto"/>
                      <w:highlight w:val="none"/>
                    </w:rPr>
                    <w:t>预付款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3ACF8353">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3B8D67D1">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5594E733">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760CB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49BF4C42">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3</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1BD22CB3">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r>
                    <w:rPr>
                      <w:rFonts w:hint="eastAsia" w:ascii="宋体" w:hAnsi="宋体" w:eastAsia="宋体" w:cs="Times New Roman"/>
                      <w:color w:val="auto"/>
                      <w:highlight w:val="none"/>
                      <w:lang w:eastAsia="zh-CN"/>
                    </w:rPr>
                    <w:t>本</w:t>
                  </w:r>
                  <w:r>
                    <w:rPr>
                      <w:rFonts w:hint="eastAsia" w:ascii="宋体" w:hAnsi="宋体" w:eastAsia="宋体" w:cs="Times New Roman"/>
                      <w:color w:val="auto"/>
                      <w:highlight w:val="none"/>
                    </w:rPr>
                    <w:t>期完成的工程价款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1E55D245">
                  <w:pPr>
                    <w:keepNext w:val="0"/>
                    <w:keepLines w:val="0"/>
                    <w:suppressLineNumbers w:val="0"/>
                    <w:spacing w:before="0" w:beforeAutospacing="0" w:after="0" w:afterAutospacing="0" w:line="280" w:lineRule="exact"/>
                    <w:ind w:left="0" w:right="0"/>
                    <w:jc w:val="center"/>
                    <w:rPr>
                      <w:rFonts w:hint="default" w:ascii="宋体" w:hAnsi="宋体" w:eastAsia="宋体" w:cs="Times New Roman"/>
                      <w:b/>
                      <w:bCs/>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7B9EDFA9">
                  <w:pPr>
                    <w:keepNext w:val="0"/>
                    <w:keepLines w:val="0"/>
                    <w:suppressLineNumbers w:val="0"/>
                    <w:spacing w:before="0" w:beforeAutospacing="0" w:after="0" w:afterAutospacing="0" w:line="280" w:lineRule="exact"/>
                    <w:ind w:left="0" w:right="0"/>
                    <w:jc w:val="center"/>
                    <w:rPr>
                      <w:rFonts w:hint="default" w:ascii="宋体" w:hAnsi="宋体" w:eastAsia="宋体" w:cs="Times New Roman"/>
                      <w:b/>
                      <w:bCs/>
                      <w:color w:val="auto"/>
                      <w:highlight w:val="none"/>
                      <w:lang w:val="en-US" w:eastAsia="zh-CN"/>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4208D6F6">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45F5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center"/>
                </w:tcPr>
                <w:p w14:paraId="53DEAACD">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3.1</w:t>
                  </w:r>
                </w:p>
              </w:tc>
              <w:tc>
                <w:tcPr>
                  <w:tcW w:w="738" w:type="dxa"/>
                  <w:tcBorders>
                    <w:top w:val="nil"/>
                    <w:left w:val="single" w:color="auto" w:sz="4" w:space="0"/>
                    <w:bottom w:val="single" w:color="auto" w:sz="4" w:space="0"/>
                    <w:right w:val="single" w:color="auto" w:sz="4" w:space="0"/>
                  </w:tcBorders>
                  <w:noWrap w:val="0"/>
                  <w:vAlign w:val="center"/>
                </w:tcPr>
                <w:p w14:paraId="463FC545">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其中</w:t>
                  </w:r>
                </w:p>
              </w:tc>
              <w:tc>
                <w:tcPr>
                  <w:tcW w:w="4656" w:type="dxa"/>
                  <w:tcBorders>
                    <w:top w:val="single" w:color="auto" w:sz="4" w:space="0"/>
                    <w:left w:val="single" w:color="auto" w:sz="4" w:space="0"/>
                    <w:bottom w:val="single" w:color="auto" w:sz="4" w:space="0"/>
                    <w:right w:val="single" w:color="auto" w:sz="4" w:space="0"/>
                  </w:tcBorders>
                  <w:noWrap w:val="0"/>
                  <w:vAlign w:val="top"/>
                </w:tcPr>
                <w:p w14:paraId="7D1579B8">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r>
                    <w:rPr>
                      <w:rFonts w:hint="eastAsia" w:ascii="宋体" w:hAnsi="宋体" w:eastAsia="宋体" w:cs="Times New Roman"/>
                      <w:color w:val="auto"/>
                      <w:highlight w:val="none"/>
                    </w:rPr>
                    <w:t>人工费</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19603AA9">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5BB37226">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2FB6A65D">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6DC9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40F52F65">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4</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4A22C011">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r>
                    <w:rPr>
                      <w:rFonts w:hint="eastAsia" w:ascii="宋体" w:hAnsi="宋体" w:eastAsia="宋体" w:cs="Times New Roman"/>
                      <w:color w:val="auto"/>
                      <w:highlight w:val="none"/>
                      <w:lang w:eastAsia="zh-CN"/>
                    </w:rPr>
                    <w:t>本</w:t>
                  </w:r>
                  <w:r>
                    <w:rPr>
                      <w:rFonts w:hint="eastAsia" w:ascii="宋体" w:hAnsi="宋体" w:eastAsia="宋体" w:cs="Times New Roman"/>
                      <w:color w:val="auto"/>
                      <w:highlight w:val="none"/>
                    </w:rPr>
                    <w:t>期应扣除的工程价款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7CE5E981">
                  <w:pPr>
                    <w:keepNext w:val="0"/>
                    <w:keepLines w:val="0"/>
                    <w:suppressLineNumbers w:val="0"/>
                    <w:spacing w:before="0" w:beforeAutospacing="0" w:after="0" w:afterAutospacing="0" w:line="280" w:lineRule="exact"/>
                    <w:ind w:left="0" w:right="0"/>
                    <w:jc w:val="center"/>
                    <w:rPr>
                      <w:rFonts w:hint="default" w:ascii="宋体" w:hAnsi="宋体" w:eastAsia="宋体" w:cs="Times New Roman"/>
                      <w:b/>
                      <w:bCs/>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0ECD6CD7">
                  <w:pPr>
                    <w:keepNext w:val="0"/>
                    <w:keepLines w:val="0"/>
                    <w:suppressLineNumbers w:val="0"/>
                    <w:spacing w:before="0" w:beforeAutospacing="0" w:after="0" w:afterAutospacing="0" w:line="280" w:lineRule="exact"/>
                    <w:ind w:left="0" w:right="0"/>
                    <w:jc w:val="center"/>
                    <w:rPr>
                      <w:rFonts w:hint="default" w:ascii="宋体" w:hAnsi="宋体" w:eastAsia="宋体" w:cs="Times New Roman"/>
                      <w:b/>
                      <w:bCs/>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674C07F2">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6E06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99" w:type="dxa"/>
                  <w:tcBorders>
                    <w:top w:val="single" w:color="auto" w:sz="4" w:space="0"/>
                    <w:left w:val="single" w:color="auto" w:sz="4" w:space="0"/>
                    <w:bottom w:val="single" w:color="auto" w:sz="4" w:space="0"/>
                    <w:right w:val="single" w:color="auto" w:sz="4" w:space="0"/>
                  </w:tcBorders>
                  <w:noWrap w:val="0"/>
                  <w:vAlign w:val="top"/>
                </w:tcPr>
                <w:p w14:paraId="7ADFE730">
                  <w:pPr>
                    <w:keepNext w:val="0"/>
                    <w:keepLines w:val="0"/>
                    <w:suppressLineNumbers w:val="0"/>
                    <w:spacing w:before="0" w:beforeAutospacing="0" w:after="0" w:afterAutospacing="0" w:line="280" w:lineRule="exact"/>
                    <w:ind w:left="0" w:right="0"/>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4.</w:t>
                  </w:r>
                  <w:r>
                    <w:rPr>
                      <w:rFonts w:hint="eastAsia" w:ascii="宋体" w:hAnsi="宋体" w:eastAsia="宋体" w:cs="Times New Roman"/>
                      <w:color w:val="auto"/>
                      <w:highlight w:val="none"/>
                      <w:lang w:val="en-US" w:eastAsia="zh-CN"/>
                    </w:rPr>
                    <w:t>1</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3BA3B699">
                  <w:pPr>
                    <w:keepNext w:val="0"/>
                    <w:keepLines w:val="0"/>
                    <w:suppressLineNumbers w:val="0"/>
                    <w:spacing w:before="0" w:beforeAutospacing="0" w:after="0" w:afterAutospacing="0"/>
                    <w:ind w:left="0" w:right="0"/>
                    <w:rPr>
                      <w:rFonts w:hint="default" w:ascii="宋体" w:hAnsi="宋体" w:eastAsia="宋体" w:cs="Times New Roman"/>
                      <w:color w:val="auto"/>
                      <w:highlight w:val="none"/>
                    </w:rPr>
                  </w:pPr>
                  <w:r>
                    <w:rPr>
                      <w:rFonts w:hint="eastAsia" w:ascii="宋体" w:hAnsi="宋体" w:eastAsia="宋体" w:cs="Times New Roman"/>
                      <w:color w:val="auto"/>
                      <w:highlight w:val="none"/>
                    </w:rPr>
                    <w:t>扣除</w:t>
                  </w:r>
                  <w:r>
                    <w:rPr>
                      <w:rFonts w:hint="eastAsia" w:ascii="宋体" w:hAnsi="宋体" w:eastAsia="宋体" w:cs="Times New Roman"/>
                      <w:color w:val="auto"/>
                      <w:highlight w:val="none"/>
                      <w:lang w:eastAsia="zh-CN"/>
                    </w:rPr>
                    <w:t>本</w:t>
                  </w:r>
                  <w:r>
                    <w:rPr>
                      <w:rFonts w:hint="eastAsia" w:ascii="宋体" w:hAnsi="宋体" w:eastAsia="宋体" w:cs="Times New Roman"/>
                      <w:color w:val="auto"/>
                      <w:highlight w:val="none"/>
                    </w:rPr>
                    <w:t>期应抵扣的预付款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7108713D">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2276C91B">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4099B028">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1973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7138A8F9">
                  <w:pPr>
                    <w:keepNext w:val="0"/>
                    <w:keepLines w:val="0"/>
                    <w:suppressLineNumbers w:val="0"/>
                    <w:spacing w:before="0" w:beforeAutospacing="0" w:after="0" w:afterAutospacing="0" w:line="280" w:lineRule="exact"/>
                    <w:ind w:left="0" w:right="0"/>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4.</w:t>
                  </w:r>
                  <w:r>
                    <w:rPr>
                      <w:rFonts w:hint="eastAsia" w:ascii="宋体" w:hAnsi="宋体" w:eastAsia="宋体" w:cs="Times New Roman"/>
                      <w:color w:val="auto"/>
                      <w:highlight w:val="none"/>
                      <w:lang w:val="en-US" w:eastAsia="zh-CN"/>
                    </w:rPr>
                    <w:t>2</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378432EF">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r>
                    <w:rPr>
                      <w:rFonts w:hint="eastAsia" w:ascii="宋体" w:hAnsi="宋体" w:eastAsia="宋体" w:cs="Times New Roman"/>
                      <w:color w:val="auto"/>
                      <w:highlight w:val="none"/>
                    </w:rPr>
                    <w:t>扣除</w:t>
                  </w:r>
                  <w:r>
                    <w:rPr>
                      <w:rFonts w:hint="eastAsia" w:ascii="宋体" w:hAnsi="宋体" w:eastAsia="宋体" w:cs="Times New Roman"/>
                      <w:color w:val="auto"/>
                      <w:highlight w:val="none"/>
                      <w:lang w:eastAsia="zh-CN"/>
                    </w:rPr>
                    <w:t>本</w:t>
                  </w:r>
                  <w:r>
                    <w:rPr>
                      <w:rFonts w:hint="eastAsia" w:ascii="宋体" w:hAnsi="宋体" w:eastAsia="宋体" w:cs="Times New Roman"/>
                      <w:color w:val="auto"/>
                      <w:highlight w:val="none"/>
                    </w:rPr>
                    <w:t>期应预留的质量保证金（如有）</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13A6EA28">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789FF350">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4C728D4F">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07C0B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9" w:type="dxa"/>
                  <w:tcBorders>
                    <w:top w:val="single" w:color="auto" w:sz="4" w:space="0"/>
                    <w:left w:val="single" w:color="auto" w:sz="4" w:space="0"/>
                    <w:bottom w:val="single" w:color="auto" w:sz="4" w:space="0"/>
                    <w:right w:val="single" w:color="auto" w:sz="4" w:space="0"/>
                  </w:tcBorders>
                  <w:noWrap w:val="0"/>
                  <w:vAlign w:val="center"/>
                </w:tcPr>
                <w:p w14:paraId="31DD0DE8">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5</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5D82352E">
                  <w:pPr>
                    <w:keepNext w:val="0"/>
                    <w:keepLines w:val="0"/>
                    <w:suppressLineNumbers w:val="0"/>
                    <w:spacing w:before="0" w:beforeAutospacing="0" w:after="0" w:afterAutospacing="0"/>
                    <w:ind w:left="0" w:right="0"/>
                    <w:rPr>
                      <w:rFonts w:hint="default" w:ascii="宋体" w:hAnsi="宋体" w:eastAsia="宋体" w:cs="Times New Roman"/>
                      <w:color w:val="auto"/>
                      <w:highlight w:val="none"/>
                    </w:rPr>
                  </w:pPr>
                  <w:r>
                    <w:rPr>
                      <w:rFonts w:hint="eastAsia" w:ascii="宋体" w:hAnsi="宋体" w:eastAsia="宋体" w:cs="Times New Roman"/>
                      <w:color w:val="auto"/>
                      <w:highlight w:val="none"/>
                    </w:rPr>
                    <w:t>已签发的进度款支付证书中出现错误需在当期中支付或扣除的工程价款；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24481396">
                  <w:pPr>
                    <w:keepNext w:val="0"/>
                    <w:keepLines w:val="0"/>
                    <w:suppressLineNumbers w:val="0"/>
                    <w:spacing w:before="0" w:beforeAutospacing="0" w:after="0" w:afterAutospacing="0" w:line="280" w:lineRule="exact"/>
                    <w:ind w:left="0" w:right="0"/>
                    <w:jc w:val="center"/>
                    <w:rPr>
                      <w:rFonts w:hint="eastAsia" w:ascii="宋体" w:hAnsi="宋体" w:eastAsia="宋体" w:cs="Times New Roman"/>
                      <w:color w:val="auto"/>
                      <w:highlight w:val="none"/>
                      <w:lang w:val="en-US" w:eastAsia="zh-CN"/>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793A3999">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54AC385D">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30F7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center"/>
                </w:tcPr>
                <w:p w14:paraId="12D618A5">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r>
                    <w:rPr>
                      <w:rFonts w:hint="eastAsia" w:ascii="宋体" w:hAnsi="宋体" w:eastAsia="宋体" w:cs="Times New Roman"/>
                      <w:color w:val="auto"/>
                      <w:highlight w:val="none"/>
                    </w:rPr>
                    <w:t>6</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4FC1AD08">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lang w:eastAsia="zh-CN"/>
                    </w:rPr>
                    <w:t>本</w:t>
                  </w:r>
                  <w:r>
                    <w:rPr>
                      <w:rFonts w:hint="eastAsia" w:ascii="宋体" w:hAnsi="宋体" w:eastAsia="宋体" w:cs="Times New Roman"/>
                      <w:color w:val="auto"/>
                      <w:highlight w:val="none"/>
                    </w:rPr>
                    <w:t>期应支付工程价款</w:t>
                  </w:r>
                  <w:r>
                    <w:rPr>
                      <w:rFonts w:hint="eastAsia" w:ascii="宋体" w:hAnsi="宋体" w:eastAsia="宋体" w:cs="Times New Roman"/>
                      <w:strike w:val="0"/>
                      <w:color w:val="auto"/>
                      <w:highlight w:val="none"/>
                    </w:rPr>
                    <w:t>=&lt;3&gt;</w:t>
                  </w:r>
                </w:p>
                <w:p w14:paraId="475A179D">
                  <w:pPr>
                    <w:keepNext w:val="0"/>
                    <w:keepLines w:val="0"/>
                    <w:suppressLineNumbers w:val="0"/>
                    <w:spacing w:before="0" w:beforeAutospacing="0" w:after="0" w:afterAutospacing="0" w:line="280" w:lineRule="exact"/>
                    <w:ind w:left="0" w:right="0" w:firstLine="210"/>
                    <w:rPr>
                      <w:rFonts w:hint="default" w:ascii="宋体" w:hAnsi="宋体" w:eastAsia="宋体" w:cs="Times New Roman"/>
                      <w:color w:val="auto"/>
                      <w:highlight w:val="none"/>
                    </w:rPr>
                  </w:pPr>
                  <w:r>
                    <w:rPr>
                      <w:rFonts w:hint="eastAsia" w:ascii="宋体" w:hAnsi="宋体" w:eastAsia="宋体" w:cs="Times New Roman"/>
                      <w:strike w:val="0"/>
                      <w:color w:val="auto"/>
                      <w:highlight w:val="none"/>
                    </w:rPr>
                    <w:t>×支付比例</w:t>
                  </w:r>
                  <w:r>
                    <w:rPr>
                      <w:rFonts w:hint="eastAsia" w:ascii="宋体" w:hAnsi="宋体" w:cs="Times New Roman"/>
                      <w:strike w:val="0"/>
                      <w:color w:val="auto"/>
                      <w:highlight w:val="none"/>
                      <w:lang w:eastAsia="zh-CN"/>
                    </w:rPr>
                    <w:t>－</w:t>
                  </w:r>
                  <w:r>
                    <w:rPr>
                      <w:rFonts w:hint="eastAsia" w:ascii="宋体" w:hAnsi="宋体" w:eastAsia="宋体" w:cs="Times New Roman"/>
                      <w:strike w:val="0"/>
                      <w:color w:val="auto"/>
                      <w:highlight w:val="none"/>
                      <w:lang w:val="en-US" w:eastAsia="zh-CN"/>
                    </w:rPr>
                    <w:t>&lt;4&gt;</w:t>
                  </w:r>
                  <w:r>
                    <w:rPr>
                      <w:rFonts w:hint="eastAsia" w:ascii="宋体" w:hAnsi="宋体" w:eastAsia="宋体" w:cs="Times New Roman"/>
                      <w:strike w:val="0"/>
                      <w:color w:val="auto"/>
                      <w:highlight w:val="none"/>
                    </w:rPr>
                    <w:t>＋&lt;5&gt;</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3EF4C611">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7DD8685B">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5475652E">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76C05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99" w:type="dxa"/>
                  <w:tcBorders>
                    <w:top w:val="single" w:color="auto" w:sz="4" w:space="0"/>
                    <w:left w:val="single" w:color="auto" w:sz="4" w:space="0"/>
                    <w:bottom w:val="single" w:color="auto" w:sz="4" w:space="0"/>
                    <w:right w:val="single" w:color="auto" w:sz="4" w:space="0"/>
                  </w:tcBorders>
                  <w:noWrap w:val="0"/>
                  <w:vAlign w:val="center"/>
                </w:tcPr>
                <w:p w14:paraId="2AFEF3B0">
                  <w:pPr>
                    <w:keepNext w:val="0"/>
                    <w:keepLines w:val="0"/>
                    <w:suppressLineNumbers w:val="0"/>
                    <w:spacing w:before="0" w:beforeAutospacing="0" w:after="0" w:afterAutospacing="0" w:line="280" w:lineRule="exact"/>
                    <w:ind w:left="0" w:right="0"/>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val="en-US" w:eastAsia="zh-CN"/>
                    </w:rPr>
                    <w:t>6.1</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33CD4797">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r>
                    <w:rPr>
                      <w:rFonts w:hint="eastAsia" w:ascii="宋体" w:hAnsi="宋体" w:eastAsia="宋体" w:cs="Times New Roman"/>
                      <w:color w:val="auto"/>
                      <w:highlight w:val="none"/>
                      <w:lang w:val="en-US" w:eastAsia="zh-CN"/>
                    </w:rPr>
                    <w:t>其中：本期应支付</w:t>
                  </w:r>
                  <w:r>
                    <w:rPr>
                      <w:rFonts w:hint="eastAsia" w:ascii="宋体" w:hAnsi="宋体" w:eastAsia="宋体" w:cs="Times New Roman"/>
                      <w:color w:val="auto"/>
                      <w:highlight w:val="none"/>
                    </w:rPr>
                    <w:t>人工费=&lt;3.1&gt;×支付比例</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1DF2A3CA">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0648938D">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122C8E5C">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r w14:paraId="65B7D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320A06AD">
                  <w:pPr>
                    <w:keepNext w:val="0"/>
                    <w:keepLines w:val="0"/>
                    <w:suppressLineNumbers w:val="0"/>
                    <w:spacing w:before="0" w:beforeAutospacing="0" w:after="0" w:afterAutospacing="0" w:line="280" w:lineRule="exact"/>
                    <w:ind w:left="0" w:right="0"/>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val="en-US" w:eastAsia="zh-CN"/>
                    </w:rPr>
                    <w:t>7</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5E327197">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r>
                    <w:rPr>
                      <w:rFonts w:hint="eastAsia" w:ascii="宋体" w:hAnsi="宋体" w:eastAsia="宋体" w:cs="Times New Roman"/>
                      <w:color w:val="auto"/>
                      <w:highlight w:val="none"/>
                    </w:rPr>
                    <w:t>累计已完成的工程价款（含本期）=&lt;1&gt;＋&lt;3&gt;</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285E311B">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47F3036F">
                  <w:pPr>
                    <w:keepNext w:val="0"/>
                    <w:keepLines w:val="0"/>
                    <w:suppressLineNumbers w:val="0"/>
                    <w:spacing w:before="0" w:beforeAutospacing="0" w:after="0" w:afterAutospacing="0" w:line="280" w:lineRule="exact"/>
                    <w:ind w:left="0" w:right="0"/>
                    <w:jc w:val="center"/>
                    <w:rPr>
                      <w:rFonts w:hint="default"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4922164B">
                  <w:pPr>
                    <w:keepNext w:val="0"/>
                    <w:keepLines w:val="0"/>
                    <w:suppressLineNumbers w:val="0"/>
                    <w:spacing w:before="0" w:beforeAutospacing="0" w:after="0" w:afterAutospacing="0" w:line="280" w:lineRule="exact"/>
                    <w:ind w:left="0" w:right="0"/>
                    <w:rPr>
                      <w:rFonts w:hint="default" w:ascii="宋体" w:hAnsi="宋体" w:eastAsia="宋体" w:cs="Times New Roman"/>
                      <w:color w:val="auto"/>
                      <w:highlight w:val="none"/>
                    </w:rPr>
                  </w:pPr>
                </w:p>
              </w:tc>
            </w:tr>
          </w:tbl>
          <w:p w14:paraId="47641803">
            <w:pPr>
              <w:keepNext w:val="0"/>
              <w:keepLines w:val="0"/>
              <w:suppressLineNumbers w:val="0"/>
              <w:wordWrap w:val="0"/>
              <w:spacing w:before="0" w:beforeAutospacing="0" w:after="0" w:afterAutospacing="0" w:line="400" w:lineRule="exact"/>
              <w:ind w:left="0" w:right="420"/>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附：上述</w:t>
            </w:r>
            <w:r>
              <w:rPr>
                <w:rFonts w:hint="eastAsia" w:ascii="Times New Roman" w:hAnsi="Times New Roman" w:eastAsia="宋体" w:cs="Times New Roman"/>
                <w:color w:val="auto"/>
                <w:highlight w:val="none"/>
                <w:lang w:val="en-US" w:eastAsia="zh-CN"/>
              </w:rPr>
              <w:t xml:space="preserve">    </w:t>
            </w:r>
            <w:r>
              <w:rPr>
                <w:rFonts w:hint="eastAsia" w:ascii="宋体" w:hAnsi="宋体" w:eastAsia="宋体" w:cs="Times New Roman"/>
                <w:color w:val="auto"/>
                <w:highlight w:val="none"/>
              </w:rPr>
              <w:t>详见附件清单。</w:t>
            </w:r>
          </w:p>
          <w:p w14:paraId="604349BD">
            <w:pPr>
              <w:keepNext w:val="0"/>
              <w:keepLines w:val="0"/>
              <w:suppressLineNumbers w:val="0"/>
              <w:wordWrap w:val="0"/>
              <w:spacing w:before="0" w:beforeAutospacing="0" w:after="0" w:afterAutospacing="0" w:line="400" w:lineRule="exact"/>
              <w:ind w:left="0" w:right="4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承包人（章） </w:t>
            </w:r>
            <w:r>
              <w:rPr>
                <w:rFonts w:hint="default" w:ascii="Times New Roman" w:hAnsi="Times New Roman" w:eastAsia="宋体" w:cs="Times New Roman"/>
                <w:color w:val="auto"/>
                <w:highlight w:val="none"/>
              </w:rPr>
              <w:t xml:space="preserve">            </w:t>
            </w:r>
          </w:p>
          <w:p w14:paraId="5DA813F1">
            <w:pPr>
              <w:keepNext w:val="0"/>
              <w:keepLines w:val="0"/>
              <w:suppressLineNumbers w:val="0"/>
              <w:spacing w:before="0" w:beforeAutospacing="0" w:after="0" w:afterAutospacing="0" w:line="400" w:lineRule="exact"/>
              <w:ind w:left="0" w:right="420" w:firstLine="435"/>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造价人员</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承包人代表</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 xml:space="preserve">日 </w:t>
            </w:r>
            <w:r>
              <w:rPr>
                <w:rFonts w:hint="default"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hint="default" w:ascii="Times New Roman" w:hAnsi="Times New Roman" w:eastAsia="宋体" w:cs="Times New Roman"/>
                <w:color w:val="auto"/>
                <w:highlight w:val="none"/>
                <w:u w:val="single"/>
              </w:rPr>
              <w:t xml:space="preserve">               </w:t>
            </w:r>
          </w:p>
        </w:tc>
      </w:tr>
      <w:tr w14:paraId="52D4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4959" w:type="dxa"/>
            <w:tcBorders>
              <w:top w:val="single" w:color="auto" w:sz="4" w:space="0"/>
              <w:left w:val="single" w:color="auto" w:sz="4" w:space="0"/>
              <w:bottom w:val="single" w:color="auto" w:sz="4" w:space="0"/>
              <w:right w:val="single" w:color="auto" w:sz="4" w:space="0"/>
            </w:tcBorders>
            <w:noWrap w:val="0"/>
            <w:vAlign w:val="top"/>
          </w:tcPr>
          <w:p w14:paraId="2F263A38">
            <w:pPr>
              <w:keepNext w:val="0"/>
              <w:keepLines w:val="0"/>
              <w:suppressLineNumbers w:val="0"/>
              <w:spacing w:before="0" w:beforeAutospacing="0" w:after="0" w:afterAutospacing="0" w:line="360" w:lineRule="exact"/>
              <w:ind w:left="0" w:right="0"/>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复核意见：</w:t>
            </w:r>
          </w:p>
          <w:p w14:paraId="193887D0">
            <w:pPr>
              <w:keepNext w:val="0"/>
              <w:keepLines w:val="0"/>
              <w:suppressLineNumbers w:val="0"/>
              <w:spacing w:before="0" w:beforeAutospacing="0" w:after="0" w:afterAutospacing="0" w:line="360" w:lineRule="exact"/>
              <w:ind w:left="0" w:right="0" w:firstLine="312"/>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□与实际施工情况不相符，修改意见见附件。</w:t>
            </w:r>
          </w:p>
          <w:p w14:paraId="15E207CF">
            <w:pPr>
              <w:keepNext w:val="0"/>
              <w:keepLines w:val="0"/>
              <w:suppressLineNumbers w:val="0"/>
              <w:spacing w:before="0" w:beforeAutospacing="0" w:after="0" w:afterAutospacing="0" w:line="360" w:lineRule="exact"/>
              <w:ind w:left="0" w:right="0" w:firstLine="312"/>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□与实际施工情况相符，具体金额由造价工程师复核。</w:t>
            </w:r>
          </w:p>
          <w:p w14:paraId="2367C3A0">
            <w:pPr>
              <w:keepNext w:val="0"/>
              <w:keepLines w:val="0"/>
              <w:suppressLineNumbers w:val="0"/>
              <w:spacing w:before="0" w:beforeAutospacing="0" w:after="0" w:afterAutospacing="0" w:line="360" w:lineRule="exact"/>
              <w:ind w:left="0" w:right="0" w:firstLine="435"/>
              <w:jc w:val="right"/>
              <w:rPr>
                <w:rFonts w:hint="default" w:ascii="Times New Roman" w:hAnsi="Times New Roman" w:eastAsia="宋体" w:cs="Times New Roman"/>
                <w:color w:val="auto"/>
                <w:highlight w:val="none"/>
              </w:rPr>
            </w:pPr>
          </w:p>
          <w:p w14:paraId="4461EE44">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lang w:eastAsia="zh-CN"/>
              </w:rPr>
              <w:t>监理</w:t>
            </w:r>
            <w:r>
              <w:rPr>
                <w:rFonts w:hint="eastAsia" w:ascii="宋体" w:hAnsi="宋体" w:eastAsia="宋体" w:cs="Times New Roman"/>
                <w:color w:val="auto"/>
                <w:highlight w:val="none"/>
              </w:rPr>
              <w:t>工程师</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hint="default"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hint="default" w:ascii="Times New Roman" w:hAnsi="Times New Roman" w:eastAsia="宋体" w:cs="Times New Roman"/>
                <w:color w:val="auto"/>
                <w:highlight w:val="none"/>
                <w:u w:val="single"/>
              </w:rPr>
              <w:t xml:space="preserve">           </w:t>
            </w:r>
          </w:p>
        </w:tc>
        <w:tc>
          <w:tcPr>
            <w:tcW w:w="4552" w:type="dxa"/>
            <w:tcBorders>
              <w:top w:val="single" w:color="auto" w:sz="4" w:space="0"/>
              <w:left w:val="single" w:color="auto" w:sz="4" w:space="0"/>
              <w:bottom w:val="single" w:color="auto" w:sz="4" w:space="0"/>
              <w:right w:val="single" w:color="auto" w:sz="4" w:space="0"/>
            </w:tcBorders>
            <w:noWrap w:val="0"/>
            <w:vAlign w:val="top"/>
          </w:tcPr>
          <w:p w14:paraId="7A1E2B6F">
            <w:pPr>
              <w:keepNext w:val="0"/>
              <w:keepLines w:val="0"/>
              <w:suppressLineNumbers w:val="0"/>
              <w:spacing w:before="0" w:beforeAutospacing="0" w:after="0" w:afterAutospacing="0" w:line="360" w:lineRule="exact"/>
              <w:ind w:left="0" w:right="0"/>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复核意见：</w:t>
            </w:r>
          </w:p>
          <w:p w14:paraId="24993D8F">
            <w:pPr>
              <w:keepNext w:val="0"/>
              <w:keepLines w:val="0"/>
              <w:suppressLineNumbers w:val="0"/>
              <w:spacing w:before="0" w:beforeAutospacing="0" w:after="0" w:afterAutospacing="0" w:line="360" w:lineRule="exact"/>
              <w:ind w:left="0" w:right="0" w:firstLine="435"/>
              <w:rPr>
                <w:rFonts w:hint="default" w:ascii="Times New Roman" w:hAnsi="Times New Roman" w:eastAsia="宋体" w:cs="Times New Roman"/>
                <w:color w:val="auto"/>
                <w:highlight w:val="none"/>
                <w:u w:val="single"/>
              </w:rPr>
            </w:pPr>
            <w:r>
              <w:rPr>
                <w:rFonts w:hint="eastAsia" w:ascii="宋体" w:hAnsi="宋体" w:eastAsia="宋体" w:cs="Times New Roman"/>
                <w:color w:val="auto"/>
                <w:highlight w:val="none"/>
              </w:rPr>
              <w:t>你方提出的支付申请经复核，本周期已完成工程价款为</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大写</w:t>
            </w:r>
            <w:r>
              <w:rPr>
                <w:rFonts w:hint="eastAsia" w:ascii="宋体" w:hAnsi="宋体" w:cs="Times New Roman"/>
                <w:color w:val="auto"/>
                <w:highlight w:val="none"/>
                <w:lang w:eastAsia="zh-CN"/>
              </w:rPr>
              <w:t>）</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元，（小写）</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元，本期间应支付金额为（大写）</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元，（小写）</w:t>
            </w:r>
            <w:r>
              <w:rPr>
                <w:rFonts w:hint="default"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w:t>
            </w:r>
          </w:p>
          <w:p w14:paraId="1EBDE58F">
            <w:pPr>
              <w:keepNext w:val="0"/>
              <w:keepLines w:val="0"/>
              <w:suppressLineNumbers w:val="0"/>
              <w:spacing w:before="0" w:beforeAutospacing="0" w:after="0" w:afterAutospacing="0" w:line="360" w:lineRule="exact"/>
              <w:ind w:left="0" w:right="0"/>
              <w:jc w:val="both"/>
              <w:rPr>
                <w:rFonts w:hint="default" w:ascii="Times New Roman" w:hAnsi="Times New Roman" w:eastAsia="宋体" w:cs="Times New Roman"/>
                <w:color w:val="auto"/>
                <w:highlight w:val="none"/>
                <w:u w:val="single"/>
              </w:rPr>
            </w:pPr>
            <w:r>
              <w:rPr>
                <w:rFonts w:hint="eastAsia" w:ascii="宋体" w:hAnsi="宋体" w:eastAsia="宋体" w:cs="Times New Roman"/>
                <w:color w:val="auto"/>
                <w:highlight w:val="none"/>
              </w:rPr>
              <w:t>造价工程师</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hint="default"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hint="default" w:ascii="Times New Roman" w:hAnsi="Times New Roman" w:eastAsia="宋体" w:cs="Times New Roman"/>
                <w:color w:val="auto"/>
                <w:highlight w:val="none"/>
                <w:u w:val="single"/>
              </w:rPr>
              <w:t xml:space="preserve">           </w:t>
            </w:r>
          </w:p>
        </w:tc>
      </w:tr>
      <w:tr w14:paraId="0EEDD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atLeast"/>
          <w:jc w:val="center"/>
        </w:trPr>
        <w:tc>
          <w:tcPr>
            <w:tcW w:w="9511" w:type="dxa"/>
            <w:gridSpan w:val="2"/>
            <w:tcBorders>
              <w:top w:val="single" w:color="auto" w:sz="4" w:space="0"/>
              <w:left w:val="single" w:color="auto" w:sz="4" w:space="0"/>
              <w:bottom w:val="single" w:color="auto" w:sz="4" w:space="0"/>
              <w:right w:val="single" w:color="auto" w:sz="4" w:space="0"/>
            </w:tcBorders>
            <w:noWrap w:val="0"/>
            <w:vAlign w:val="top"/>
          </w:tcPr>
          <w:p w14:paraId="635F7FFB">
            <w:pPr>
              <w:keepNext w:val="0"/>
              <w:keepLines w:val="0"/>
              <w:suppressLineNumbers w:val="0"/>
              <w:spacing w:before="0" w:beforeAutospacing="0" w:after="0" w:afterAutospacing="0" w:line="400" w:lineRule="exact"/>
              <w:ind w:left="0" w:right="0"/>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审核意见：</w:t>
            </w:r>
          </w:p>
          <w:p w14:paraId="29BD2160">
            <w:pPr>
              <w:keepNext w:val="0"/>
              <w:keepLines w:val="0"/>
              <w:suppressLineNumbers w:val="0"/>
              <w:spacing w:before="0" w:beforeAutospacing="0" w:after="0" w:afterAutospacing="0" w:line="400" w:lineRule="exact"/>
              <w:ind w:left="0" w:right="0" w:firstLine="435"/>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□不同意。</w:t>
            </w:r>
          </w:p>
          <w:p w14:paraId="1EE1B326">
            <w:pPr>
              <w:keepNext w:val="0"/>
              <w:keepLines w:val="0"/>
              <w:suppressLineNumbers w:val="0"/>
              <w:spacing w:before="0" w:beforeAutospacing="0" w:after="0" w:afterAutospacing="0" w:line="400" w:lineRule="exact"/>
              <w:ind w:left="0" w:right="0" w:firstLine="420" w:firstLineChars="200"/>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□同意，支付时间为本表签发后的</w:t>
            </w:r>
            <w:r>
              <w:rPr>
                <w:rFonts w:hint="eastAsia" w:ascii="Times New Roman" w:hAnsi="Times New Roman" w:eastAsia="宋体" w:cs="Times New Roman"/>
                <w:color w:val="auto"/>
                <w:highlight w:val="none"/>
              </w:rPr>
              <w:t>15</w:t>
            </w:r>
            <w:r>
              <w:rPr>
                <w:rFonts w:hint="eastAsia" w:ascii="宋体" w:hAnsi="宋体" w:eastAsia="宋体" w:cs="Times New Roman"/>
                <w:color w:val="auto"/>
                <w:highlight w:val="none"/>
              </w:rPr>
              <w:t>天内。</w:t>
            </w:r>
          </w:p>
          <w:p w14:paraId="4761723C">
            <w:pPr>
              <w:keepNext w:val="0"/>
              <w:keepLines w:val="0"/>
              <w:suppressLineNumbers w:val="0"/>
              <w:wordWrap w:val="0"/>
              <w:spacing w:before="0" w:beforeAutospacing="0" w:after="0" w:afterAutospacing="0" w:line="400" w:lineRule="exact"/>
              <w:ind w:left="0" w:right="0" w:firstLine="420" w:firstLineChars="200"/>
              <w:jc w:val="right"/>
              <w:rPr>
                <w:rFonts w:hint="default" w:ascii="Times New Roman" w:hAnsi="Times New Roman" w:eastAsia="宋体" w:cs="Times New Roman"/>
                <w:color w:val="auto"/>
                <w:highlight w:val="none"/>
              </w:rPr>
            </w:pPr>
            <w:r>
              <w:rPr>
                <w:rFonts w:hint="eastAsia" w:ascii="宋体" w:hAnsi="宋体" w:eastAsia="宋体" w:cs="Times New Roman"/>
                <w:color w:val="auto"/>
                <w:highlight w:val="none"/>
              </w:rPr>
              <w:t xml:space="preserve">发包人（章） </w:t>
            </w:r>
            <w:r>
              <w:rPr>
                <w:rFonts w:hint="default" w:ascii="Times New Roman" w:hAnsi="Times New Roman" w:eastAsia="宋体" w:cs="Times New Roman"/>
                <w:color w:val="auto"/>
                <w:highlight w:val="none"/>
              </w:rPr>
              <w:t xml:space="preserve">          </w:t>
            </w:r>
          </w:p>
          <w:p w14:paraId="4B8F0791">
            <w:pPr>
              <w:keepNext w:val="0"/>
              <w:keepLines w:val="0"/>
              <w:suppressLineNumbers w:val="0"/>
              <w:wordWrap w:val="0"/>
              <w:spacing w:before="0" w:beforeAutospacing="0" w:after="0" w:afterAutospacing="0" w:line="400" w:lineRule="exact"/>
              <w:ind w:left="0" w:right="0" w:firstLine="420" w:firstLineChars="200"/>
              <w:jc w:val="right"/>
              <w:rPr>
                <w:rFonts w:hint="default" w:ascii="Times New Roman" w:hAnsi="Times New Roman" w:eastAsia="宋体" w:cs="Times New Roman"/>
                <w:color w:val="auto"/>
                <w:highlight w:val="none"/>
                <w:u w:val="single"/>
              </w:rPr>
            </w:pPr>
            <w:r>
              <w:rPr>
                <w:rFonts w:hint="eastAsia" w:ascii="宋体" w:hAnsi="宋体" w:eastAsia="宋体" w:cs="Times New Roman"/>
                <w:color w:val="auto"/>
                <w:highlight w:val="none"/>
              </w:rPr>
              <w:t>发包人代表</w:t>
            </w:r>
            <w:r>
              <w:rPr>
                <w:rFonts w:hint="default" w:ascii="Times New Roman" w:hAnsi="Times New Roman" w:eastAsia="宋体" w:cs="Times New Roman"/>
                <w:color w:val="auto"/>
                <w:highlight w:val="none"/>
                <w:u w:val="single"/>
              </w:rPr>
              <w:t xml:space="preserve">             </w:t>
            </w:r>
          </w:p>
          <w:p w14:paraId="4462E4E2">
            <w:pPr>
              <w:keepNext w:val="0"/>
              <w:keepLines w:val="0"/>
              <w:suppressLineNumbers w:val="0"/>
              <w:wordWrap w:val="0"/>
              <w:spacing w:before="0" w:beforeAutospacing="0" w:after="0" w:afterAutospacing="0" w:line="400" w:lineRule="exact"/>
              <w:ind w:left="0" w:right="0" w:firstLine="420" w:firstLineChars="200"/>
              <w:jc w:val="right"/>
              <w:rPr>
                <w:rFonts w:hint="default" w:ascii="Times New Roman" w:hAnsi="Times New Roman" w:eastAsia="宋体" w:cs="Times New Roman"/>
                <w:color w:val="auto"/>
                <w:highlight w:val="none"/>
                <w:u w:val="single"/>
              </w:rPr>
            </w:pPr>
            <w:r>
              <w:rPr>
                <w:rFonts w:hint="eastAsia" w:ascii="宋体" w:hAnsi="宋体" w:eastAsia="宋体" w:cs="Times New Roman"/>
                <w:color w:val="auto"/>
                <w:highlight w:val="none"/>
              </w:rPr>
              <w:t xml:space="preserve">日 </w:t>
            </w:r>
            <w:r>
              <w:rPr>
                <w:rFonts w:hint="default"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hint="default" w:ascii="Times New Roman" w:hAnsi="Times New Roman" w:eastAsia="宋体" w:cs="Times New Roman"/>
                <w:color w:val="auto"/>
                <w:highlight w:val="none"/>
                <w:u w:val="single"/>
              </w:rPr>
              <w:t xml:space="preserve">             </w:t>
            </w:r>
          </w:p>
        </w:tc>
      </w:tr>
    </w:tbl>
    <w:p w14:paraId="37D72C94">
      <w:pPr>
        <w:spacing w:beforeLines="50"/>
        <w:ind w:firstLine="360" w:firstLineChars="200"/>
        <w:rPr>
          <w:color w:val="auto"/>
          <w:sz w:val="18"/>
          <w:szCs w:val="18"/>
          <w:highlight w:val="none"/>
        </w:rPr>
      </w:pPr>
      <w:r>
        <w:rPr>
          <w:rFonts w:hint="eastAsia" w:ascii="宋体" w:hAnsi="宋体"/>
          <w:color w:val="auto"/>
          <w:sz w:val="18"/>
          <w:szCs w:val="18"/>
          <w:highlight w:val="none"/>
        </w:rPr>
        <w:t>注：</w:t>
      </w:r>
      <w:r>
        <w:rPr>
          <w:rFonts w:hint="eastAsia"/>
          <w:color w:val="auto"/>
          <w:sz w:val="18"/>
          <w:szCs w:val="18"/>
          <w:highlight w:val="none"/>
        </w:rPr>
        <w:t>1.</w:t>
      </w:r>
      <w:r>
        <w:rPr>
          <w:rFonts w:hint="eastAsia" w:ascii="宋体" w:hAnsi="宋体"/>
          <w:color w:val="auto"/>
          <w:sz w:val="18"/>
          <w:szCs w:val="18"/>
          <w:highlight w:val="none"/>
        </w:rPr>
        <w:t>在选择栏中的</w:t>
      </w:r>
      <w:r>
        <w:rPr>
          <w:rFonts w:hint="eastAsia" w:ascii="宋体" w:hAnsi="宋体"/>
          <w:color w:val="auto"/>
          <w:sz w:val="18"/>
          <w:szCs w:val="18"/>
          <w:highlight w:val="none"/>
          <w:lang w:eastAsia="zh-CN"/>
        </w:rPr>
        <w:t>“</w:t>
      </w:r>
      <w:r>
        <w:rPr>
          <w:rFonts w:hint="eastAsia" w:ascii="宋体" w:hAnsi="宋体"/>
          <w:color w:val="auto"/>
          <w:sz w:val="18"/>
          <w:szCs w:val="18"/>
          <w:highlight w:val="none"/>
        </w:rPr>
        <w:t>□</w:t>
      </w:r>
      <w:r>
        <w:rPr>
          <w:rFonts w:hint="eastAsia" w:ascii="宋体" w:hAnsi="宋体"/>
          <w:color w:val="auto"/>
          <w:sz w:val="18"/>
          <w:szCs w:val="18"/>
          <w:highlight w:val="none"/>
          <w:lang w:eastAsia="zh-CN"/>
        </w:rPr>
        <w:t>”</w:t>
      </w:r>
      <w:r>
        <w:rPr>
          <w:rFonts w:hint="eastAsia" w:ascii="宋体" w:hAnsi="宋体"/>
          <w:color w:val="auto"/>
          <w:sz w:val="18"/>
          <w:szCs w:val="18"/>
          <w:highlight w:val="none"/>
        </w:rPr>
        <w:t>内作标识</w:t>
      </w:r>
      <w:r>
        <w:rPr>
          <w:rFonts w:hint="eastAsia" w:ascii="宋体" w:hAnsi="宋体"/>
          <w:color w:val="auto"/>
          <w:sz w:val="18"/>
          <w:szCs w:val="18"/>
          <w:highlight w:val="none"/>
          <w:lang w:eastAsia="zh-CN"/>
        </w:rPr>
        <w:t>“</w:t>
      </w:r>
      <w:r>
        <w:rPr>
          <w:rFonts w:hint="eastAsia" w:ascii="宋体" w:hAnsi="宋体"/>
          <w:color w:val="auto"/>
          <w:sz w:val="18"/>
          <w:szCs w:val="18"/>
          <w:highlight w:val="none"/>
        </w:rPr>
        <w:t>√</w:t>
      </w:r>
      <w:r>
        <w:rPr>
          <w:rFonts w:hint="eastAsia" w:ascii="宋体" w:hAnsi="宋体"/>
          <w:color w:val="auto"/>
          <w:sz w:val="18"/>
          <w:szCs w:val="18"/>
          <w:highlight w:val="none"/>
          <w:lang w:eastAsia="zh-CN"/>
        </w:rPr>
        <w:t>”</w:t>
      </w:r>
      <w:r>
        <w:rPr>
          <w:rFonts w:hint="eastAsia" w:ascii="宋体" w:hAnsi="宋体"/>
          <w:color w:val="auto"/>
          <w:sz w:val="18"/>
          <w:szCs w:val="18"/>
          <w:highlight w:val="none"/>
        </w:rPr>
        <w:t xml:space="preserve">。 </w:t>
      </w:r>
    </w:p>
    <w:p w14:paraId="77316FBB">
      <w:pPr>
        <w:spacing w:beforeLines="50"/>
        <w:ind w:firstLine="720" w:firstLineChars="400"/>
        <w:rPr>
          <w:rFonts w:ascii="宋体" w:hAnsi="宋体"/>
          <w:color w:val="auto"/>
          <w:sz w:val="18"/>
          <w:szCs w:val="18"/>
          <w:highlight w:val="none"/>
        </w:rPr>
      </w:pPr>
      <w:r>
        <w:rPr>
          <w:rFonts w:hint="eastAsia"/>
          <w:color w:val="auto"/>
          <w:sz w:val="18"/>
          <w:szCs w:val="18"/>
          <w:highlight w:val="none"/>
        </w:rPr>
        <w:t>2.</w:t>
      </w:r>
      <w:r>
        <w:rPr>
          <w:rFonts w:hint="eastAsia" w:ascii="宋体" w:hAnsi="宋体"/>
          <w:color w:val="auto"/>
          <w:sz w:val="18"/>
          <w:szCs w:val="18"/>
          <w:highlight w:val="none"/>
        </w:rPr>
        <w:t>本表一式四份，由承包人填报，发包人、监理人、造价咨询人、承包人各存一份。</w:t>
      </w:r>
    </w:p>
    <w:p w14:paraId="20FFDA07">
      <w:pPr>
        <w:spacing w:before="120" w:beforeLines="50" w:after="120" w:afterLines="50" w:line="440" w:lineRule="exact"/>
        <w:jc w:val="left"/>
        <w:rPr>
          <w:rFonts w:hint="eastAsia" w:ascii="仿宋_GB2312" w:eastAsia="仿宋_GB2312" w:cs="仿宋_GB2312"/>
          <w:color w:val="auto"/>
          <w:sz w:val="30"/>
          <w:szCs w:val="30"/>
          <w:highlight w:val="none"/>
          <w:lang w:eastAsia="zh-CN"/>
        </w:rPr>
      </w:pPr>
      <w:r>
        <w:rPr>
          <w:rFonts w:hint="eastAsia" w:ascii="仿宋_GB2312" w:eastAsia="仿宋_GB2312" w:cs="仿宋_GB2312"/>
          <w:color w:val="auto"/>
          <w:sz w:val="30"/>
          <w:szCs w:val="30"/>
          <w:highlight w:val="none"/>
        </w:rPr>
        <w:t>附件12</w:t>
      </w:r>
      <w:r>
        <w:rPr>
          <w:rFonts w:hint="eastAsia" w:ascii="仿宋_GB2312" w:eastAsia="仿宋_GB2312" w:cs="仿宋_GB2312"/>
          <w:color w:val="auto"/>
          <w:sz w:val="30"/>
          <w:szCs w:val="30"/>
          <w:highlight w:val="none"/>
          <w:lang w:eastAsia="zh-CN"/>
        </w:rPr>
        <w:t>：竣工（施工过程）结算款支付申请（核准）表</w:t>
      </w:r>
    </w:p>
    <w:p w14:paraId="7B47194F">
      <w:pPr>
        <w:wordWrap w:val="0"/>
        <w:jc w:val="center"/>
        <w:outlineLvl w:val="1"/>
        <w:rPr>
          <w:b/>
          <w:color w:val="auto"/>
          <w:sz w:val="36"/>
          <w:szCs w:val="36"/>
          <w:highlight w:val="none"/>
        </w:rPr>
      </w:pPr>
      <w:r>
        <w:rPr>
          <w:rFonts w:hint="default" w:ascii="宋体" w:hAnsi="宋体"/>
          <w:b/>
          <w:color w:val="auto"/>
          <w:sz w:val="30"/>
          <w:szCs w:val="30"/>
          <w:highlight w:val="none"/>
          <w:lang w:val="en"/>
        </w:rPr>
        <w:t>竣工</w:t>
      </w:r>
      <w:r>
        <w:rPr>
          <w:rFonts w:hint="default" w:ascii="宋体" w:hAnsi="宋体"/>
          <w:b/>
          <w:color w:val="auto"/>
          <w:sz w:val="30"/>
          <w:szCs w:val="30"/>
          <w:highlight w:val="none"/>
          <w:lang w:val="en" w:eastAsia="zh-CN"/>
        </w:rPr>
        <w:t>（施工过程）</w:t>
      </w:r>
      <w:r>
        <w:rPr>
          <w:rFonts w:hint="default" w:ascii="宋体" w:hAnsi="宋体"/>
          <w:b/>
          <w:color w:val="auto"/>
          <w:sz w:val="30"/>
          <w:szCs w:val="30"/>
          <w:highlight w:val="none"/>
          <w:lang w:val="en"/>
        </w:rPr>
        <w:t>结算款支付申请（核准）表</w:t>
      </w:r>
    </w:p>
    <w:p w14:paraId="54ACD34B">
      <w:pPr>
        <w:ind w:firstLine="420" w:firstLineChars="200"/>
        <w:rPr>
          <w:color w:val="auto"/>
          <w:sz w:val="24"/>
          <w:szCs w:val="24"/>
          <w:highlight w:val="none"/>
        </w:rPr>
      </w:pPr>
      <w:r>
        <w:rPr>
          <w:rFonts w:hint="eastAsia" w:ascii="宋体" w:hAnsi="宋体"/>
          <w:color w:val="auto"/>
          <w:sz w:val="21"/>
          <w:szCs w:val="21"/>
          <w:highlight w:val="none"/>
        </w:rPr>
        <w:t xml:space="preserve">工程名称：                                    </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rPr>
        <w:t>编号：</w:t>
      </w:r>
    </w:p>
    <w:tbl>
      <w:tblPr>
        <w:tblStyle w:val="160"/>
        <w:tblW w:w="92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49"/>
        <w:gridCol w:w="4280"/>
      </w:tblGrid>
      <w:tr w14:paraId="70939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8" w:hRule="atLeast"/>
          <w:jc w:val="center"/>
        </w:trPr>
        <w:tc>
          <w:tcPr>
            <w:tcW w:w="9229" w:type="dxa"/>
            <w:gridSpan w:val="2"/>
            <w:noWrap w:val="0"/>
            <w:vAlign w:val="top"/>
          </w:tcPr>
          <w:p w14:paraId="2C5DABCC">
            <w:pPr>
              <w:pStyle w:val="159"/>
              <w:spacing w:before="234" w:line="220" w:lineRule="auto"/>
              <w:ind w:left="85"/>
              <w:rPr>
                <w:rFonts w:hint="eastAsia" w:eastAsia="宋体"/>
                <w:color w:val="auto"/>
                <w:sz w:val="21"/>
                <w:szCs w:val="21"/>
                <w:highlight w:val="none"/>
                <w:lang w:eastAsia="zh-CN"/>
              </w:rPr>
            </w:pPr>
            <w:r>
              <w:rPr>
                <w:color w:val="auto"/>
                <w:spacing w:val="1"/>
                <w:sz w:val="21"/>
                <w:szCs w:val="21"/>
                <w:highlight w:val="none"/>
              </w:rPr>
              <w:t>致</w:t>
            </w:r>
            <w:r>
              <w:rPr>
                <w:color w:val="auto"/>
                <w:spacing w:val="-26"/>
                <w:sz w:val="21"/>
                <w:szCs w:val="21"/>
                <w:highlight w:val="none"/>
              </w:rPr>
              <w:t xml:space="preserve"> </w:t>
            </w:r>
            <w:r>
              <w:rPr>
                <w:color w:val="auto"/>
                <w:spacing w:val="1"/>
                <w:sz w:val="21"/>
                <w:szCs w:val="21"/>
                <w:highlight w:val="none"/>
              </w:rPr>
              <w:t>：</w:t>
            </w:r>
            <w:r>
              <w:rPr>
                <w:color w:val="auto"/>
                <w:spacing w:val="3"/>
                <w:sz w:val="21"/>
                <w:szCs w:val="21"/>
                <w:highlight w:val="none"/>
                <w:u w:val="single"/>
              </w:rPr>
              <w:t xml:space="preserve">                   </w:t>
            </w:r>
            <w:r>
              <w:rPr>
                <w:rFonts w:hint="eastAsia" w:eastAsia="宋体"/>
                <w:color w:val="auto"/>
                <w:spacing w:val="1"/>
                <w:sz w:val="21"/>
                <w:szCs w:val="21"/>
                <w:highlight w:val="none"/>
                <w:lang w:eastAsia="zh-CN"/>
              </w:rPr>
              <w:t>（</w:t>
            </w:r>
            <w:r>
              <w:rPr>
                <w:color w:val="auto"/>
                <w:spacing w:val="1"/>
                <w:sz w:val="21"/>
                <w:szCs w:val="21"/>
                <w:highlight w:val="none"/>
              </w:rPr>
              <w:t>发包人全称</w:t>
            </w:r>
            <w:r>
              <w:rPr>
                <w:rFonts w:hint="eastAsia" w:eastAsia="宋体"/>
                <w:color w:val="auto"/>
                <w:spacing w:val="1"/>
                <w:sz w:val="21"/>
                <w:szCs w:val="21"/>
                <w:highlight w:val="none"/>
                <w:lang w:eastAsia="zh-CN"/>
              </w:rPr>
              <w:t>）</w:t>
            </w:r>
          </w:p>
          <w:p w14:paraId="5CAFD997">
            <w:pPr>
              <w:pStyle w:val="159"/>
              <w:spacing w:before="59" w:line="248" w:lineRule="auto"/>
              <w:ind w:left="124" w:firstLine="399"/>
              <w:rPr>
                <w:color w:val="auto"/>
                <w:sz w:val="21"/>
                <w:szCs w:val="21"/>
                <w:highlight w:val="none"/>
              </w:rPr>
            </w:pPr>
            <w:r>
              <w:rPr>
                <w:color w:val="auto"/>
                <w:spacing w:val="-5"/>
                <w:sz w:val="21"/>
                <w:szCs w:val="21"/>
                <w:highlight w:val="none"/>
              </w:rPr>
              <w:t>我方于</w:t>
            </w:r>
            <w:r>
              <w:rPr>
                <w:color w:val="auto"/>
                <w:spacing w:val="11"/>
                <w:sz w:val="21"/>
                <w:szCs w:val="21"/>
                <w:highlight w:val="none"/>
                <w:u w:val="single" w:color="auto"/>
              </w:rPr>
              <w:t xml:space="preserve">      </w:t>
            </w:r>
            <w:r>
              <w:rPr>
                <w:color w:val="auto"/>
                <w:spacing w:val="-5"/>
                <w:sz w:val="21"/>
                <w:szCs w:val="21"/>
                <w:highlight w:val="none"/>
              </w:rPr>
              <w:t>至</w:t>
            </w:r>
            <w:r>
              <w:rPr>
                <w:color w:val="auto"/>
                <w:spacing w:val="-93"/>
                <w:sz w:val="21"/>
                <w:szCs w:val="21"/>
                <w:highlight w:val="none"/>
              </w:rPr>
              <w:t xml:space="preserve"> </w:t>
            </w:r>
            <w:r>
              <w:rPr>
                <w:color w:val="auto"/>
                <w:spacing w:val="16"/>
                <w:sz w:val="21"/>
                <w:szCs w:val="21"/>
                <w:highlight w:val="none"/>
                <w:u w:val="single" w:color="auto"/>
              </w:rPr>
              <w:t xml:space="preserve">     </w:t>
            </w:r>
            <w:r>
              <w:rPr>
                <w:color w:val="auto"/>
                <w:spacing w:val="-101"/>
                <w:sz w:val="21"/>
                <w:szCs w:val="21"/>
                <w:highlight w:val="none"/>
              </w:rPr>
              <w:t xml:space="preserve"> </w:t>
            </w:r>
            <w:r>
              <w:rPr>
                <w:color w:val="auto"/>
                <w:spacing w:val="-5"/>
                <w:sz w:val="21"/>
                <w:szCs w:val="21"/>
                <w:highlight w:val="none"/>
              </w:rPr>
              <w:t>期间已完成合同约定的工作</w:t>
            </w:r>
            <w:r>
              <w:rPr>
                <w:rFonts w:hint="eastAsia" w:eastAsia="宋体"/>
                <w:color w:val="auto"/>
                <w:spacing w:val="-5"/>
                <w:sz w:val="21"/>
                <w:szCs w:val="21"/>
                <w:highlight w:val="none"/>
                <w:lang w:eastAsia="zh-CN"/>
              </w:rPr>
              <w:t>，</w:t>
            </w:r>
            <w:r>
              <w:rPr>
                <w:color w:val="auto"/>
                <w:spacing w:val="-5"/>
                <w:sz w:val="21"/>
                <w:szCs w:val="21"/>
                <w:highlight w:val="none"/>
              </w:rPr>
              <w:t>工程已经完工</w:t>
            </w:r>
            <w:r>
              <w:rPr>
                <w:rFonts w:hint="eastAsia" w:eastAsia="宋体"/>
                <w:color w:val="auto"/>
                <w:spacing w:val="-5"/>
                <w:sz w:val="21"/>
                <w:szCs w:val="21"/>
                <w:highlight w:val="none"/>
                <w:lang w:eastAsia="zh-CN"/>
              </w:rPr>
              <w:t>，</w:t>
            </w:r>
            <w:r>
              <w:rPr>
                <w:color w:val="auto"/>
                <w:spacing w:val="-5"/>
                <w:sz w:val="21"/>
                <w:szCs w:val="21"/>
                <w:highlight w:val="none"/>
              </w:rPr>
              <w:t>根据施工合同的约</w:t>
            </w:r>
            <w:r>
              <w:rPr>
                <w:color w:val="auto"/>
                <w:spacing w:val="-6"/>
                <w:sz w:val="21"/>
                <w:szCs w:val="21"/>
                <w:highlight w:val="none"/>
              </w:rPr>
              <w:t>定</w:t>
            </w:r>
            <w:r>
              <w:rPr>
                <w:rFonts w:hint="eastAsia" w:eastAsia="宋体"/>
                <w:color w:val="auto"/>
                <w:spacing w:val="-6"/>
                <w:sz w:val="21"/>
                <w:szCs w:val="21"/>
                <w:highlight w:val="none"/>
                <w:lang w:eastAsia="zh-CN"/>
              </w:rPr>
              <w:t>，</w:t>
            </w:r>
            <w:r>
              <w:rPr>
                <w:color w:val="auto"/>
                <w:spacing w:val="-6"/>
                <w:sz w:val="21"/>
                <w:szCs w:val="21"/>
                <w:highlight w:val="none"/>
              </w:rPr>
              <w:t>现申</w:t>
            </w:r>
            <w:r>
              <w:rPr>
                <w:color w:val="auto"/>
                <w:sz w:val="21"/>
                <w:szCs w:val="21"/>
                <w:highlight w:val="none"/>
              </w:rPr>
              <w:t xml:space="preserve"> </w:t>
            </w:r>
            <w:r>
              <w:rPr>
                <w:color w:val="auto"/>
                <w:spacing w:val="3"/>
                <w:sz w:val="21"/>
                <w:szCs w:val="21"/>
                <w:highlight w:val="none"/>
              </w:rPr>
              <w:t>请支付竣工结算合同款额为</w:t>
            </w:r>
            <w:r>
              <w:rPr>
                <w:rFonts w:hint="eastAsia" w:eastAsia="宋体"/>
                <w:color w:val="auto"/>
                <w:spacing w:val="3"/>
                <w:sz w:val="21"/>
                <w:szCs w:val="21"/>
                <w:highlight w:val="none"/>
                <w:lang w:eastAsia="zh-CN"/>
              </w:rPr>
              <w:t>（</w:t>
            </w:r>
            <w:r>
              <w:rPr>
                <w:color w:val="auto"/>
                <w:spacing w:val="3"/>
                <w:sz w:val="21"/>
                <w:szCs w:val="21"/>
                <w:highlight w:val="none"/>
              </w:rPr>
              <w:t>大写</w:t>
            </w:r>
            <w:r>
              <w:rPr>
                <w:rFonts w:hint="eastAsia" w:eastAsia="宋体"/>
                <w:color w:val="auto"/>
                <w:spacing w:val="3"/>
                <w:sz w:val="21"/>
                <w:szCs w:val="21"/>
                <w:highlight w:val="none"/>
                <w:lang w:eastAsia="zh-CN"/>
              </w:rPr>
              <w:t>）</w:t>
            </w:r>
            <w:r>
              <w:rPr>
                <w:color w:val="auto"/>
                <w:spacing w:val="6"/>
                <w:sz w:val="21"/>
                <w:szCs w:val="21"/>
                <w:highlight w:val="none"/>
                <w:u w:val="single" w:color="auto"/>
              </w:rPr>
              <w:t xml:space="preserve">                </w:t>
            </w:r>
            <w:r>
              <w:rPr>
                <w:rFonts w:hint="eastAsia" w:eastAsia="宋体"/>
                <w:color w:val="auto"/>
                <w:spacing w:val="3"/>
                <w:sz w:val="21"/>
                <w:szCs w:val="21"/>
                <w:highlight w:val="none"/>
                <w:u w:val="single" w:color="auto"/>
                <w:lang w:eastAsia="zh-CN"/>
              </w:rPr>
              <w:t>（</w:t>
            </w:r>
            <w:r>
              <w:rPr>
                <w:color w:val="auto"/>
                <w:spacing w:val="3"/>
                <w:sz w:val="21"/>
                <w:szCs w:val="21"/>
                <w:highlight w:val="none"/>
                <w:u w:val="single" w:color="auto"/>
              </w:rPr>
              <w:t>小</w:t>
            </w:r>
            <w:r>
              <w:rPr>
                <w:color w:val="auto"/>
                <w:spacing w:val="3"/>
                <w:sz w:val="21"/>
                <w:szCs w:val="21"/>
                <w:highlight w:val="none"/>
              </w:rPr>
              <w:t xml:space="preserve">写  </w:t>
            </w:r>
            <w:r>
              <w:rPr>
                <w:color w:val="auto"/>
                <w:spacing w:val="3"/>
                <w:sz w:val="21"/>
                <w:szCs w:val="21"/>
                <w:highlight w:val="none"/>
                <w:u w:val="single" w:color="auto"/>
              </w:rPr>
              <w:t xml:space="preserve">             </w:t>
            </w:r>
            <w:r>
              <w:rPr>
                <w:rFonts w:hint="eastAsia" w:eastAsia="宋体"/>
                <w:color w:val="auto"/>
                <w:spacing w:val="3"/>
                <w:sz w:val="21"/>
                <w:szCs w:val="21"/>
                <w:highlight w:val="none"/>
                <w:lang w:eastAsia="zh-CN"/>
              </w:rPr>
              <w:t>），</w:t>
            </w:r>
            <w:r>
              <w:rPr>
                <w:color w:val="auto"/>
                <w:spacing w:val="3"/>
                <w:sz w:val="21"/>
                <w:szCs w:val="21"/>
                <w:highlight w:val="none"/>
              </w:rPr>
              <w:t>请予核准。</w:t>
            </w:r>
          </w:p>
          <w:p w14:paraId="3029E1C0">
            <w:pPr>
              <w:spacing w:line="21" w:lineRule="exact"/>
              <w:rPr>
                <w:color w:val="auto"/>
                <w:highlight w:val="none"/>
              </w:rPr>
            </w:pPr>
          </w:p>
          <w:tbl>
            <w:tblPr>
              <w:tblStyle w:val="160"/>
              <w:tblW w:w="8710" w:type="dxa"/>
              <w:tblInd w:w="2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5"/>
              <w:gridCol w:w="3396"/>
              <w:gridCol w:w="1588"/>
              <w:gridCol w:w="1558"/>
              <w:gridCol w:w="1593"/>
            </w:tblGrid>
            <w:tr w14:paraId="68A28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75" w:type="dxa"/>
                  <w:noWrap w:val="0"/>
                  <w:vAlign w:val="top"/>
                </w:tcPr>
                <w:p w14:paraId="35B21F73">
                  <w:pPr>
                    <w:pStyle w:val="159"/>
                    <w:spacing w:before="73" w:line="221" w:lineRule="auto"/>
                    <w:ind w:left="85"/>
                    <w:rPr>
                      <w:color w:val="auto"/>
                      <w:sz w:val="21"/>
                      <w:szCs w:val="21"/>
                      <w:highlight w:val="none"/>
                    </w:rPr>
                  </w:pPr>
                  <w:r>
                    <w:rPr>
                      <w:color w:val="auto"/>
                      <w:spacing w:val="-2"/>
                      <w:sz w:val="21"/>
                      <w:szCs w:val="21"/>
                      <w:highlight w:val="none"/>
                    </w:rPr>
                    <w:t>序号</w:t>
                  </w:r>
                </w:p>
              </w:tc>
              <w:tc>
                <w:tcPr>
                  <w:tcW w:w="3396" w:type="dxa"/>
                  <w:noWrap w:val="0"/>
                  <w:vAlign w:val="top"/>
                </w:tcPr>
                <w:p w14:paraId="6C247F71">
                  <w:pPr>
                    <w:pStyle w:val="159"/>
                    <w:spacing w:before="75" w:line="221" w:lineRule="auto"/>
                    <w:ind w:left="1490"/>
                    <w:rPr>
                      <w:color w:val="auto"/>
                      <w:sz w:val="21"/>
                      <w:szCs w:val="21"/>
                      <w:highlight w:val="none"/>
                    </w:rPr>
                  </w:pPr>
                  <w:r>
                    <w:rPr>
                      <w:color w:val="auto"/>
                      <w:spacing w:val="-3"/>
                      <w:sz w:val="21"/>
                      <w:szCs w:val="21"/>
                      <w:highlight w:val="none"/>
                    </w:rPr>
                    <w:t>名称</w:t>
                  </w:r>
                </w:p>
              </w:tc>
              <w:tc>
                <w:tcPr>
                  <w:tcW w:w="1588" w:type="dxa"/>
                  <w:noWrap w:val="0"/>
                  <w:vAlign w:val="top"/>
                </w:tcPr>
                <w:p w14:paraId="6D1CEFAC">
                  <w:pPr>
                    <w:pStyle w:val="159"/>
                    <w:spacing w:before="72" w:line="219" w:lineRule="auto"/>
                    <w:ind w:left="204"/>
                    <w:jc w:val="center"/>
                    <w:rPr>
                      <w:rFonts w:hint="eastAsia" w:eastAsia="宋体"/>
                      <w:color w:val="auto"/>
                      <w:sz w:val="21"/>
                      <w:szCs w:val="21"/>
                      <w:highlight w:val="none"/>
                      <w:lang w:eastAsia="zh-CN"/>
                    </w:rPr>
                  </w:pPr>
                  <w:r>
                    <w:rPr>
                      <w:color w:val="auto"/>
                      <w:spacing w:val="5"/>
                      <w:sz w:val="21"/>
                      <w:szCs w:val="21"/>
                      <w:highlight w:val="none"/>
                    </w:rPr>
                    <w:t>申请金额</w:t>
                  </w:r>
                  <w:r>
                    <w:rPr>
                      <w:rFonts w:hint="eastAsia" w:eastAsia="宋体"/>
                      <w:color w:val="auto"/>
                      <w:spacing w:val="5"/>
                      <w:sz w:val="21"/>
                      <w:szCs w:val="21"/>
                      <w:highlight w:val="none"/>
                      <w:lang w:eastAsia="zh-CN"/>
                    </w:rPr>
                    <w:t>（</w:t>
                  </w:r>
                  <w:r>
                    <w:rPr>
                      <w:color w:val="auto"/>
                      <w:spacing w:val="5"/>
                      <w:sz w:val="21"/>
                      <w:szCs w:val="21"/>
                      <w:highlight w:val="none"/>
                    </w:rPr>
                    <w:t>元</w:t>
                  </w:r>
                  <w:r>
                    <w:rPr>
                      <w:rFonts w:hint="eastAsia" w:eastAsia="宋体"/>
                      <w:color w:val="auto"/>
                      <w:spacing w:val="5"/>
                      <w:sz w:val="21"/>
                      <w:szCs w:val="21"/>
                      <w:highlight w:val="none"/>
                      <w:lang w:eastAsia="zh-CN"/>
                    </w:rPr>
                    <w:t>）</w:t>
                  </w:r>
                </w:p>
              </w:tc>
              <w:tc>
                <w:tcPr>
                  <w:tcW w:w="1558" w:type="dxa"/>
                  <w:noWrap w:val="0"/>
                  <w:vAlign w:val="top"/>
                </w:tcPr>
                <w:p w14:paraId="22BE39B3">
                  <w:pPr>
                    <w:pStyle w:val="159"/>
                    <w:spacing w:before="72" w:line="219" w:lineRule="auto"/>
                    <w:ind w:left="205"/>
                    <w:jc w:val="center"/>
                    <w:rPr>
                      <w:rFonts w:hint="eastAsia" w:eastAsia="宋体"/>
                      <w:color w:val="auto"/>
                      <w:sz w:val="21"/>
                      <w:szCs w:val="21"/>
                      <w:highlight w:val="none"/>
                      <w:lang w:eastAsia="zh-CN"/>
                    </w:rPr>
                  </w:pPr>
                  <w:r>
                    <w:rPr>
                      <w:color w:val="auto"/>
                      <w:spacing w:val="5"/>
                      <w:sz w:val="21"/>
                      <w:szCs w:val="21"/>
                      <w:highlight w:val="none"/>
                    </w:rPr>
                    <w:t>复核金额</w:t>
                  </w:r>
                  <w:r>
                    <w:rPr>
                      <w:rFonts w:hint="eastAsia" w:eastAsia="宋体"/>
                      <w:color w:val="auto"/>
                      <w:spacing w:val="5"/>
                      <w:sz w:val="21"/>
                      <w:szCs w:val="21"/>
                      <w:highlight w:val="none"/>
                      <w:lang w:eastAsia="zh-CN"/>
                    </w:rPr>
                    <w:t>（</w:t>
                  </w:r>
                  <w:r>
                    <w:rPr>
                      <w:color w:val="auto"/>
                      <w:spacing w:val="5"/>
                      <w:sz w:val="21"/>
                      <w:szCs w:val="21"/>
                      <w:highlight w:val="none"/>
                    </w:rPr>
                    <w:t>元</w:t>
                  </w:r>
                  <w:r>
                    <w:rPr>
                      <w:rFonts w:hint="eastAsia" w:eastAsia="宋体"/>
                      <w:color w:val="auto"/>
                      <w:spacing w:val="5"/>
                      <w:sz w:val="21"/>
                      <w:szCs w:val="21"/>
                      <w:highlight w:val="none"/>
                      <w:lang w:eastAsia="zh-CN"/>
                    </w:rPr>
                    <w:t>）</w:t>
                  </w:r>
                </w:p>
              </w:tc>
              <w:tc>
                <w:tcPr>
                  <w:tcW w:w="1593" w:type="dxa"/>
                  <w:noWrap w:val="0"/>
                  <w:vAlign w:val="top"/>
                </w:tcPr>
                <w:p w14:paraId="34B3E4F3">
                  <w:pPr>
                    <w:pStyle w:val="159"/>
                    <w:spacing w:before="73" w:line="221" w:lineRule="auto"/>
                    <w:ind w:left="628"/>
                    <w:rPr>
                      <w:color w:val="auto"/>
                      <w:sz w:val="21"/>
                      <w:szCs w:val="21"/>
                      <w:highlight w:val="none"/>
                    </w:rPr>
                  </w:pPr>
                  <w:r>
                    <w:rPr>
                      <w:color w:val="auto"/>
                      <w:spacing w:val="-3"/>
                      <w:sz w:val="21"/>
                      <w:szCs w:val="21"/>
                      <w:highlight w:val="none"/>
                    </w:rPr>
                    <w:t>备注</w:t>
                  </w:r>
                </w:p>
              </w:tc>
            </w:tr>
            <w:tr w14:paraId="4B06A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575" w:type="dxa"/>
                  <w:noWrap w:val="0"/>
                  <w:vAlign w:val="top"/>
                </w:tcPr>
                <w:p w14:paraId="4FFE4F50">
                  <w:pPr>
                    <w:pStyle w:val="159"/>
                    <w:spacing w:before="117" w:line="184" w:lineRule="auto"/>
                    <w:ind w:left="225"/>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3396" w:type="dxa"/>
                  <w:noWrap w:val="0"/>
                  <w:vAlign w:val="top"/>
                </w:tcPr>
                <w:p w14:paraId="6C73B0C7">
                  <w:pPr>
                    <w:pStyle w:val="159"/>
                    <w:spacing w:before="68" w:line="218" w:lineRule="auto"/>
                    <w:ind w:left="0"/>
                    <w:rPr>
                      <w:color w:val="auto"/>
                      <w:sz w:val="21"/>
                      <w:szCs w:val="21"/>
                      <w:highlight w:val="none"/>
                    </w:rPr>
                  </w:pPr>
                  <w:r>
                    <w:rPr>
                      <w:color w:val="auto"/>
                      <w:spacing w:val="-1"/>
                      <w:sz w:val="21"/>
                      <w:szCs w:val="21"/>
                      <w:highlight w:val="none"/>
                    </w:rPr>
                    <w:t>工程竣工</w:t>
                  </w:r>
                  <w:r>
                    <w:rPr>
                      <w:rFonts w:hint="eastAsia" w:eastAsia="宋体"/>
                      <w:color w:val="auto"/>
                      <w:spacing w:val="-1"/>
                      <w:sz w:val="21"/>
                      <w:szCs w:val="21"/>
                      <w:highlight w:val="none"/>
                      <w:lang w:eastAsia="zh-CN"/>
                    </w:rPr>
                    <w:t>（施工过程）</w:t>
                  </w:r>
                  <w:r>
                    <w:rPr>
                      <w:color w:val="auto"/>
                      <w:spacing w:val="-1"/>
                      <w:sz w:val="21"/>
                      <w:szCs w:val="21"/>
                      <w:highlight w:val="none"/>
                    </w:rPr>
                    <w:t>结算价款总额</w:t>
                  </w:r>
                </w:p>
              </w:tc>
              <w:tc>
                <w:tcPr>
                  <w:tcW w:w="1588" w:type="dxa"/>
                  <w:noWrap w:val="0"/>
                  <w:vAlign w:val="top"/>
                </w:tcPr>
                <w:p w14:paraId="201109C7">
                  <w:pPr>
                    <w:rPr>
                      <w:rFonts w:ascii="Arial"/>
                      <w:color w:val="auto"/>
                      <w:sz w:val="21"/>
                      <w:highlight w:val="none"/>
                    </w:rPr>
                  </w:pPr>
                </w:p>
              </w:tc>
              <w:tc>
                <w:tcPr>
                  <w:tcW w:w="1558" w:type="dxa"/>
                  <w:noWrap w:val="0"/>
                  <w:vAlign w:val="top"/>
                </w:tcPr>
                <w:p w14:paraId="06B1C7BE">
                  <w:pPr>
                    <w:rPr>
                      <w:rFonts w:ascii="Arial"/>
                      <w:color w:val="auto"/>
                      <w:sz w:val="21"/>
                      <w:highlight w:val="none"/>
                    </w:rPr>
                  </w:pPr>
                </w:p>
              </w:tc>
              <w:tc>
                <w:tcPr>
                  <w:tcW w:w="1593" w:type="dxa"/>
                  <w:noWrap w:val="0"/>
                  <w:vAlign w:val="top"/>
                </w:tcPr>
                <w:p w14:paraId="1093E201">
                  <w:pPr>
                    <w:rPr>
                      <w:rFonts w:ascii="Arial"/>
                      <w:color w:val="auto"/>
                      <w:sz w:val="21"/>
                      <w:highlight w:val="none"/>
                    </w:rPr>
                  </w:pPr>
                </w:p>
              </w:tc>
            </w:tr>
            <w:tr w14:paraId="2C450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575" w:type="dxa"/>
                  <w:noWrap w:val="0"/>
                  <w:vAlign w:val="top"/>
                </w:tcPr>
                <w:p w14:paraId="6770395B">
                  <w:pPr>
                    <w:pStyle w:val="159"/>
                    <w:spacing w:before="130" w:line="183" w:lineRule="auto"/>
                    <w:ind w:left="225"/>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3396" w:type="dxa"/>
                  <w:noWrap w:val="0"/>
                  <w:vAlign w:val="top"/>
                </w:tcPr>
                <w:p w14:paraId="20AB937D">
                  <w:pPr>
                    <w:pStyle w:val="159"/>
                    <w:spacing w:before="80" w:line="218" w:lineRule="auto"/>
                    <w:ind w:left="0"/>
                    <w:rPr>
                      <w:color w:val="auto"/>
                      <w:sz w:val="21"/>
                      <w:szCs w:val="21"/>
                      <w:highlight w:val="none"/>
                    </w:rPr>
                  </w:pPr>
                  <w:r>
                    <w:rPr>
                      <w:color w:val="auto"/>
                      <w:sz w:val="21"/>
                      <w:szCs w:val="21"/>
                      <w:highlight w:val="none"/>
                    </w:rPr>
                    <w:t>累计已实际支付的价款</w:t>
                  </w:r>
                </w:p>
              </w:tc>
              <w:tc>
                <w:tcPr>
                  <w:tcW w:w="1588" w:type="dxa"/>
                  <w:noWrap w:val="0"/>
                  <w:vAlign w:val="top"/>
                </w:tcPr>
                <w:p w14:paraId="59F189F6">
                  <w:pPr>
                    <w:rPr>
                      <w:rFonts w:ascii="Arial"/>
                      <w:color w:val="auto"/>
                      <w:sz w:val="21"/>
                      <w:highlight w:val="none"/>
                    </w:rPr>
                  </w:pPr>
                </w:p>
              </w:tc>
              <w:tc>
                <w:tcPr>
                  <w:tcW w:w="1558" w:type="dxa"/>
                  <w:noWrap w:val="0"/>
                  <w:vAlign w:val="top"/>
                </w:tcPr>
                <w:p w14:paraId="3A47098E">
                  <w:pPr>
                    <w:rPr>
                      <w:rFonts w:ascii="Arial"/>
                      <w:color w:val="auto"/>
                      <w:sz w:val="21"/>
                      <w:highlight w:val="none"/>
                    </w:rPr>
                  </w:pPr>
                </w:p>
              </w:tc>
              <w:tc>
                <w:tcPr>
                  <w:tcW w:w="1593" w:type="dxa"/>
                  <w:noWrap w:val="0"/>
                  <w:vAlign w:val="top"/>
                </w:tcPr>
                <w:p w14:paraId="30AA8D5A">
                  <w:pPr>
                    <w:rPr>
                      <w:rFonts w:ascii="Arial"/>
                      <w:color w:val="auto"/>
                      <w:sz w:val="21"/>
                      <w:highlight w:val="none"/>
                    </w:rPr>
                  </w:pPr>
                </w:p>
              </w:tc>
            </w:tr>
            <w:tr w14:paraId="0B3BA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575" w:type="dxa"/>
                  <w:noWrap w:val="0"/>
                  <w:vAlign w:val="top"/>
                </w:tcPr>
                <w:p w14:paraId="010491F3">
                  <w:pPr>
                    <w:pStyle w:val="159"/>
                    <w:spacing w:before="123" w:line="183" w:lineRule="auto"/>
                    <w:ind w:left="225"/>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w:t>
                  </w:r>
                </w:p>
              </w:tc>
              <w:tc>
                <w:tcPr>
                  <w:tcW w:w="3396" w:type="dxa"/>
                  <w:noWrap w:val="0"/>
                  <w:vAlign w:val="top"/>
                </w:tcPr>
                <w:p w14:paraId="1AD0B381">
                  <w:pPr>
                    <w:pStyle w:val="159"/>
                    <w:spacing w:before="75" w:line="220" w:lineRule="auto"/>
                    <w:ind w:left="0"/>
                    <w:rPr>
                      <w:color w:val="auto"/>
                      <w:sz w:val="21"/>
                      <w:szCs w:val="21"/>
                      <w:highlight w:val="none"/>
                    </w:rPr>
                  </w:pPr>
                  <w:r>
                    <w:rPr>
                      <w:color w:val="auto"/>
                      <w:spacing w:val="-1"/>
                      <w:sz w:val="21"/>
                      <w:szCs w:val="21"/>
                      <w:highlight w:val="none"/>
                    </w:rPr>
                    <w:t>应预留的质量保证金</w:t>
                  </w:r>
                </w:p>
              </w:tc>
              <w:tc>
                <w:tcPr>
                  <w:tcW w:w="1588" w:type="dxa"/>
                  <w:noWrap w:val="0"/>
                  <w:vAlign w:val="top"/>
                </w:tcPr>
                <w:p w14:paraId="17D1B585">
                  <w:pPr>
                    <w:rPr>
                      <w:rFonts w:ascii="Arial"/>
                      <w:color w:val="auto"/>
                      <w:sz w:val="21"/>
                      <w:highlight w:val="none"/>
                    </w:rPr>
                  </w:pPr>
                </w:p>
              </w:tc>
              <w:tc>
                <w:tcPr>
                  <w:tcW w:w="1558" w:type="dxa"/>
                  <w:noWrap w:val="0"/>
                  <w:vAlign w:val="top"/>
                </w:tcPr>
                <w:p w14:paraId="24133D4F">
                  <w:pPr>
                    <w:rPr>
                      <w:rFonts w:ascii="Arial"/>
                      <w:color w:val="auto"/>
                      <w:sz w:val="21"/>
                      <w:highlight w:val="none"/>
                    </w:rPr>
                  </w:pPr>
                </w:p>
              </w:tc>
              <w:tc>
                <w:tcPr>
                  <w:tcW w:w="1593" w:type="dxa"/>
                  <w:noWrap w:val="0"/>
                  <w:vAlign w:val="top"/>
                </w:tcPr>
                <w:p w14:paraId="4D3193EC">
                  <w:pPr>
                    <w:rPr>
                      <w:rFonts w:ascii="Arial"/>
                      <w:color w:val="auto"/>
                      <w:sz w:val="21"/>
                      <w:highlight w:val="none"/>
                    </w:rPr>
                  </w:pPr>
                </w:p>
              </w:tc>
            </w:tr>
            <w:tr w14:paraId="43F6B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75" w:type="dxa"/>
                  <w:noWrap w:val="0"/>
                  <w:vAlign w:val="top"/>
                </w:tcPr>
                <w:p w14:paraId="70C06302">
                  <w:pPr>
                    <w:pStyle w:val="159"/>
                    <w:spacing w:before="125" w:line="182" w:lineRule="auto"/>
                    <w:ind w:left="225"/>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w:t>
                  </w:r>
                </w:p>
              </w:tc>
              <w:tc>
                <w:tcPr>
                  <w:tcW w:w="3396" w:type="dxa"/>
                  <w:noWrap w:val="0"/>
                  <w:vAlign w:val="top"/>
                </w:tcPr>
                <w:p w14:paraId="74983E10">
                  <w:pPr>
                    <w:pStyle w:val="159"/>
                    <w:spacing w:before="76" w:line="219" w:lineRule="auto"/>
                    <w:ind w:left="0"/>
                    <w:rPr>
                      <w:color w:val="auto"/>
                      <w:sz w:val="21"/>
                      <w:szCs w:val="21"/>
                      <w:highlight w:val="none"/>
                    </w:rPr>
                  </w:pPr>
                  <w:r>
                    <w:rPr>
                      <w:color w:val="auto"/>
                      <w:spacing w:val="-1"/>
                      <w:sz w:val="21"/>
                      <w:szCs w:val="21"/>
                      <w:highlight w:val="none"/>
                    </w:rPr>
                    <w:t>实际应支付的竣工</w:t>
                  </w:r>
                  <w:r>
                    <w:rPr>
                      <w:rFonts w:hint="eastAsia" w:eastAsia="宋体"/>
                      <w:color w:val="auto"/>
                      <w:spacing w:val="-1"/>
                      <w:sz w:val="21"/>
                      <w:szCs w:val="21"/>
                      <w:highlight w:val="none"/>
                      <w:lang w:eastAsia="zh-CN"/>
                    </w:rPr>
                    <w:t>（施工过程）</w:t>
                  </w:r>
                  <w:r>
                    <w:rPr>
                      <w:color w:val="auto"/>
                      <w:spacing w:val="-1"/>
                      <w:sz w:val="21"/>
                      <w:szCs w:val="21"/>
                      <w:highlight w:val="none"/>
                    </w:rPr>
                    <w:t>结算款金额</w:t>
                  </w:r>
                </w:p>
              </w:tc>
              <w:tc>
                <w:tcPr>
                  <w:tcW w:w="1588" w:type="dxa"/>
                  <w:noWrap w:val="0"/>
                  <w:vAlign w:val="top"/>
                </w:tcPr>
                <w:p w14:paraId="780493A2">
                  <w:pPr>
                    <w:rPr>
                      <w:rFonts w:ascii="Arial"/>
                      <w:color w:val="auto"/>
                      <w:sz w:val="21"/>
                      <w:highlight w:val="none"/>
                    </w:rPr>
                  </w:pPr>
                </w:p>
              </w:tc>
              <w:tc>
                <w:tcPr>
                  <w:tcW w:w="1558" w:type="dxa"/>
                  <w:noWrap w:val="0"/>
                  <w:vAlign w:val="top"/>
                </w:tcPr>
                <w:p w14:paraId="3033D2C2">
                  <w:pPr>
                    <w:rPr>
                      <w:rFonts w:ascii="Arial"/>
                      <w:color w:val="auto"/>
                      <w:sz w:val="21"/>
                      <w:highlight w:val="none"/>
                    </w:rPr>
                  </w:pPr>
                </w:p>
              </w:tc>
              <w:tc>
                <w:tcPr>
                  <w:tcW w:w="1593" w:type="dxa"/>
                  <w:noWrap w:val="0"/>
                  <w:vAlign w:val="top"/>
                </w:tcPr>
                <w:p w14:paraId="44798F82">
                  <w:pPr>
                    <w:rPr>
                      <w:rFonts w:ascii="Arial"/>
                      <w:color w:val="auto"/>
                      <w:sz w:val="21"/>
                      <w:highlight w:val="none"/>
                    </w:rPr>
                  </w:pPr>
                </w:p>
              </w:tc>
            </w:tr>
          </w:tbl>
          <w:p w14:paraId="416E9B6C">
            <w:pPr>
              <w:spacing w:line="330" w:lineRule="auto"/>
              <w:rPr>
                <w:rFonts w:ascii="Arial"/>
                <w:color w:val="auto"/>
                <w:sz w:val="21"/>
                <w:highlight w:val="none"/>
              </w:rPr>
            </w:pPr>
          </w:p>
          <w:p w14:paraId="383D7548">
            <w:pPr>
              <w:spacing w:line="330" w:lineRule="auto"/>
              <w:rPr>
                <w:rFonts w:ascii="Arial"/>
                <w:color w:val="auto"/>
                <w:sz w:val="21"/>
                <w:highlight w:val="none"/>
              </w:rPr>
            </w:pPr>
          </w:p>
          <w:p w14:paraId="7A7B9529">
            <w:pPr>
              <w:pStyle w:val="159"/>
              <w:spacing w:before="68" w:line="219" w:lineRule="auto"/>
              <w:ind w:left="6824"/>
              <w:rPr>
                <w:rFonts w:hint="eastAsia" w:eastAsia="宋体"/>
                <w:color w:val="auto"/>
                <w:spacing w:val="7"/>
                <w:sz w:val="21"/>
                <w:szCs w:val="21"/>
                <w:highlight w:val="none"/>
                <w:lang w:eastAsia="zh-CN"/>
              </w:rPr>
            </w:pPr>
            <w:r>
              <w:rPr>
                <w:color w:val="auto"/>
                <w:spacing w:val="7"/>
                <w:sz w:val="21"/>
                <w:szCs w:val="21"/>
                <w:highlight w:val="none"/>
              </w:rPr>
              <w:t>承包人</w:t>
            </w:r>
            <w:r>
              <w:rPr>
                <w:rFonts w:hint="eastAsia" w:eastAsia="宋体"/>
                <w:color w:val="auto"/>
                <w:spacing w:val="7"/>
                <w:sz w:val="21"/>
                <w:szCs w:val="21"/>
                <w:highlight w:val="none"/>
                <w:lang w:eastAsia="zh-CN"/>
              </w:rPr>
              <w:t>（</w:t>
            </w:r>
            <w:r>
              <w:rPr>
                <w:color w:val="auto"/>
                <w:spacing w:val="7"/>
                <w:sz w:val="21"/>
                <w:szCs w:val="21"/>
                <w:highlight w:val="none"/>
              </w:rPr>
              <w:t>章</w:t>
            </w:r>
            <w:r>
              <w:rPr>
                <w:rFonts w:hint="eastAsia" w:eastAsia="宋体"/>
                <w:color w:val="auto"/>
                <w:spacing w:val="7"/>
                <w:sz w:val="21"/>
                <w:szCs w:val="21"/>
                <w:highlight w:val="none"/>
                <w:lang w:eastAsia="zh-CN"/>
              </w:rPr>
              <w:t>）</w:t>
            </w:r>
          </w:p>
          <w:p w14:paraId="5C45E54F">
            <w:pPr>
              <w:pStyle w:val="159"/>
              <w:spacing w:before="142" w:line="226" w:lineRule="auto"/>
              <w:ind w:left="104"/>
              <w:rPr>
                <w:color w:val="auto"/>
                <w:sz w:val="21"/>
                <w:szCs w:val="21"/>
                <w:highlight w:val="none"/>
              </w:rPr>
            </w:pPr>
            <w:r>
              <w:rPr>
                <w:color w:val="auto"/>
                <w:spacing w:val="-3"/>
                <w:sz w:val="21"/>
                <w:szCs w:val="21"/>
                <w:highlight w:val="none"/>
                <w:u w:val="none"/>
              </w:rPr>
              <w:t>编制人员</w:t>
            </w:r>
            <w:r>
              <w:rPr>
                <w:color w:val="auto"/>
                <w:spacing w:val="3"/>
                <w:sz w:val="21"/>
                <w:szCs w:val="21"/>
                <w:highlight w:val="none"/>
                <w:u w:val="none"/>
              </w:rPr>
              <w:t xml:space="preserve">                 </w:t>
            </w:r>
            <w:r>
              <w:rPr>
                <w:color w:val="auto"/>
                <w:spacing w:val="-3"/>
                <w:sz w:val="21"/>
                <w:szCs w:val="21"/>
                <w:highlight w:val="none"/>
                <w:u w:val="none"/>
              </w:rPr>
              <w:t>承包人代表</w:t>
            </w:r>
            <w:r>
              <w:rPr>
                <w:color w:val="auto"/>
                <w:spacing w:val="3"/>
                <w:sz w:val="21"/>
                <w:szCs w:val="21"/>
                <w:highlight w:val="none"/>
                <w:u w:val="none"/>
              </w:rPr>
              <w:t xml:space="preserve">                      </w:t>
            </w:r>
            <w:r>
              <w:rPr>
                <w:color w:val="auto"/>
                <w:spacing w:val="-3"/>
                <w:position w:val="1"/>
                <w:sz w:val="21"/>
                <w:szCs w:val="21"/>
                <w:highlight w:val="none"/>
                <w:u w:val="none"/>
              </w:rPr>
              <w:t>日</w:t>
            </w:r>
            <w:r>
              <w:rPr>
                <w:color w:val="auto"/>
                <w:spacing w:val="-31"/>
                <w:position w:val="1"/>
                <w:sz w:val="21"/>
                <w:szCs w:val="21"/>
                <w:highlight w:val="none"/>
                <w:u w:val="none"/>
              </w:rPr>
              <w:t xml:space="preserve"> </w:t>
            </w:r>
            <w:r>
              <w:rPr>
                <w:color w:val="auto"/>
                <w:spacing w:val="-3"/>
                <w:position w:val="1"/>
                <w:sz w:val="21"/>
                <w:szCs w:val="21"/>
                <w:highlight w:val="none"/>
                <w:u w:val="none"/>
              </w:rPr>
              <w:t>期</w:t>
            </w:r>
          </w:p>
        </w:tc>
      </w:tr>
      <w:tr w14:paraId="40BD3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9" w:hRule="atLeast"/>
          <w:jc w:val="center"/>
        </w:trPr>
        <w:tc>
          <w:tcPr>
            <w:tcW w:w="4949" w:type="dxa"/>
            <w:noWrap w:val="0"/>
            <w:vAlign w:val="top"/>
          </w:tcPr>
          <w:p w14:paraId="18CE0396">
            <w:pPr>
              <w:spacing w:line="251" w:lineRule="auto"/>
              <w:jc w:val="left"/>
              <w:rPr>
                <w:color w:val="auto"/>
                <w:sz w:val="21"/>
                <w:szCs w:val="21"/>
                <w:highlight w:val="none"/>
              </w:rPr>
            </w:pPr>
            <w:r>
              <w:rPr>
                <w:color w:val="auto"/>
                <w:spacing w:val="-1"/>
                <w:sz w:val="21"/>
                <w:szCs w:val="21"/>
                <w:highlight w:val="none"/>
              </w:rPr>
              <w:t>复核意见：</w:t>
            </w:r>
          </w:p>
          <w:p w14:paraId="2FE55ABE">
            <w:pPr>
              <w:spacing w:line="360" w:lineRule="exact"/>
              <w:jc w:val="left"/>
              <w:rPr>
                <w:color w:val="auto"/>
                <w:sz w:val="21"/>
                <w:szCs w:val="21"/>
                <w:highlight w:val="none"/>
              </w:rPr>
            </w:pPr>
            <w:r>
              <w:rPr>
                <w:color w:val="auto"/>
                <w:sz w:val="32"/>
                <w:szCs w:val="32"/>
                <w:highlight w:val="none"/>
              </w:rPr>
              <w:t>□</w:t>
            </w:r>
            <w:r>
              <w:rPr>
                <w:color w:val="auto"/>
                <w:sz w:val="21"/>
                <w:szCs w:val="21"/>
                <w:highlight w:val="none"/>
              </w:rPr>
              <w:t>与实际施工情况不相符</w:t>
            </w:r>
            <w:r>
              <w:rPr>
                <w:rFonts w:hint="eastAsia"/>
                <w:color w:val="auto"/>
                <w:sz w:val="21"/>
                <w:szCs w:val="21"/>
                <w:highlight w:val="none"/>
                <w:lang w:eastAsia="zh-CN"/>
              </w:rPr>
              <w:t>，</w:t>
            </w:r>
            <w:r>
              <w:rPr>
                <w:color w:val="auto"/>
                <w:sz w:val="21"/>
                <w:szCs w:val="21"/>
                <w:highlight w:val="none"/>
              </w:rPr>
              <w:t>修改意见见附件</w:t>
            </w:r>
          </w:p>
          <w:p w14:paraId="53D60F35">
            <w:pPr>
              <w:spacing w:line="360" w:lineRule="exact"/>
              <w:jc w:val="left"/>
              <w:rPr>
                <w:color w:val="auto"/>
                <w:sz w:val="21"/>
                <w:szCs w:val="21"/>
                <w:highlight w:val="none"/>
              </w:rPr>
            </w:pPr>
            <w:r>
              <w:rPr>
                <w:color w:val="auto"/>
                <w:sz w:val="32"/>
                <w:szCs w:val="32"/>
                <w:highlight w:val="none"/>
              </w:rPr>
              <w:t>□</w:t>
            </w:r>
            <w:r>
              <w:rPr>
                <w:color w:val="auto"/>
                <w:spacing w:val="-8"/>
                <w:sz w:val="21"/>
                <w:szCs w:val="21"/>
                <w:highlight w:val="none"/>
              </w:rPr>
              <w:t>与实际施工情况相符</w:t>
            </w:r>
            <w:r>
              <w:rPr>
                <w:rFonts w:hint="eastAsia"/>
                <w:color w:val="auto"/>
                <w:spacing w:val="-8"/>
                <w:sz w:val="21"/>
                <w:szCs w:val="21"/>
                <w:highlight w:val="none"/>
                <w:lang w:eastAsia="zh-CN"/>
              </w:rPr>
              <w:t>，</w:t>
            </w:r>
            <w:r>
              <w:rPr>
                <w:color w:val="auto"/>
                <w:spacing w:val="-8"/>
                <w:sz w:val="21"/>
                <w:szCs w:val="21"/>
                <w:highlight w:val="none"/>
              </w:rPr>
              <w:t>具体金额应由造价工程师复核</w:t>
            </w:r>
          </w:p>
          <w:p w14:paraId="33F6061C">
            <w:pPr>
              <w:spacing w:line="251" w:lineRule="auto"/>
              <w:jc w:val="left"/>
              <w:rPr>
                <w:rFonts w:ascii="Arial"/>
                <w:color w:val="auto"/>
                <w:sz w:val="21"/>
                <w:highlight w:val="none"/>
              </w:rPr>
            </w:pPr>
          </w:p>
          <w:p w14:paraId="3BB7C50A">
            <w:pPr>
              <w:spacing w:line="251" w:lineRule="auto"/>
              <w:jc w:val="left"/>
              <w:rPr>
                <w:rFonts w:ascii="Arial"/>
                <w:color w:val="auto"/>
                <w:sz w:val="21"/>
                <w:highlight w:val="none"/>
              </w:rPr>
            </w:pPr>
          </w:p>
          <w:p w14:paraId="2E33711A">
            <w:pPr>
              <w:spacing w:line="251" w:lineRule="auto"/>
              <w:jc w:val="left"/>
              <w:rPr>
                <w:rFonts w:ascii="Arial"/>
                <w:color w:val="auto"/>
                <w:sz w:val="21"/>
                <w:highlight w:val="none"/>
              </w:rPr>
            </w:pPr>
          </w:p>
          <w:p w14:paraId="3658EEB4">
            <w:pPr>
              <w:spacing w:line="251" w:lineRule="auto"/>
              <w:jc w:val="left"/>
              <w:rPr>
                <w:rFonts w:ascii="Arial"/>
                <w:color w:val="auto"/>
                <w:sz w:val="21"/>
                <w:highlight w:val="none"/>
              </w:rPr>
            </w:pPr>
          </w:p>
          <w:p w14:paraId="0011B990">
            <w:pPr>
              <w:spacing w:line="251" w:lineRule="auto"/>
              <w:ind w:firstLine="0"/>
              <w:jc w:val="left"/>
              <w:rPr>
                <w:rFonts w:hint="eastAsia" w:ascii="宋体" w:hAnsi="宋体"/>
                <w:color w:val="auto"/>
                <w:highlight w:val="none"/>
              </w:rPr>
            </w:pPr>
          </w:p>
          <w:p w14:paraId="410F81A5">
            <w:pPr>
              <w:spacing w:line="251" w:lineRule="auto"/>
              <w:ind w:firstLine="2310" w:firstLineChars="1100"/>
              <w:jc w:val="left"/>
              <w:rPr>
                <w:color w:val="auto"/>
                <w:highlight w:val="none"/>
                <w:u w:val="single"/>
              </w:rPr>
            </w:pPr>
            <w:r>
              <w:rPr>
                <w:rFonts w:hint="eastAsia" w:ascii="宋体" w:hAnsi="宋体" w:eastAsia="宋体"/>
                <w:color w:val="auto"/>
                <w:highlight w:val="none"/>
                <w:lang w:eastAsia="zh-CN"/>
              </w:rPr>
              <w:t>监理</w:t>
            </w:r>
            <w:r>
              <w:rPr>
                <w:rFonts w:hint="eastAsia" w:ascii="宋体" w:hAnsi="宋体" w:eastAsia="宋体"/>
                <w:color w:val="auto"/>
                <w:highlight w:val="none"/>
              </w:rPr>
              <w:t>工程师</w:t>
            </w:r>
            <w:r>
              <w:rPr>
                <w:color w:val="auto"/>
                <w:highlight w:val="none"/>
                <w:u w:val="single"/>
              </w:rPr>
              <w:t xml:space="preserve">           </w:t>
            </w:r>
          </w:p>
          <w:p w14:paraId="7E8CFE9D">
            <w:pPr>
              <w:spacing w:line="251" w:lineRule="auto"/>
              <w:jc w:val="left"/>
              <w:rPr>
                <w:color w:val="auto"/>
                <w:sz w:val="21"/>
                <w:szCs w:val="21"/>
                <w:highlight w:val="none"/>
              </w:rPr>
            </w:pPr>
            <w:r>
              <w:rPr>
                <w:color w:val="auto"/>
                <w:highlight w:val="none"/>
              </w:rPr>
              <w:t xml:space="preserve">       </w:t>
            </w:r>
            <w:r>
              <w:rPr>
                <w:rFonts w:hint="eastAsia"/>
                <w:color w:val="auto"/>
                <w:highlight w:val="none"/>
                <w:lang w:val="en-US" w:eastAsia="zh-CN"/>
              </w:rPr>
              <w:t xml:space="preserve"> </w:t>
            </w:r>
            <w:r>
              <w:rPr>
                <w:color w:val="auto"/>
                <w:highlight w:val="none"/>
              </w:rPr>
              <w:t xml:space="preserve"> </w:t>
            </w:r>
            <w:r>
              <w:rPr>
                <w:rFonts w:hint="eastAsia"/>
                <w:color w:val="auto"/>
                <w:highlight w:val="none"/>
                <w:lang w:val="en-US" w:eastAsia="zh-CN"/>
              </w:rPr>
              <w:t xml:space="preserve">            </w:t>
            </w:r>
            <w:r>
              <w:rPr>
                <w:rFonts w:hint="eastAsia" w:ascii="宋体" w:hAnsi="宋体"/>
                <w:color w:val="auto"/>
                <w:highlight w:val="none"/>
              </w:rPr>
              <w:t>日</w:t>
            </w:r>
            <w:r>
              <w:rPr>
                <w:rFonts w:hint="eastAsia" w:ascii="宋体" w:hAnsi="宋体"/>
                <w:color w:val="auto"/>
                <w:highlight w:val="none"/>
                <w:lang w:val="en-US" w:eastAsia="zh-CN"/>
              </w:rPr>
              <w:t xml:space="preserve">   </w:t>
            </w:r>
            <w:r>
              <w:rPr>
                <w:color w:val="auto"/>
                <w:highlight w:val="none"/>
              </w:rPr>
              <w:t xml:space="preserve">  </w:t>
            </w:r>
            <w:r>
              <w:rPr>
                <w:rFonts w:hint="eastAsia" w:ascii="宋体" w:hAnsi="宋体"/>
                <w:color w:val="auto"/>
                <w:highlight w:val="none"/>
              </w:rPr>
              <w:t>期</w:t>
            </w:r>
            <w:r>
              <w:rPr>
                <w:color w:val="auto"/>
                <w:highlight w:val="none"/>
                <w:u w:val="single"/>
              </w:rPr>
              <w:t xml:space="preserve">           </w:t>
            </w:r>
          </w:p>
        </w:tc>
        <w:tc>
          <w:tcPr>
            <w:tcW w:w="4280" w:type="dxa"/>
            <w:noWrap w:val="0"/>
            <w:vAlign w:val="top"/>
          </w:tcPr>
          <w:p w14:paraId="3AA3ACCC">
            <w:pPr>
              <w:pStyle w:val="159"/>
              <w:spacing w:before="68" w:line="219" w:lineRule="auto"/>
              <w:ind w:left="115"/>
              <w:rPr>
                <w:color w:val="auto"/>
                <w:sz w:val="21"/>
                <w:szCs w:val="21"/>
                <w:highlight w:val="none"/>
              </w:rPr>
            </w:pPr>
            <w:r>
              <w:rPr>
                <w:color w:val="auto"/>
                <w:spacing w:val="-1"/>
                <w:sz w:val="21"/>
                <w:szCs w:val="21"/>
                <w:highlight w:val="none"/>
              </w:rPr>
              <w:t>复核意见：</w:t>
            </w:r>
          </w:p>
          <w:p w14:paraId="3D572859">
            <w:pPr>
              <w:pStyle w:val="159"/>
              <w:spacing w:before="60" w:line="233" w:lineRule="auto"/>
              <w:ind w:left="115" w:firstLine="415"/>
              <w:rPr>
                <w:color w:val="auto"/>
                <w:sz w:val="21"/>
                <w:szCs w:val="21"/>
                <w:highlight w:val="none"/>
              </w:rPr>
            </w:pPr>
            <w:r>
              <w:rPr>
                <w:color w:val="auto"/>
                <w:spacing w:val="-3"/>
                <w:sz w:val="21"/>
                <w:szCs w:val="21"/>
                <w:highlight w:val="none"/>
              </w:rPr>
              <w:t>你方提出的竣工</w:t>
            </w:r>
            <w:r>
              <w:rPr>
                <w:rFonts w:hint="eastAsia"/>
                <w:color w:val="auto"/>
                <w:spacing w:val="-3"/>
                <w:sz w:val="21"/>
                <w:szCs w:val="21"/>
                <w:highlight w:val="none"/>
              </w:rPr>
              <w:t>（施工过程）</w:t>
            </w:r>
            <w:r>
              <w:rPr>
                <w:color w:val="auto"/>
                <w:spacing w:val="-3"/>
                <w:sz w:val="21"/>
                <w:szCs w:val="21"/>
                <w:highlight w:val="none"/>
              </w:rPr>
              <w:t>结算款支付申请经复核</w:t>
            </w:r>
            <w:r>
              <w:rPr>
                <w:rFonts w:hint="eastAsia" w:eastAsia="宋体"/>
                <w:color w:val="auto"/>
                <w:spacing w:val="-3"/>
                <w:sz w:val="21"/>
                <w:szCs w:val="21"/>
                <w:highlight w:val="none"/>
                <w:lang w:eastAsia="zh-CN"/>
              </w:rPr>
              <w:t>，</w:t>
            </w:r>
            <w:r>
              <w:rPr>
                <w:color w:val="auto"/>
                <w:spacing w:val="11"/>
                <w:sz w:val="21"/>
                <w:szCs w:val="21"/>
                <w:highlight w:val="none"/>
              </w:rPr>
              <w:t xml:space="preserve"> </w:t>
            </w:r>
            <w:r>
              <w:rPr>
                <w:color w:val="auto"/>
                <w:spacing w:val="1"/>
                <w:sz w:val="21"/>
                <w:szCs w:val="21"/>
                <w:highlight w:val="none"/>
              </w:rPr>
              <w:t>竣工</w:t>
            </w:r>
            <w:r>
              <w:rPr>
                <w:rFonts w:hint="eastAsia"/>
                <w:color w:val="auto"/>
                <w:spacing w:val="1"/>
                <w:sz w:val="21"/>
                <w:szCs w:val="21"/>
                <w:highlight w:val="none"/>
              </w:rPr>
              <w:t>（施工过程）</w:t>
            </w:r>
            <w:r>
              <w:rPr>
                <w:color w:val="auto"/>
                <w:spacing w:val="1"/>
                <w:sz w:val="21"/>
                <w:szCs w:val="21"/>
                <w:highlight w:val="none"/>
              </w:rPr>
              <w:t>结算款总额为</w:t>
            </w:r>
            <w:r>
              <w:rPr>
                <w:rFonts w:hint="eastAsia" w:eastAsia="宋体"/>
                <w:color w:val="auto"/>
                <w:spacing w:val="1"/>
                <w:sz w:val="21"/>
                <w:szCs w:val="21"/>
                <w:highlight w:val="none"/>
                <w:lang w:eastAsia="zh-CN"/>
              </w:rPr>
              <w:t>（</w:t>
            </w:r>
            <w:r>
              <w:rPr>
                <w:color w:val="auto"/>
                <w:spacing w:val="1"/>
                <w:sz w:val="21"/>
                <w:szCs w:val="21"/>
                <w:highlight w:val="none"/>
              </w:rPr>
              <w:t>大写</w:t>
            </w:r>
            <w:r>
              <w:rPr>
                <w:rFonts w:hint="eastAsia" w:eastAsia="宋体"/>
                <w:color w:val="auto"/>
                <w:spacing w:val="1"/>
                <w:sz w:val="21"/>
                <w:szCs w:val="21"/>
                <w:highlight w:val="none"/>
                <w:u w:val="single" w:color="auto"/>
                <w:lang w:eastAsia="zh-CN"/>
              </w:rPr>
              <w:t>）</w:t>
            </w:r>
            <w:r>
              <w:rPr>
                <w:color w:val="auto"/>
                <w:spacing w:val="28"/>
                <w:sz w:val="21"/>
                <w:szCs w:val="21"/>
                <w:highlight w:val="none"/>
                <w:u w:val="single" w:color="auto"/>
              </w:rPr>
              <w:t xml:space="preserve">  </w:t>
            </w:r>
            <w:r>
              <w:rPr>
                <w:color w:val="auto"/>
                <w:sz w:val="21"/>
                <w:szCs w:val="21"/>
                <w:highlight w:val="none"/>
                <w:u w:val="single" w:color="auto"/>
              </w:rPr>
              <w:t xml:space="preserve">    </w:t>
            </w:r>
            <w:r>
              <w:rPr>
                <w:rFonts w:hint="eastAsia" w:eastAsia="宋体"/>
                <w:color w:val="auto"/>
                <w:sz w:val="21"/>
                <w:szCs w:val="21"/>
                <w:highlight w:val="none"/>
                <w:lang w:eastAsia="zh-CN"/>
              </w:rPr>
              <w:t>（</w:t>
            </w:r>
            <w:r>
              <w:rPr>
                <w:color w:val="auto"/>
                <w:sz w:val="21"/>
                <w:szCs w:val="21"/>
                <w:highlight w:val="none"/>
              </w:rPr>
              <w:t>小写</w:t>
            </w:r>
            <w:r>
              <w:rPr>
                <w:color w:val="auto"/>
                <w:spacing w:val="11"/>
                <w:sz w:val="21"/>
                <w:szCs w:val="21"/>
                <w:highlight w:val="none"/>
                <w:u w:val="single" w:color="auto"/>
              </w:rPr>
              <w:t xml:space="preserve">        </w:t>
            </w:r>
            <w:r>
              <w:rPr>
                <w:color w:val="auto"/>
                <w:spacing w:val="-98"/>
                <w:sz w:val="21"/>
                <w:szCs w:val="21"/>
                <w:highlight w:val="none"/>
              </w:rPr>
              <w:t xml:space="preserve"> </w:t>
            </w:r>
            <w:r>
              <w:rPr>
                <w:rFonts w:hint="eastAsia" w:eastAsia="宋体"/>
                <w:color w:val="auto"/>
                <w:sz w:val="21"/>
                <w:szCs w:val="21"/>
                <w:highlight w:val="none"/>
                <w:lang w:eastAsia="zh-CN"/>
              </w:rPr>
              <w:t>），</w:t>
            </w:r>
          </w:p>
          <w:p w14:paraId="4B9177F3">
            <w:pPr>
              <w:pStyle w:val="159"/>
              <w:spacing w:before="67" w:line="216" w:lineRule="auto"/>
              <w:ind w:left="115"/>
              <w:rPr>
                <w:rFonts w:ascii="Arial"/>
                <w:color w:val="auto"/>
                <w:sz w:val="21"/>
                <w:highlight w:val="none"/>
              </w:rPr>
            </w:pPr>
            <w:r>
              <w:rPr>
                <w:color w:val="auto"/>
                <w:sz w:val="21"/>
                <w:szCs w:val="21"/>
                <w:highlight w:val="none"/>
              </w:rPr>
              <w:t>扣除前期支付以及质量</w:t>
            </w:r>
            <w:r>
              <w:rPr>
                <w:color w:val="auto"/>
                <w:spacing w:val="2"/>
                <w:sz w:val="21"/>
                <w:szCs w:val="21"/>
                <w:highlight w:val="none"/>
              </w:rPr>
              <w:t>保证金后应支付金额为</w:t>
            </w:r>
            <w:r>
              <w:rPr>
                <w:rFonts w:hint="eastAsia" w:eastAsia="宋体"/>
                <w:color w:val="auto"/>
                <w:spacing w:val="2"/>
                <w:sz w:val="21"/>
                <w:szCs w:val="21"/>
                <w:highlight w:val="none"/>
                <w:lang w:eastAsia="zh-CN"/>
              </w:rPr>
              <w:t>（</w:t>
            </w:r>
            <w:r>
              <w:rPr>
                <w:color w:val="auto"/>
                <w:spacing w:val="2"/>
                <w:sz w:val="21"/>
                <w:szCs w:val="21"/>
                <w:highlight w:val="none"/>
              </w:rPr>
              <w:t>大写</w:t>
            </w:r>
            <w:r>
              <w:rPr>
                <w:rFonts w:hint="eastAsia" w:eastAsia="宋体"/>
                <w:color w:val="auto"/>
                <w:spacing w:val="7"/>
                <w:sz w:val="21"/>
                <w:szCs w:val="21"/>
                <w:highlight w:val="none"/>
                <w:lang w:eastAsia="zh-CN"/>
              </w:rPr>
              <w:t>）</w:t>
            </w:r>
            <w:r>
              <w:rPr>
                <w:rFonts w:hint="eastAsia" w:eastAsia="宋体"/>
                <w:color w:val="auto"/>
                <w:spacing w:val="2"/>
                <w:sz w:val="21"/>
                <w:szCs w:val="21"/>
                <w:highlight w:val="none"/>
                <w:u w:val="single"/>
                <w:lang w:val="en-US" w:eastAsia="zh-CN"/>
              </w:rPr>
              <w:t xml:space="preserve">       </w:t>
            </w:r>
            <w:r>
              <w:rPr>
                <w:color w:val="auto"/>
                <w:spacing w:val="-39"/>
                <w:sz w:val="21"/>
                <w:szCs w:val="21"/>
                <w:highlight w:val="none"/>
                <w:u w:val="single" w:color="auto"/>
              </w:rPr>
              <w:t xml:space="preserve"> </w:t>
            </w:r>
            <w:r>
              <w:rPr>
                <w:color w:val="auto"/>
                <w:spacing w:val="-100"/>
                <w:sz w:val="21"/>
                <w:szCs w:val="21"/>
                <w:highlight w:val="none"/>
              </w:rPr>
              <w:t xml:space="preserve"> </w:t>
            </w:r>
            <w:r>
              <w:rPr>
                <w:color w:val="auto"/>
                <w:spacing w:val="8"/>
                <w:sz w:val="21"/>
                <w:szCs w:val="21"/>
                <w:highlight w:val="none"/>
                <w:u w:val="single" w:color="auto"/>
              </w:rPr>
              <w:t xml:space="preserve">           </w:t>
            </w:r>
            <w:r>
              <w:rPr>
                <w:color w:val="auto"/>
                <w:spacing w:val="7"/>
                <w:sz w:val="21"/>
                <w:szCs w:val="21"/>
                <w:highlight w:val="none"/>
              </w:rPr>
              <w:t xml:space="preserve"> </w:t>
            </w:r>
            <w:r>
              <w:rPr>
                <w:rFonts w:hint="eastAsia" w:eastAsia="宋体"/>
                <w:color w:val="auto"/>
                <w:spacing w:val="-18"/>
                <w:sz w:val="21"/>
                <w:szCs w:val="21"/>
                <w:highlight w:val="none"/>
                <w:lang w:eastAsia="zh-CN"/>
              </w:rPr>
              <w:t>（</w:t>
            </w:r>
            <w:r>
              <w:rPr>
                <w:color w:val="auto"/>
                <w:spacing w:val="4"/>
                <w:sz w:val="21"/>
                <w:szCs w:val="21"/>
                <w:highlight w:val="none"/>
              </w:rPr>
              <w:t xml:space="preserve"> </w:t>
            </w:r>
            <w:r>
              <w:rPr>
                <w:color w:val="auto"/>
                <w:spacing w:val="-18"/>
                <w:sz w:val="21"/>
                <w:szCs w:val="21"/>
                <w:highlight w:val="none"/>
              </w:rPr>
              <w:t>小</w:t>
            </w:r>
            <w:r>
              <w:rPr>
                <w:color w:val="auto"/>
                <w:spacing w:val="2"/>
                <w:sz w:val="21"/>
                <w:szCs w:val="21"/>
                <w:highlight w:val="none"/>
              </w:rPr>
              <w:t xml:space="preserve"> </w:t>
            </w:r>
            <w:r>
              <w:rPr>
                <w:color w:val="auto"/>
                <w:spacing w:val="-18"/>
                <w:sz w:val="21"/>
                <w:szCs w:val="21"/>
                <w:highlight w:val="none"/>
              </w:rPr>
              <w:t>写</w:t>
            </w:r>
            <w:r>
              <w:rPr>
                <w:color w:val="auto"/>
                <w:spacing w:val="3"/>
                <w:sz w:val="21"/>
                <w:szCs w:val="21"/>
                <w:highlight w:val="none"/>
                <w:u w:val="single" w:color="auto"/>
              </w:rPr>
              <w:t xml:space="preserve">                   </w:t>
            </w:r>
            <w:r>
              <w:rPr>
                <w:rFonts w:hint="eastAsia" w:eastAsia="宋体"/>
                <w:color w:val="auto"/>
                <w:spacing w:val="-18"/>
                <w:sz w:val="21"/>
                <w:szCs w:val="21"/>
                <w:highlight w:val="none"/>
                <w:lang w:eastAsia="zh-CN"/>
              </w:rPr>
              <w:t>）</w:t>
            </w:r>
            <w:r>
              <w:rPr>
                <w:color w:val="auto"/>
                <w:spacing w:val="-18"/>
                <w:sz w:val="21"/>
                <w:szCs w:val="21"/>
                <w:highlight w:val="none"/>
              </w:rPr>
              <w:t>。</w:t>
            </w:r>
          </w:p>
          <w:p w14:paraId="5202AE9B">
            <w:pPr>
              <w:spacing w:line="360" w:lineRule="exact"/>
              <w:ind w:firstLine="435"/>
              <w:jc w:val="center"/>
              <w:rPr>
                <w:color w:val="auto"/>
                <w:highlight w:val="none"/>
                <w:u w:val="single"/>
              </w:rPr>
            </w:pPr>
            <w:r>
              <w:rPr>
                <w:color w:val="auto"/>
                <w:highlight w:val="none"/>
              </w:rPr>
              <w:t xml:space="preserve"> </w:t>
            </w:r>
            <w:r>
              <w:rPr>
                <w:rFonts w:hint="eastAsia" w:ascii="宋体" w:hAnsi="宋体"/>
                <w:color w:val="auto"/>
                <w:highlight w:val="none"/>
              </w:rPr>
              <w:t>造价工程师</w:t>
            </w:r>
            <w:r>
              <w:rPr>
                <w:color w:val="auto"/>
                <w:highlight w:val="none"/>
                <w:u w:val="single"/>
              </w:rPr>
              <w:t xml:space="preserve">           </w:t>
            </w:r>
          </w:p>
          <w:p w14:paraId="4DFD3C55">
            <w:pPr>
              <w:pStyle w:val="159"/>
              <w:spacing w:before="69" w:line="227" w:lineRule="auto"/>
              <w:ind w:left="2792" w:hanging="1387"/>
              <w:rPr>
                <w:color w:val="auto"/>
                <w:sz w:val="21"/>
                <w:szCs w:val="21"/>
                <w:highlight w:val="none"/>
              </w:rPr>
            </w:pPr>
            <w:r>
              <w:rPr>
                <w:rFonts w:hint="eastAsia" w:ascii="宋体" w:hAnsi="宋体" w:eastAsia="宋体" w:cs="Times New Roman"/>
                <w:color w:val="auto"/>
                <w:kern w:val="2"/>
                <w:sz w:val="21"/>
                <w:szCs w:val="24"/>
                <w:highlight w:val="none"/>
                <w:lang w:val="en-US" w:eastAsia="zh-CN" w:bidi="ar-SA"/>
              </w:rPr>
              <w:t xml:space="preserve">     日     期</w:t>
            </w:r>
            <w:r>
              <w:rPr>
                <w:rFonts w:ascii="Times New Roman" w:hAnsi="Times New Roman" w:eastAsia="宋体" w:cs="Times New Roman"/>
                <w:color w:val="auto"/>
                <w:kern w:val="2"/>
                <w:sz w:val="21"/>
                <w:szCs w:val="24"/>
                <w:highlight w:val="none"/>
                <w:u w:val="single"/>
                <w:lang w:val="en-US" w:eastAsia="zh-CN" w:bidi="ar-SA"/>
              </w:rPr>
              <w:t xml:space="preserve">          </w:t>
            </w:r>
          </w:p>
        </w:tc>
      </w:tr>
      <w:tr w14:paraId="1CF64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8" w:hRule="atLeast"/>
          <w:jc w:val="center"/>
        </w:trPr>
        <w:tc>
          <w:tcPr>
            <w:tcW w:w="9229" w:type="dxa"/>
            <w:gridSpan w:val="2"/>
            <w:noWrap w:val="0"/>
            <w:vAlign w:val="top"/>
          </w:tcPr>
          <w:p w14:paraId="49BB6033">
            <w:pPr>
              <w:pStyle w:val="159"/>
              <w:spacing w:before="264" w:line="257" w:lineRule="auto"/>
              <w:ind w:left="14" w:right="8058" w:firstLine="99"/>
              <w:rPr>
                <w:rFonts w:ascii="Arial"/>
                <w:color w:val="auto"/>
                <w:sz w:val="21"/>
                <w:highlight w:val="none"/>
              </w:rPr>
            </w:pPr>
            <w:r>
              <w:rPr>
                <w:color w:val="auto"/>
                <w:spacing w:val="-1"/>
                <w:sz w:val="21"/>
                <w:szCs w:val="21"/>
                <w:highlight w:val="none"/>
              </w:rPr>
              <w:t>审核意见：</w:t>
            </w:r>
            <w:r>
              <w:rPr>
                <w:color w:val="auto"/>
                <w:sz w:val="21"/>
                <w:szCs w:val="21"/>
                <w:highlight w:val="none"/>
              </w:rPr>
              <w:t xml:space="preserve"> </w:t>
            </w:r>
            <w:r>
              <w:rPr>
                <w:rFonts w:hint="eastAsia" w:eastAsia="宋体"/>
                <w:color w:val="auto"/>
                <w:sz w:val="21"/>
                <w:szCs w:val="21"/>
                <w:highlight w:val="none"/>
                <w:lang w:val="en-US" w:eastAsia="zh-CN"/>
              </w:rPr>
              <w:t xml:space="preserve">  </w:t>
            </w:r>
            <w:r>
              <w:rPr>
                <w:color w:val="auto"/>
                <w:spacing w:val="4"/>
                <w:sz w:val="21"/>
                <w:szCs w:val="21"/>
                <w:highlight w:val="none"/>
              </w:rPr>
              <w:t>口</w:t>
            </w:r>
            <w:r>
              <w:rPr>
                <w:rFonts w:hint="eastAsia" w:ascii="Arial" w:hAnsi="Arial" w:eastAsia="Arial" w:cs="Arial"/>
                <w:color w:val="auto"/>
                <w:spacing w:val="4"/>
                <w:sz w:val="21"/>
                <w:szCs w:val="21"/>
                <w:highlight w:val="none"/>
                <w:lang w:eastAsia="zh-CN"/>
              </w:rPr>
              <w:t>不同意</w:t>
            </w:r>
            <w:r>
              <w:rPr>
                <w:color w:val="auto"/>
                <w:sz w:val="21"/>
                <w:szCs w:val="21"/>
                <w:highlight w:val="none"/>
              </w:rPr>
              <w:t xml:space="preserve"> </w:t>
            </w:r>
            <w:r>
              <w:rPr>
                <w:color w:val="auto"/>
                <w:spacing w:val="4"/>
                <w:sz w:val="21"/>
                <w:szCs w:val="21"/>
                <w:highlight w:val="none"/>
              </w:rPr>
              <w:t>口同意</w:t>
            </w:r>
          </w:p>
          <w:p w14:paraId="676BCB3E">
            <w:pPr>
              <w:pStyle w:val="159"/>
              <w:spacing w:before="68" w:line="219" w:lineRule="auto"/>
              <w:ind w:left="0" w:firstLine="6379" w:firstLineChars="2848"/>
              <w:rPr>
                <w:rFonts w:hint="eastAsia" w:eastAsia="宋体"/>
                <w:color w:val="auto"/>
                <w:sz w:val="21"/>
                <w:szCs w:val="21"/>
                <w:highlight w:val="none"/>
                <w:lang w:eastAsia="zh-CN"/>
              </w:rPr>
            </w:pPr>
            <w:r>
              <w:rPr>
                <w:color w:val="auto"/>
                <w:spacing w:val="7"/>
                <w:sz w:val="21"/>
                <w:szCs w:val="21"/>
                <w:highlight w:val="none"/>
              </w:rPr>
              <w:t>发包人</w:t>
            </w:r>
            <w:r>
              <w:rPr>
                <w:rFonts w:hint="eastAsia" w:eastAsia="宋体"/>
                <w:color w:val="auto"/>
                <w:spacing w:val="7"/>
                <w:sz w:val="21"/>
                <w:szCs w:val="21"/>
                <w:highlight w:val="none"/>
                <w:lang w:eastAsia="zh-CN"/>
              </w:rPr>
              <w:t>（</w:t>
            </w:r>
            <w:r>
              <w:rPr>
                <w:color w:val="auto"/>
                <w:spacing w:val="7"/>
                <w:sz w:val="21"/>
                <w:szCs w:val="21"/>
                <w:highlight w:val="none"/>
              </w:rPr>
              <w:t>章</w:t>
            </w:r>
            <w:r>
              <w:rPr>
                <w:rFonts w:hint="eastAsia" w:eastAsia="宋体"/>
                <w:color w:val="auto"/>
                <w:spacing w:val="7"/>
                <w:sz w:val="21"/>
                <w:szCs w:val="21"/>
                <w:highlight w:val="none"/>
                <w:lang w:eastAsia="zh-CN"/>
              </w:rPr>
              <w:t>）</w:t>
            </w:r>
          </w:p>
          <w:p w14:paraId="09DD321B">
            <w:pPr>
              <w:wordWrap w:val="0"/>
              <w:spacing w:line="400" w:lineRule="exact"/>
              <w:ind w:firstLine="420" w:firstLineChars="200"/>
              <w:jc w:val="center"/>
              <w:rPr>
                <w:color w:val="auto"/>
                <w:highlight w:val="none"/>
                <w:u w:val="single"/>
              </w:rPr>
            </w:pPr>
            <w:r>
              <w:rPr>
                <w:rFonts w:hint="eastAsia" w:ascii="宋体" w:hAnsi="宋体"/>
                <w:color w:val="auto"/>
                <w:highlight w:val="none"/>
                <w:lang w:val="en-US" w:eastAsia="zh-CN"/>
              </w:rPr>
              <w:t xml:space="preserve">                                                      </w:t>
            </w:r>
            <w:r>
              <w:rPr>
                <w:rFonts w:hint="eastAsia" w:ascii="Arial" w:hAnsi="Arial" w:eastAsia="Arial" w:cs="Arial"/>
                <w:color w:val="auto"/>
                <w:spacing w:val="7"/>
                <w:kern w:val="2"/>
                <w:sz w:val="21"/>
                <w:szCs w:val="21"/>
                <w:highlight w:val="none"/>
                <w:lang w:val="en-US" w:eastAsia="en-US" w:bidi="ar-SA"/>
              </w:rPr>
              <w:t>发包人代表</w:t>
            </w:r>
            <w:r>
              <w:rPr>
                <w:color w:val="auto"/>
                <w:highlight w:val="none"/>
                <w:u w:val="single"/>
              </w:rPr>
              <w:t xml:space="preserve">          </w:t>
            </w:r>
          </w:p>
          <w:p w14:paraId="4226E2B8">
            <w:pPr>
              <w:pStyle w:val="159"/>
              <w:spacing w:before="51" w:line="243" w:lineRule="auto"/>
              <w:ind w:left="0" w:firstLine="5700" w:firstLineChars="2500"/>
              <w:rPr>
                <w:color w:val="auto"/>
                <w:sz w:val="21"/>
                <w:szCs w:val="21"/>
                <w:highlight w:val="none"/>
              </w:rPr>
            </w:pPr>
            <w:r>
              <w:rPr>
                <w:color w:val="auto"/>
                <w:spacing w:val="9"/>
                <w:sz w:val="21"/>
                <w:szCs w:val="21"/>
                <w:highlight w:val="none"/>
                <w:u w:val="single" w:color="auto"/>
              </w:rPr>
              <w:t xml:space="preserve">         </w:t>
            </w:r>
            <w:r>
              <w:rPr>
                <w:color w:val="auto"/>
                <w:sz w:val="21"/>
                <w:szCs w:val="21"/>
                <w:highlight w:val="none"/>
              </w:rPr>
              <w:t xml:space="preserve">  </w:t>
            </w:r>
            <w:r>
              <w:rPr>
                <w:color w:val="auto"/>
                <w:spacing w:val="-15"/>
                <w:sz w:val="21"/>
                <w:szCs w:val="21"/>
                <w:highlight w:val="none"/>
                <w:u w:val="single" w:color="auto"/>
              </w:rPr>
              <w:t>日期</w:t>
            </w:r>
            <w:r>
              <w:rPr>
                <w:color w:val="auto"/>
                <w:spacing w:val="-21"/>
                <w:sz w:val="21"/>
                <w:szCs w:val="21"/>
                <w:highlight w:val="none"/>
                <w:u w:val="single" w:color="auto"/>
              </w:rPr>
              <w:t xml:space="preserve"> </w:t>
            </w:r>
            <w:r>
              <w:rPr>
                <w:color w:val="auto"/>
                <w:spacing w:val="-100"/>
                <w:sz w:val="21"/>
                <w:szCs w:val="21"/>
                <w:highlight w:val="none"/>
              </w:rPr>
              <w:t xml:space="preserve"> </w:t>
            </w:r>
            <w:r>
              <w:rPr>
                <w:color w:val="auto"/>
                <w:sz w:val="21"/>
                <w:szCs w:val="21"/>
                <w:highlight w:val="none"/>
                <w:u w:val="single" w:color="auto"/>
              </w:rPr>
              <w:t xml:space="preserve">            </w:t>
            </w:r>
          </w:p>
        </w:tc>
      </w:tr>
    </w:tbl>
    <w:p w14:paraId="1C0C4FD6">
      <w:pPr>
        <w:pStyle w:val="17"/>
        <w:spacing w:before="153" w:line="200" w:lineRule="exact"/>
        <w:ind w:left="424"/>
        <w:jc w:val="left"/>
        <w:rPr>
          <w:color w:val="auto"/>
          <w:sz w:val="19"/>
          <w:szCs w:val="19"/>
          <w:highlight w:val="none"/>
        </w:rPr>
      </w:pPr>
      <w:r>
        <w:rPr>
          <w:color w:val="auto"/>
          <w:spacing w:val="-13"/>
          <w:sz w:val="19"/>
          <w:szCs w:val="19"/>
          <w:highlight w:val="none"/>
        </w:rPr>
        <w:t>注：1</w:t>
      </w:r>
      <w:r>
        <w:rPr>
          <w:rFonts w:hint="eastAsia"/>
          <w:color w:val="auto"/>
          <w:spacing w:val="70"/>
          <w:sz w:val="19"/>
          <w:szCs w:val="19"/>
          <w:highlight w:val="none"/>
          <w:lang w:val="en-US" w:eastAsia="zh-CN"/>
        </w:rPr>
        <w:t>.</w:t>
      </w:r>
      <w:r>
        <w:rPr>
          <w:color w:val="auto"/>
          <w:spacing w:val="-13"/>
          <w:sz w:val="19"/>
          <w:szCs w:val="19"/>
          <w:highlight w:val="none"/>
        </w:rPr>
        <w:t>应在选择栏中的</w:t>
      </w:r>
      <w:r>
        <w:rPr>
          <w:rFonts w:hint="eastAsia"/>
          <w:color w:val="auto"/>
          <w:spacing w:val="-13"/>
          <w:sz w:val="19"/>
          <w:szCs w:val="19"/>
          <w:highlight w:val="none"/>
          <w:lang w:eastAsia="zh-CN"/>
        </w:rPr>
        <w:t>“</w:t>
      </w:r>
      <w:r>
        <w:rPr>
          <w:color w:val="auto"/>
          <w:spacing w:val="-13"/>
          <w:sz w:val="19"/>
          <w:szCs w:val="19"/>
          <w:highlight w:val="none"/>
        </w:rPr>
        <w:t>□</w:t>
      </w:r>
      <w:r>
        <w:rPr>
          <w:rFonts w:hint="eastAsia"/>
          <w:color w:val="auto"/>
          <w:spacing w:val="-13"/>
          <w:sz w:val="19"/>
          <w:szCs w:val="19"/>
          <w:highlight w:val="none"/>
          <w:lang w:eastAsia="zh-CN"/>
        </w:rPr>
        <w:t>”</w:t>
      </w:r>
      <w:r>
        <w:rPr>
          <w:color w:val="auto"/>
          <w:spacing w:val="-13"/>
          <w:sz w:val="19"/>
          <w:szCs w:val="19"/>
          <w:highlight w:val="none"/>
        </w:rPr>
        <w:t>内作标识</w:t>
      </w:r>
      <w:r>
        <w:rPr>
          <w:rFonts w:hint="eastAsia"/>
          <w:color w:val="auto"/>
          <w:spacing w:val="-13"/>
          <w:sz w:val="19"/>
          <w:szCs w:val="19"/>
          <w:highlight w:val="none"/>
          <w:lang w:eastAsia="zh-CN"/>
        </w:rPr>
        <w:t>“</w:t>
      </w:r>
      <w:r>
        <w:rPr>
          <w:color w:val="auto"/>
          <w:spacing w:val="-70"/>
          <w:sz w:val="19"/>
          <w:szCs w:val="19"/>
          <w:highlight w:val="none"/>
        </w:rPr>
        <w:t xml:space="preserve"> </w:t>
      </w:r>
      <w:r>
        <w:rPr>
          <w:color w:val="auto"/>
          <w:spacing w:val="-13"/>
          <w:sz w:val="19"/>
          <w:szCs w:val="19"/>
          <w:highlight w:val="none"/>
        </w:rPr>
        <w:t>√</w:t>
      </w:r>
      <w:r>
        <w:rPr>
          <w:rFonts w:hint="eastAsia"/>
          <w:color w:val="auto"/>
          <w:spacing w:val="-13"/>
          <w:sz w:val="19"/>
          <w:szCs w:val="19"/>
          <w:highlight w:val="none"/>
          <w:lang w:eastAsia="zh-CN"/>
        </w:rPr>
        <w:t>”；</w:t>
      </w:r>
    </w:p>
    <w:p w14:paraId="709CB8CF">
      <w:pPr>
        <w:spacing w:line="200" w:lineRule="exact"/>
        <w:ind w:firstLine="372" w:firstLineChars="200"/>
        <w:jc w:val="both"/>
        <w:outlineLvl w:val="9"/>
        <w:rPr>
          <w:rFonts w:hint="eastAsia"/>
          <w:color w:val="auto"/>
          <w:spacing w:val="-3"/>
          <w:sz w:val="19"/>
          <w:szCs w:val="19"/>
          <w:highlight w:val="none"/>
          <w:lang w:eastAsia="zh-CN"/>
        </w:rPr>
      </w:pPr>
      <w:r>
        <w:rPr>
          <w:color w:val="auto"/>
          <w:spacing w:val="-2"/>
          <w:sz w:val="19"/>
          <w:szCs w:val="19"/>
          <w:highlight w:val="none"/>
        </w:rPr>
        <w:t>2</w:t>
      </w:r>
      <w:r>
        <w:rPr>
          <w:rFonts w:hint="eastAsia"/>
          <w:color w:val="auto"/>
          <w:spacing w:val="-2"/>
          <w:sz w:val="19"/>
          <w:szCs w:val="19"/>
          <w:highlight w:val="none"/>
          <w:lang w:val="en-US" w:eastAsia="zh-CN"/>
        </w:rPr>
        <w:t>.</w:t>
      </w:r>
      <w:r>
        <w:rPr>
          <w:color w:val="auto"/>
          <w:spacing w:val="-2"/>
          <w:sz w:val="19"/>
          <w:szCs w:val="19"/>
          <w:highlight w:val="none"/>
        </w:rPr>
        <w:t>本表应一式四份</w:t>
      </w:r>
      <w:r>
        <w:rPr>
          <w:rFonts w:hint="eastAsia"/>
          <w:color w:val="auto"/>
          <w:spacing w:val="-2"/>
          <w:sz w:val="19"/>
          <w:szCs w:val="19"/>
          <w:highlight w:val="none"/>
          <w:lang w:eastAsia="zh-CN"/>
        </w:rPr>
        <w:t>，</w:t>
      </w:r>
      <w:r>
        <w:rPr>
          <w:color w:val="auto"/>
          <w:spacing w:val="-2"/>
          <w:sz w:val="19"/>
          <w:szCs w:val="19"/>
          <w:highlight w:val="none"/>
        </w:rPr>
        <w:t>由承包人填报</w:t>
      </w:r>
      <w:r>
        <w:rPr>
          <w:rFonts w:hint="eastAsia"/>
          <w:color w:val="auto"/>
          <w:spacing w:val="-2"/>
          <w:sz w:val="19"/>
          <w:szCs w:val="19"/>
          <w:highlight w:val="none"/>
          <w:lang w:eastAsia="zh-CN"/>
        </w:rPr>
        <w:t>，</w:t>
      </w:r>
      <w:r>
        <w:rPr>
          <w:color w:val="auto"/>
          <w:spacing w:val="-2"/>
          <w:sz w:val="19"/>
          <w:szCs w:val="19"/>
          <w:highlight w:val="none"/>
        </w:rPr>
        <w:t>发包人、监理人、工程</w:t>
      </w:r>
      <w:r>
        <w:rPr>
          <w:color w:val="auto"/>
          <w:spacing w:val="-3"/>
          <w:sz w:val="19"/>
          <w:szCs w:val="19"/>
          <w:highlight w:val="none"/>
        </w:rPr>
        <w:t>造价咨询人、承包人各存一份</w:t>
      </w:r>
      <w:r>
        <w:rPr>
          <w:rFonts w:hint="eastAsia"/>
          <w:color w:val="auto"/>
          <w:spacing w:val="-3"/>
          <w:sz w:val="19"/>
          <w:szCs w:val="19"/>
          <w:highlight w:val="none"/>
          <w:lang w:eastAsia="zh-CN"/>
        </w:rPr>
        <w:t>。</w:t>
      </w:r>
    </w:p>
    <w:p w14:paraId="60DE28F9">
      <w:pPr>
        <w:pStyle w:val="40"/>
        <w:rPr>
          <w:color w:val="auto"/>
          <w:highlight w:val="none"/>
        </w:rPr>
      </w:pPr>
    </w:p>
    <w:p w14:paraId="5E46A66A">
      <w:pPr>
        <w:jc w:val="left"/>
        <w:rPr>
          <w:rFonts w:hint="eastAsia"/>
          <w:b/>
          <w:color w:val="auto"/>
          <w:sz w:val="30"/>
          <w:szCs w:val="30"/>
          <w:highlight w:val="none"/>
        </w:rPr>
      </w:pPr>
      <w:r>
        <w:rPr>
          <w:rFonts w:hint="eastAsia" w:ascii="仿宋_GB2312" w:eastAsia="仿宋_GB2312" w:cs="仿宋_GB2312"/>
          <w:color w:val="auto"/>
          <w:sz w:val="30"/>
          <w:szCs w:val="30"/>
          <w:highlight w:val="none"/>
        </w:rPr>
        <w:t>附件13：工程保修与结清结算支付申请（核准）表</w:t>
      </w:r>
    </w:p>
    <w:p w14:paraId="693F5D67">
      <w:pPr>
        <w:wordWrap w:val="0"/>
        <w:spacing w:before="0" w:after="0"/>
        <w:jc w:val="center"/>
        <w:outlineLvl w:val="1"/>
        <w:rPr>
          <w:rFonts w:ascii="宋体" w:hAnsi="宋体"/>
          <w:b/>
          <w:color w:val="auto"/>
          <w:sz w:val="30"/>
          <w:szCs w:val="30"/>
          <w:highlight w:val="none"/>
          <w:lang w:val="en"/>
        </w:rPr>
      </w:pPr>
      <w:r>
        <w:rPr>
          <w:rFonts w:hint="default" w:ascii="宋体" w:hAnsi="宋体" w:eastAsia="宋体" w:cs="Times New Roman"/>
          <w:b/>
          <w:bCs w:val="0"/>
          <w:color w:val="auto"/>
          <w:kern w:val="2"/>
          <w:sz w:val="30"/>
          <w:szCs w:val="30"/>
          <w:highlight w:val="none"/>
          <w:lang w:val="en"/>
        </w:rPr>
        <w:t>工程保修与结清结算支付申请</w:t>
      </w:r>
      <w:r>
        <w:rPr>
          <w:rFonts w:hint="eastAsia" w:ascii="宋体" w:hAnsi="宋体" w:cs="Times New Roman"/>
          <w:b/>
          <w:bCs w:val="0"/>
          <w:color w:val="auto"/>
          <w:kern w:val="2"/>
          <w:sz w:val="30"/>
          <w:szCs w:val="30"/>
          <w:highlight w:val="none"/>
          <w:lang w:val="en" w:eastAsia="zh-CN"/>
        </w:rPr>
        <w:t>（</w:t>
      </w:r>
      <w:r>
        <w:rPr>
          <w:rFonts w:hint="default" w:ascii="宋体" w:hAnsi="宋体" w:eastAsia="宋体" w:cs="Times New Roman"/>
          <w:b/>
          <w:bCs w:val="0"/>
          <w:color w:val="auto"/>
          <w:kern w:val="2"/>
          <w:sz w:val="30"/>
          <w:szCs w:val="30"/>
          <w:highlight w:val="none"/>
          <w:lang w:val="en"/>
        </w:rPr>
        <w:t>核准</w:t>
      </w:r>
      <w:r>
        <w:rPr>
          <w:rFonts w:hint="eastAsia" w:ascii="宋体" w:hAnsi="宋体" w:cs="Times New Roman"/>
          <w:b/>
          <w:bCs w:val="0"/>
          <w:color w:val="auto"/>
          <w:kern w:val="2"/>
          <w:sz w:val="30"/>
          <w:szCs w:val="30"/>
          <w:highlight w:val="none"/>
          <w:lang w:val="en" w:eastAsia="zh-CN"/>
        </w:rPr>
        <w:t>）</w:t>
      </w:r>
      <w:r>
        <w:rPr>
          <w:rFonts w:hint="default" w:ascii="宋体" w:hAnsi="宋体" w:eastAsia="宋体" w:cs="Times New Roman"/>
          <w:b/>
          <w:bCs w:val="0"/>
          <w:color w:val="auto"/>
          <w:kern w:val="2"/>
          <w:sz w:val="30"/>
          <w:szCs w:val="30"/>
          <w:highlight w:val="none"/>
          <w:lang w:val="en"/>
        </w:rPr>
        <w:t>表</w:t>
      </w:r>
    </w:p>
    <w:p w14:paraId="18E4B3F6">
      <w:pPr>
        <w:rPr>
          <w:rFonts w:ascii="宋体" w:hAnsi="宋体"/>
          <w:color w:val="auto"/>
          <w:kern w:val="0"/>
          <w:highlight w:val="none"/>
        </w:rPr>
      </w:pPr>
      <w:r>
        <w:rPr>
          <w:rFonts w:hint="eastAsia" w:ascii="宋体" w:hAnsi="宋体"/>
          <w:color w:val="auto"/>
          <w:kern w:val="0"/>
          <w:highlight w:val="none"/>
        </w:rPr>
        <w:t>工程</w:t>
      </w:r>
      <w:r>
        <w:rPr>
          <w:rFonts w:hint="eastAsia" w:ascii="宋体" w:hAnsi="宋体"/>
          <w:color w:val="auto"/>
          <w:spacing w:val="-3"/>
          <w:kern w:val="0"/>
          <w:highlight w:val="none"/>
        </w:rPr>
        <w:t>名</w:t>
      </w:r>
      <w:r>
        <w:rPr>
          <w:rFonts w:hint="eastAsia" w:ascii="宋体" w:hAnsi="宋体"/>
          <w:color w:val="auto"/>
          <w:kern w:val="0"/>
          <w:highlight w:val="none"/>
        </w:rPr>
        <w:t>称：</w:t>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标</w:t>
      </w:r>
      <w:r>
        <w:rPr>
          <w:rFonts w:hint="eastAsia" w:ascii="宋体" w:hAnsi="宋体"/>
          <w:color w:val="auto"/>
          <w:spacing w:val="-3"/>
          <w:kern w:val="0"/>
          <w:highlight w:val="none"/>
        </w:rPr>
        <w:t>段</w:t>
      </w:r>
      <w:r>
        <w:rPr>
          <w:rFonts w:hint="eastAsia" w:ascii="宋体" w:hAnsi="宋体"/>
          <w:color w:val="auto"/>
          <w:kern w:val="0"/>
          <w:highlight w:val="none"/>
        </w:rPr>
        <w:t>：</w:t>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kern w:val="0"/>
          <w:highlight w:val="none"/>
        </w:rPr>
        <w:tab/>
      </w:r>
      <w:r>
        <w:rPr>
          <w:rFonts w:hint="eastAsia" w:ascii="宋体" w:hAnsi="宋体"/>
          <w:color w:val="auto"/>
          <w:spacing w:val="-3"/>
          <w:kern w:val="0"/>
          <w:highlight w:val="none"/>
        </w:rPr>
        <w:t>编</w:t>
      </w:r>
      <w:r>
        <w:rPr>
          <w:rFonts w:hint="eastAsia" w:ascii="宋体" w:hAnsi="宋体"/>
          <w:color w:val="auto"/>
          <w:kern w:val="0"/>
          <w:highlight w:val="none"/>
        </w:rPr>
        <w:t>号：</w:t>
      </w:r>
    </w:p>
    <w:p w14:paraId="45B487E3">
      <w:pPr>
        <w:spacing w:before="9" w:line="40" w:lineRule="exact"/>
        <w:rPr>
          <w:rFonts w:ascii="宋体" w:hAnsi="宋体"/>
          <w:color w:val="auto"/>
          <w:sz w:val="4"/>
          <w:szCs w:val="4"/>
          <w:highlight w:val="none"/>
        </w:rPr>
      </w:pPr>
      <w:r>
        <w:rPr>
          <w:rFonts w:hint="eastAsia" w:ascii="宋体" w:hAnsi="宋体"/>
          <w:color w:val="auto"/>
          <w:sz w:val="4"/>
          <w:szCs w:val="4"/>
          <w:highlight w:val="none"/>
        </w:rPr>
        <w:t xml:space="preserve"> </w:t>
      </w:r>
    </w:p>
    <w:tbl>
      <w:tblPr>
        <w:tblStyle w:val="41"/>
        <w:tblW w:w="9602" w:type="dxa"/>
        <w:jc w:val="center"/>
        <w:tblLayout w:type="fixed"/>
        <w:tblCellMar>
          <w:top w:w="0" w:type="dxa"/>
          <w:left w:w="0" w:type="dxa"/>
          <w:bottom w:w="0" w:type="dxa"/>
          <w:right w:w="0" w:type="dxa"/>
        </w:tblCellMar>
      </w:tblPr>
      <w:tblGrid>
        <w:gridCol w:w="2524"/>
        <w:gridCol w:w="2414"/>
        <w:gridCol w:w="983"/>
        <w:gridCol w:w="3681"/>
      </w:tblGrid>
      <w:tr w14:paraId="1D867431">
        <w:tblPrEx>
          <w:tblCellMar>
            <w:top w:w="0" w:type="dxa"/>
            <w:left w:w="0" w:type="dxa"/>
            <w:bottom w:w="0" w:type="dxa"/>
            <w:right w:w="0" w:type="dxa"/>
          </w:tblCellMar>
        </w:tblPrEx>
        <w:trPr>
          <w:trHeight w:val="401" w:hRule="atLeast"/>
          <w:jc w:val="center"/>
        </w:trPr>
        <w:tc>
          <w:tcPr>
            <w:tcW w:w="9602" w:type="dxa"/>
            <w:gridSpan w:val="4"/>
            <w:tcBorders>
              <w:top w:val="single" w:color="000000" w:sz="4" w:space="0"/>
              <w:left w:val="single" w:color="000000" w:sz="4" w:space="0"/>
              <w:bottom w:val="nil"/>
              <w:right w:val="single" w:color="000000" w:sz="4" w:space="0"/>
            </w:tcBorders>
            <w:noWrap w:val="0"/>
            <w:vAlign w:val="top"/>
          </w:tcPr>
          <w:p w14:paraId="125D55DA">
            <w:pPr>
              <w:keepNext w:val="0"/>
              <w:keepLines w:val="0"/>
              <w:suppressLineNumbers w:val="0"/>
              <w:spacing w:before="54" w:beforeAutospacing="0" w:after="0" w:afterAutospacing="0"/>
              <w:ind w:left="0" w:right="0"/>
              <w:rPr>
                <w:rFonts w:hint="default" w:ascii="宋体" w:hAnsi="宋体"/>
                <w:color w:val="auto"/>
                <w:kern w:val="0"/>
                <w:highlight w:val="none"/>
              </w:rPr>
            </w:pPr>
            <w:r>
              <w:rPr>
                <w:rFonts w:hint="eastAsia" w:ascii="宋体" w:hAnsi="宋体"/>
                <w:color w:val="auto"/>
                <w:kern w:val="0"/>
                <w:highlight w:val="none"/>
              </w:rPr>
              <w:t>致：</w:t>
            </w:r>
            <w:r>
              <w:rPr>
                <w:rFonts w:hint="eastAsia" w:ascii="宋体" w:hAnsi="宋体"/>
                <w:color w:val="auto"/>
                <w:kern w:val="0"/>
                <w:highlight w:val="none"/>
                <w:u w:val="single" w:color="000000"/>
              </w:rPr>
              <w:tab/>
            </w:r>
            <w:r>
              <w:rPr>
                <w:rFonts w:hint="eastAsia" w:ascii="宋体" w:hAnsi="宋体"/>
                <w:color w:val="auto"/>
                <w:kern w:val="0"/>
                <w:highlight w:val="none"/>
                <w:u w:val="single" w:color="000000"/>
              </w:rPr>
              <w:t xml:space="preserve">     （发包人全称）</w:t>
            </w:r>
          </w:p>
        </w:tc>
      </w:tr>
      <w:tr w14:paraId="06E61639">
        <w:tblPrEx>
          <w:tblCellMar>
            <w:top w:w="0" w:type="dxa"/>
            <w:left w:w="0" w:type="dxa"/>
            <w:bottom w:w="0" w:type="dxa"/>
            <w:right w:w="0" w:type="dxa"/>
          </w:tblCellMar>
        </w:tblPrEx>
        <w:trPr>
          <w:trHeight w:val="631" w:hRule="atLeast"/>
          <w:jc w:val="center"/>
        </w:trPr>
        <w:tc>
          <w:tcPr>
            <w:tcW w:w="9602" w:type="dxa"/>
            <w:gridSpan w:val="4"/>
            <w:tcBorders>
              <w:top w:val="nil"/>
              <w:left w:val="single" w:color="000000" w:sz="4" w:space="0"/>
              <w:bottom w:val="nil"/>
              <w:right w:val="single" w:color="000000" w:sz="4" w:space="0"/>
            </w:tcBorders>
            <w:noWrap w:val="0"/>
            <w:vAlign w:val="top"/>
          </w:tcPr>
          <w:p w14:paraId="3CF4C948">
            <w:pPr>
              <w:keepNext w:val="0"/>
              <w:keepLines w:val="0"/>
              <w:suppressLineNumbers w:val="0"/>
              <w:spacing w:before="0" w:beforeAutospacing="0" w:after="0" w:afterAutospacing="0" w:line="246" w:lineRule="exact"/>
              <w:ind w:left="0" w:right="0" w:firstLine="428" w:firstLineChars="200"/>
              <w:rPr>
                <w:rFonts w:hint="default" w:ascii="宋体" w:hAnsi="宋体"/>
                <w:color w:val="auto"/>
                <w:kern w:val="0"/>
                <w:highlight w:val="none"/>
              </w:rPr>
            </w:pPr>
            <w:r>
              <w:rPr>
                <w:rFonts w:hint="eastAsia" w:ascii="宋体" w:hAnsi="宋体"/>
                <w:color w:val="auto"/>
                <w:spacing w:val="2"/>
                <w:kern w:val="0"/>
                <w:highlight w:val="none"/>
              </w:rPr>
              <w:t>我方</w:t>
            </w:r>
            <w:r>
              <w:rPr>
                <w:rFonts w:hint="eastAsia" w:ascii="宋体" w:hAnsi="宋体"/>
                <w:color w:val="auto"/>
                <w:spacing w:val="-1"/>
                <w:kern w:val="0"/>
                <w:highlight w:val="none"/>
              </w:rPr>
              <w:t>于</w:t>
            </w:r>
            <w:r>
              <w:rPr>
                <w:rFonts w:hint="eastAsia" w:ascii="宋体" w:hAnsi="宋体"/>
                <w:color w:val="auto"/>
                <w:spacing w:val="-1"/>
                <w:kern w:val="0"/>
                <w:highlight w:val="none"/>
                <w:u w:val="single" w:color="000000"/>
              </w:rPr>
              <w:tab/>
            </w:r>
            <w:r>
              <w:rPr>
                <w:rFonts w:hint="eastAsia" w:ascii="宋体" w:hAnsi="宋体"/>
                <w:color w:val="auto"/>
                <w:spacing w:val="-1"/>
                <w:kern w:val="0"/>
                <w:highlight w:val="none"/>
                <w:u w:val="single" w:color="000000"/>
              </w:rPr>
              <w:t xml:space="preserve">      </w:t>
            </w:r>
            <w:r>
              <w:rPr>
                <w:rFonts w:hint="eastAsia" w:ascii="宋体" w:hAnsi="宋体"/>
                <w:color w:val="auto"/>
                <w:kern w:val="0"/>
                <w:highlight w:val="none"/>
              </w:rPr>
              <w:t>至</w:t>
            </w:r>
            <w:r>
              <w:rPr>
                <w:rFonts w:hint="eastAsia" w:ascii="宋体" w:hAnsi="宋体"/>
                <w:color w:val="auto"/>
                <w:kern w:val="0"/>
                <w:highlight w:val="none"/>
                <w:u w:val="single" w:color="000000"/>
              </w:rPr>
              <w:tab/>
            </w:r>
            <w:r>
              <w:rPr>
                <w:rFonts w:hint="eastAsia" w:ascii="宋体" w:hAnsi="宋体"/>
                <w:color w:val="auto"/>
                <w:kern w:val="0"/>
                <w:highlight w:val="none"/>
                <w:u w:val="single" w:color="000000"/>
              </w:rPr>
              <w:t xml:space="preserve">       </w:t>
            </w:r>
            <w:r>
              <w:rPr>
                <w:rFonts w:hint="eastAsia" w:ascii="宋体" w:hAnsi="宋体"/>
                <w:color w:val="auto"/>
                <w:spacing w:val="2"/>
                <w:kern w:val="0"/>
                <w:highlight w:val="none"/>
              </w:rPr>
              <w:t>期间</w:t>
            </w:r>
            <w:r>
              <w:rPr>
                <w:rFonts w:hint="eastAsia" w:ascii="宋体" w:hAnsi="宋体"/>
                <w:color w:val="auto"/>
                <w:kern w:val="0"/>
                <w:highlight w:val="none"/>
              </w:rPr>
              <w:t>已</w:t>
            </w:r>
            <w:r>
              <w:rPr>
                <w:rFonts w:hint="eastAsia" w:ascii="宋体" w:hAnsi="宋体"/>
                <w:color w:val="auto"/>
                <w:spacing w:val="2"/>
                <w:kern w:val="0"/>
                <w:highlight w:val="none"/>
              </w:rPr>
              <w:t>完</w:t>
            </w:r>
            <w:r>
              <w:rPr>
                <w:rFonts w:hint="eastAsia" w:ascii="宋体" w:hAnsi="宋体"/>
                <w:color w:val="auto"/>
                <w:kern w:val="0"/>
                <w:highlight w:val="none"/>
              </w:rPr>
              <w:t>成了缺陷修复</w:t>
            </w:r>
            <w:r>
              <w:rPr>
                <w:rFonts w:hint="eastAsia" w:ascii="宋体" w:hAnsi="宋体"/>
                <w:color w:val="auto"/>
                <w:spacing w:val="2"/>
                <w:kern w:val="0"/>
                <w:highlight w:val="none"/>
              </w:rPr>
              <w:t>工作</w:t>
            </w:r>
            <w:r>
              <w:rPr>
                <w:rFonts w:hint="eastAsia" w:ascii="宋体" w:hAnsi="宋体"/>
                <w:color w:val="auto"/>
                <w:kern w:val="0"/>
                <w:highlight w:val="none"/>
                <w:lang w:eastAsia="zh-CN"/>
              </w:rPr>
              <w:t>，</w:t>
            </w:r>
            <w:r>
              <w:rPr>
                <w:rFonts w:hint="eastAsia" w:ascii="宋体" w:hAnsi="宋体"/>
                <w:color w:val="auto"/>
                <w:spacing w:val="2"/>
                <w:kern w:val="0"/>
                <w:highlight w:val="none"/>
              </w:rPr>
              <w:t>根</w:t>
            </w:r>
            <w:r>
              <w:rPr>
                <w:rFonts w:hint="eastAsia" w:ascii="宋体" w:hAnsi="宋体"/>
                <w:color w:val="auto"/>
                <w:kern w:val="0"/>
                <w:highlight w:val="none"/>
              </w:rPr>
              <w:t>据</w:t>
            </w:r>
            <w:r>
              <w:rPr>
                <w:rFonts w:hint="eastAsia" w:ascii="宋体" w:hAnsi="宋体"/>
                <w:color w:val="auto"/>
                <w:spacing w:val="2"/>
                <w:kern w:val="0"/>
                <w:highlight w:val="none"/>
              </w:rPr>
              <w:t>施</w:t>
            </w:r>
            <w:r>
              <w:rPr>
                <w:rFonts w:hint="eastAsia" w:ascii="宋体" w:hAnsi="宋体"/>
                <w:color w:val="auto"/>
                <w:kern w:val="0"/>
                <w:highlight w:val="none"/>
              </w:rPr>
              <w:t>工</w:t>
            </w:r>
            <w:r>
              <w:rPr>
                <w:rFonts w:hint="eastAsia" w:ascii="宋体" w:hAnsi="宋体"/>
                <w:color w:val="auto"/>
                <w:spacing w:val="2"/>
                <w:kern w:val="0"/>
                <w:highlight w:val="none"/>
              </w:rPr>
              <w:t>合</w:t>
            </w:r>
            <w:r>
              <w:rPr>
                <w:rFonts w:hint="eastAsia" w:ascii="宋体" w:hAnsi="宋体"/>
                <w:color w:val="auto"/>
                <w:kern w:val="0"/>
                <w:highlight w:val="none"/>
              </w:rPr>
              <w:t>同</w:t>
            </w:r>
            <w:r>
              <w:rPr>
                <w:rFonts w:hint="eastAsia" w:ascii="宋体" w:hAnsi="宋体"/>
                <w:color w:val="auto"/>
                <w:spacing w:val="2"/>
                <w:kern w:val="0"/>
                <w:highlight w:val="none"/>
              </w:rPr>
              <w:t>的约</w:t>
            </w:r>
            <w:r>
              <w:rPr>
                <w:rFonts w:hint="eastAsia" w:ascii="宋体" w:hAnsi="宋体"/>
                <w:color w:val="auto"/>
                <w:kern w:val="0"/>
                <w:highlight w:val="none"/>
              </w:rPr>
              <w:t>定</w:t>
            </w:r>
            <w:r>
              <w:rPr>
                <w:rFonts w:hint="eastAsia" w:ascii="宋体" w:hAnsi="宋体"/>
                <w:color w:val="auto"/>
                <w:kern w:val="0"/>
                <w:highlight w:val="none"/>
                <w:lang w:eastAsia="zh-CN"/>
              </w:rPr>
              <w:t>，</w:t>
            </w:r>
            <w:r>
              <w:rPr>
                <w:rFonts w:hint="eastAsia" w:ascii="宋体" w:hAnsi="宋体"/>
                <w:color w:val="auto"/>
                <w:spacing w:val="2"/>
                <w:kern w:val="0"/>
                <w:highlight w:val="none"/>
              </w:rPr>
              <w:t>现申</w:t>
            </w:r>
            <w:r>
              <w:rPr>
                <w:rFonts w:hint="eastAsia" w:ascii="宋体" w:hAnsi="宋体"/>
                <w:color w:val="auto"/>
                <w:kern w:val="0"/>
                <w:highlight w:val="none"/>
              </w:rPr>
              <w:t>请</w:t>
            </w:r>
            <w:r>
              <w:rPr>
                <w:rFonts w:hint="eastAsia" w:ascii="宋体" w:hAnsi="宋体"/>
                <w:color w:val="auto"/>
                <w:spacing w:val="2"/>
                <w:kern w:val="0"/>
                <w:highlight w:val="none"/>
              </w:rPr>
              <w:t>支</w:t>
            </w:r>
            <w:r>
              <w:rPr>
                <w:rFonts w:hint="eastAsia" w:ascii="宋体" w:hAnsi="宋体"/>
                <w:color w:val="auto"/>
                <w:kern w:val="0"/>
                <w:highlight w:val="none"/>
              </w:rPr>
              <w:t>付工程保修结算</w:t>
            </w:r>
            <w:r>
              <w:rPr>
                <w:rFonts w:hint="eastAsia" w:ascii="宋体" w:hAnsi="宋体"/>
                <w:color w:val="auto"/>
                <w:spacing w:val="2"/>
                <w:kern w:val="0"/>
                <w:highlight w:val="none"/>
              </w:rPr>
              <w:t>的</w:t>
            </w:r>
            <w:r>
              <w:rPr>
                <w:rFonts w:hint="eastAsia" w:ascii="宋体" w:hAnsi="宋体"/>
                <w:color w:val="auto"/>
                <w:kern w:val="0"/>
                <w:highlight w:val="none"/>
              </w:rPr>
              <w:t>合同款额为（大写）</w:t>
            </w:r>
            <w:r>
              <w:rPr>
                <w:rFonts w:hint="eastAsia" w:ascii="宋体" w:hAnsi="宋体"/>
                <w:color w:val="auto"/>
                <w:kern w:val="0"/>
                <w:highlight w:val="none"/>
                <w:u w:val="single" w:color="000000"/>
              </w:rPr>
              <w:tab/>
            </w:r>
            <w:r>
              <w:rPr>
                <w:rFonts w:hint="eastAsia" w:ascii="宋体" w:hAnsi="宋体"/>
                <w:color w:val="auto"/>
                <w:kern w:val="0"/>
                <w:highlight w:val="none"/>
                <w:u w:val="single" w:color="000000"/>
              </w:rPr>
              <w:t xml:space="preserve">         </w:t>
            </w:r>
            <w:r>
              <w:rPr>
                <w:rFonts w:hint="eastAsia" w:ascii="宋体" w:hAnsi="宋体"/>
                <w:color w:val="auto"/>
                <w:kern w:val="0"/>
                <w:highlight w:val="none"/>
              </w:rPr>
              <w:t>（小写</w:t>
            </w:r>
            <w:r>
              <w:rPr>
                <w:rFonts w:hint="eastAsia" w:ascii="宋体" w:hAnsi="宋体"/>
                <w:color w:val="auto"/>
                <w:kern w:val="0"/>
                <w:highlight w:val="none"/>
                <w:u w:val="single"/>
              </w:rPr>
              <w:t xml:space="preserve">           </w:t>
            </w:r>
            <w:r>
              <w:rPr>
                <w:rFonts w:hint="eastAsia" w:ascii="宋体" w:hAnsi="宋体"/>
                <w:color w:val="auto"/>
                <w:kern w:val="0"/>
                <w:highlight w:val="none"/>
              </w:rPr>
              <w:t>）</w:t>
            </w:r>
            <w:r>
              <w:rPr>
                <w:rFonts w:hint="eastAsia" w:ascii="宋体" w:hAnsi="宋体"/>
                <w:color w:val="auto"/>
                <w:kern w:val="0"/>
                <w:highlight w:val="none"/>
                <w:lang w:eastAsia="zh-CN"/>
              </w:rPr>
              <w:t>，</w:t>
            </w:r>
            <w:r>
              <w:rPr>
                <w:rFonts w:hint="eastAsia" w:ascii="宋体" w:hAnsi="宋体"/>
                <w:color w:val="auto"/>
                <w:kern w:val="0"/>
                <w:highlight w:val="none"/>
              </w:rPr>
              <w:t>请予核准。</w:t>
            </w:r>
          </w:p>
        </w:tc>
      </w:tr>
      <w:tr w14:paraId="22C04EE4">
        <w:tblPrEx>
          <w:tblCellMar>
            <w:top w:w="0" w:type="dxa"/>
            <w:left w:w="0" w:type="dxa"/>
            <w:bottom w:w="0" w:type="dxa"/>
            <w:right w:w="0" w:type="dxa"/>
          </w:tblCellMar>
        </w:tblPrEx>
        <w:trPr>
          <w:trHeight w:val="3352" w:hRule="atLeast"/>
          <w:jc w:val="center"/>
        </w:trPr>
        <w:tc>
          <w:tcPr>
            <w:tcW w:w="9602" w:type="dxa"/>
            <w:gridSpan w:val="4"/>
            <w:tcBorders>
              <w:top w:val="nil"/>
              <w:left w:val="single" w:color="000000" w:sz="4" w:space="0"/>
              <w:bottom w:val="nil"/>
              <w:right w:val="single" w:color="000000" w:sz="4" w:space="0"/>
            </w:tcBorders>
            <w:noWrap w:val="0"/>
            <w:vAlign w:val="top"/>
          </w:tcPr>
          <w:p w14:paraId="2B3B14A9">
            <w:pPr>
              <w:keepNext w:val="0"/>
              <w:keepLines w:val="0"/>
              <w:suppressLineNumbers w:val="0"/>
              <w:spacing w:before="0" w:beforeAutospacing="0" w:after="0" w:afterAutospacing="0" w:line="200" w:lineRule="exact"/>
              <w:ind w:left="0" w:right="0"/>
              <w:rPr>
                <w:rFonts w:hint="default" w:ascii="宋体" w:hAnsi="宋体"/>
                <w:color w:val="auto"/>
                <w:kern w:val="0"/>
                <w:highlight w:val="none"/>
              </w:rPr>
            </w:pPr>
          </w:p>
          <w:p w14:paraId="32AD7F4B">
            <w:pPr>
              <w:keepNext w:val="0"/>
              <w:keepLines w:val="0"/>
              <w:suppressLineNumbers w:val="0"/>
              <w:spacing w:before="0" w:beforeAutospacing="0" w:after="120" w:afterAutospacing="0"/>
              <w:ind w:left="0" w:right="0"/>
              <w:rPr>
                <w:rFonts w:hint="default"/>
                <w:color w:val="auto"/>
                <w:highlight w:val="none"/>
              </w:rPr>
            </w:pPr>
          </w:p>
          <w:tbl>
            <w:tblPr>
              <w:tblStyle w:val="41"/>
              <w:tblW w:w="86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36"/>
              <w:gridCol w:w="3060"/>
              <w:gridCol w:w="1676"/>
              <w:gridCol w:w="1676"/>
              <w:gridCol w:w="890"/>
            </w:tblGrid>
            <w:tr w14:paraId="6E398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0" w:hRule="atLeast"/>
                <w:jc w:val="center"/>
              </w:trPr>
              <w:tc>
                <w:tcPr>
                  <w:tcW w:w="1336" w:type="dxa"/>
                  <w:tcBorders>
                    <w:top w:val="single" w:color="000000" w:sz="6" w:space="0"/>
                    <w:left w:val="single" w:color="000000" w:sz="6" w:space="0"/>
                    <w:bottom w:val="single" w:color="000000" w:sz="6" w:space="0"/>
                    <w:right w:val="single" w:color="000000" w:sz="6" w:space="0"/>
                  </w:tcBorders>
                  <w:noWrap w:val="0"/>
                  <w:vAlign w:val="center"/>
                </w:tcPr>
                <w:p w14:paraId="627C3046">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序号</w:t>
                  </w:r>
                </w:p>
              </w:tc>
              <w:tc>
                <w:tcPr>
                  <w:tcW w:w="3060" w:type="dxa"/>
                  <w:tcBorders>
                    <w:top w:val="single" w:color="000000" w:sz="6" w:space="0"/>
                    <w:left w:val="nil"/>
                    <w:bottom w:val="single" w:color="000000" w:sz="6" w:space="0"/>
                    <w:right w:val="single" w:color="000000" w:sz="6" w:space="0"/>
                  </w:tcBorders>
                  <w:noWrap w:val="0"/>
                  <w:vAlign w:val="center"/>
                </w:tcPr>
                <w:p w14:paraId="0B2648C6">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名称</w:t>
                  </w:r>
                </w:p>
              </w:tc>
              <w:tc>
                <w:tcPr>
                  <w:tcW w:w="1676" w:type="dxa"/>
                  <w:tcBorders>
                    <w:top w:val="single" w:color="000000" w:sz="6" w:space="0"/>
                    <w:left w:val="nil"/>
                    <w:bottom w:val="single" w:color="000000" w:sz="6" w:space="0"/>
                    <w:right w:val="single" w:color="000000" w:sz="6" w:space="0"/>
                  </w:tcBorders>
                  <w:noWrap w:val="0"/>
                  <w:vAlign w:val="center"/>
                </w:tcPr>
                <w:p w14:paraId="1E3B9788">
                  <w:pPr>
                    <w:keepNext w:val="0"/>
                    <w:keepLines w:val="0"/>
                    <w:suppressLineNumbers w:val="0"/>
                    <w:spacing w:before="0" w:beforeAutospacing="0" w:after="0" w:afterAutospacing="0" w:line="200" w:lineRule="exact"/>
                    <w:ind w:left="0" w:right="0"/>
                    <w:jc w:val="center"/>
                    <w:rPr>
                      <w:rFonts w:hint="eastAsia" w:ascii="宋体" w:hAnsi="宋体" w:eastAsia="宋体"/>
                      <w:color w:val="auto"/>
                      <w:kern w:val="0"/>
                      <w:sz w:val="21"/>
                      <w:szCs w:val="21"/>
                      <w:highlight w:val="none"/>
                      <w:lang w:eastAsia="zh-CN"/>
                    </w:rPr>
                  </w:pPr>
                  <w:r>
                    <w:rPr>
                      <w:rFonts w:hint="eastAsia" w:ascii="宋体" w:hAnsi="宋体"/>
                      <w:color w:val="auto"/>
                      <w:kern w:val="0"/>
                      <w:sz w:val="21"/>
                      <w:szCs w:val="21"/>
                      <w:highlight w:val="none"/>
                    </w:rPr>
                    <w:t>申请金额</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rPr>
                    <w:t>元</w:t>
                  </w:r>
                  <w:r>
                    <w:rPr>
                      <w:rFonts w:hint="eastAsia" w:ascii="宋体" w:hAnsi="宋体"/>
                      <w:color w:val="auto"/>
                      <w:kern w:val="0"/>
                      <w:sz w:val="21"/>
                      <w:szCs w:val="21"/>
                      <w:highlight w:val="none"/>
                      <w:lang w:eastAsia="zh-CN"/>
                    </w:rPr>
                    <w:t>）</w:t>
                  </w:r>
                </w:p>
              </w:tc>
              <w:tc>
                <w:tcPr>
                  <w:tcW w:w="1676" w:type="dxa"/>
                  <w:tcBorders>
                    <w:top w:val="single" w:color="000000" w:sz="6" w:space="0"/>
                    <w:left w:val="nil"/>
                    <w:bottom w:val="single" w:color="000000" w:sz="6" w:space="0"/>
                    <w:right w:val="single" w:color="000000" w:sz="6" w:space="0"/>
                  </w:tcBorders>
                  <w:noWrap w:val="0"/>
                  <w:vAlign w:val="center"/>
                </w:tcPr>
                <w:p w14:paraId="74EABB9D">
                  <w:pPr>
                    <w:keepNext w:val="0"/>
                    <w:keepLines w:val="0"/>
                    <w:suppressLineNumbers w:val="0"/>
                    <w:spacing w:before="0" w:beforeAutospacing="0" w:after="0" w:afterAutospacing="0" w:line="200" w:lineRule="exact"/>
                    <w:ind w:left="0" w:right="0"/>
                    <w:jc w:val="center"/>
                    <w:rPr>
                      <w:rFonts w:hint="eastAsia" w:ascii="宋体" w:hAnsi="宋体" w:eastAsia="宋体"/>
                      <w:color w:val="auto"/>
                      <w:kern w:val="0"/>
                      <w:sz w:val="21"/>
                      <w:szCs w:val="21"/>
                      <w:highlight w:val="none"/>
                      <w:lang w:eastAsia="zh-CN"/>
                    </w:rPr>
                  </w:pPr>
                  <w:r>
                    <w:rPr>
                      <w:rFonts w:hint="eastAsia" w:ascii="宋体" w:hAnsi="宋体"/>
                      <w:color w:val="auto"/>
                      <w:kern w:val="0"/>
                      <w:sz w:val="21"/>
                      <w:szCs w:val="21"/>
                      <w:highlight w:val="none"/>
                    </w:rPr>
                    <w:t>复核金额</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rPr>
                    <w:t>元</w:t>
                  </w:r>
                  <w:r>
                    <w:rPr>
                      <w:rFonts w:hint="eastAsia" w:ascii="宋体" w:hAnsi="宋体"/>
                      <w:color w:val="auto"/>
                      <w:kern w:val="0"/>
                      <w:sz w:val="21"/>
                      <w:szCs w:val="21"/>
                      <w:highlight w:val="none"/>
                      <w:lang w:eastAsia="zh-CN"/>
                    </w:rPr>
                    <w:t>）</w:t>
                  </w:r>
                </w:p>
              </w:tc>
              <w:tc>
                <w:tcPr>
                  <w:tcW w:w="890" w:type="dxa"/>
                  <w:tcBorders>
                    <w:top w:val="single" w:color="000000" w:sz="6" w:space="0"/>
                    <w:left w:val="nil"/>
                    <w:bottom w:val="single" w:color="000000" w:sz="6" w:space="0"/>
                    <w:right w:val="single" w:color="000000" w:sz="6" w:space="0"/>
                  </w:tcBorders>
                  <w:noWrap w:val="0"/>
                  <w:vAlign w:val="center"/>
                </w:tcPr>
                <w:p w14:paraId="60692FD7">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备注</w:t>
                  </w:r>
                </w:p>
              </w:tc>
            </w:tr>
            <w:tr w14:paraId="130529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1336" w:type="dxa"/>
                  <w:tcBorders>
                    <w:top w:val="single" w:color="000000" w:sz="6" w:space="0"/>
                    <w:left w:val="single" w:color="000000" w:sz="6" w:space="0"/>
                    <w:bottom w:val="single" w:color="000000" w:sz="6" w:space="0"/>
                    <w:right w:val="single" w:color="000000" w:sz="6" w:space="0"/>
                  </w:tcBorders>
                  <w:noWrap w:val="0"/>
                  <w:vAlign w:val="center"/>
                </w:tcPr>
                <w:p w14:paraId="44757AE1">
                  <w:pPr>
                    <w:keepNext w:val="0"/>
                    <w:keepLines w:val="0"/>
                    <w:suppressLineNumbers w:val="0"/>
                    <w:spacing w:before="0" w:beforeAutospacing="0" w:after="0" w:afterAutospacing="0" w:line="200" w:lineRule="exact"/>
                    <w:ind w:left="0" w:right="0"/>
                    <w:jc w:val="both"/>
                    <w:rPr>
                      <w:rFonts w:hint="default" w:ascii="宋体" w:hAnsi="宋体"/>
                      <w:color w:val="auto"/>
                      <w:kern w:val="0"/>
                      <w:sz w:val="21"/>
                      <w:szCs w:val="21"/>
                      <w:highlight w:val="none"/>
                    </w:rPr>
                  </w:pPr>
                  <w:r>
                    <w:rPr>
                      <w:rFonts w:hint="eastAsia" w:ascii="宋体" w:hAnsi="宋体"/>
                      <w:color w:val="auto"/>
                      <w:kern w:val="0"/>
                      <w:sz w:val="21"/>
                      <w:szCs w:val="21"/>
                      <w:highlight w:val="none"/>
                    </w:rPr>
                    <w:t>1</w:t>
                  </w:r>
                </w:p>
              </w:tc>
              <w:tc>
                <w:tcPr>
                  <w:tcW w:w="3060" w:type="dxa"/>
                  <w:tcBorders>
                    <w:top w:val="single" w:color="000000" w:sz="6" w:space="0"/>
                    <w:left w:val="nil"/>
                    <w:bottom w:val="single" w:color="000000" w:sz="6" w:space="0"/>
                    <w:right w:val="single" w:color="000000" w:sz="6" w:space="0"/>
                  </w:tcBorders>
                  <w:noWrap w:val="0"/>
                  <w:vAlign w:val="center"/>
                </w:tcPr>
                <w:p w14:paraId="62196980">
                  <w:pPr>
                    <w:keepNext w:val="0"/>
                    <w:keepLines w:val="0"/>
                    <w:suppressLineNumbers w:val="0"/>
                    <w:spacing w:before="0" w:beforeAutospacing="0" w:after="0" w:afterAutospacing="0" w:line="243" w:lineRule="exact"/>
                    <w:ind w:left="0" w:right="0"/>
                    <w:rPr>
                      <w:rFonts w:hint="default" w:ascii="宋体" w:hAnsi="宋体"/>
                      <w:color w:val="auto"/>
                      <w:kern w:val="0"/>
                      <w:sz w:val="21"/>
                      <w:szCs w:val="21"/>
                      <w:highlight w:val="none"/>
                    </w:rPr>
                  </w:pPr>
                  <w:r>
                    <w:rPr>
                      <w:rFonts w:hint="eastAsia" w:ascii="宋体" w:hAnsi="宋体"/>
                      <w:color w:val="auto"/>
                      <w:kern w:val="0"/>
                      <w:sz w:val="21"/>
                      <w:szCs w:val="21"/>
                      <w:highlight w:val="none"/>
                    </w:rPr>
                    <w:t>已预留的质量保证金</w:t>
                  </w:r>
                </w:p>
              </w:tc>
              <w:tc>
                <w:tcPr>
                  <w:tcW w:w="1676" w:type="dxa"/>
                  <w:tcBorders>
                    <w:top w:val="single" w:color="000000" w:sz="6" w:space="0"/>
                    <w:left w:val="nil"/>
                    <w:bottom w:val="single" w:color="000000" w:sz="6" w:space="0"/>
                    <w:right w:val="single" w:color="000000" w:sz="6" w:space="0"/>
                  </w:tcBorders>
                  <w:noWrap w:val="0"/>
                  <w:vAlign w:val="center"/>
                </w:tcPr>
                <w:p w14:paraId="02B30CB2">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c>
                <w:tcPr>
                  <w:tcW w:w="1676" w:type="dxa"/>
                  <w:tcBorders>
                    <w:top w:val="single" w:color="000000" w:sz="6" w:space="0"/>
                    <w:left w:val="nil"/>
                    <w:bottom w:val="single" w:color="000000" w:sz="6" w:space="0"/>
                    <w:right w:val="single" w:color="000000" w:sz="6" w:space="0"/>
                  </w:tcBorders>
                  <w:noWrap w:val="0"/>
                  <w:vAlign w:val="center"/>
                </w:tcPr>
                <w:p w14:paraId="06873E81">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c>
                <w:tcPr>
                  <w:tcW w:w="890" w:type="dxa"/>
                  <w:tcBorders>
                    <w:top w:val="single" w:color="000000" w:sz="6" w:space="0"/>
                    <w:left w:val="nil"/>
                    <w:bottom w:val="single" w:color="000000" w:sz="6" w:space="0"/>
                    <w:right w:val="single" w:color="000000" w:sz="6" w:space="0"/>
                  </w:tcBorders>
                  <w:noWrap w:val="0"/>
                  <w:vAlign w:val="center"/>
                </w:tcPr>
                <w:p w14:paraId="3406E5A4">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r>
            <w:tr w14:paraId="614C0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8" w:hRule="atLeast"/>
                <w:jc w:val="center"/>
              </w:trPr>
              <w:tc>
                <w:tcPr>
                  <w:tcW w:w="1336" w:type="dxa"/>
                  <w:tcBorders>
                    <w:top w:val="single" w:color="000000" w:sz="6" w:space="0"/>
                    <w:left w:val="single" w:color="000000" w:sz="6" w:space="0"/>
                    <w:bottom w:val="single" w:color="000000" w:sz="6" w:space="0"/>
                    <w:right w:val="single" w:color="000000" w:sz="6" w:space="0"/>
                  </w:tcBorders>
                  <w:noWrap w:val="0"/>
                  <w:vAlign w:val="center"/>
                </w:tcPr>
                <w:p w14:paraId="4574FB37">
                  <w:pPr>
                    <w:keepNext w:val="0"/>
                    <w:keepLines w:val="0"/>
                    <w:suppressLineNumbers w:val="0"/>
                    <w:spacing w:before="0" w:beforeAutospacing="0" w:after="0" w:afterAutospacing="0" w:line="200" w:lineRule="exact"/>
                    <w:ind w:left="0" w:right="0"/>
                    <w:jc w:val="both"/>
                    <w:rPr>
                      <w:rFonts w:hint="default" w:ascii="宋体" w:hAnsi="宋体"/>
                      <w:color w:val="auto"/>
                      <w:kern w:val="0"/>
                      <w:sz w:val="21"/>
                      <w:szCs w:val="21"/>
                      <w:highlight w:val="none"/>
                    </w:rPr>
                  </w:pPr>
                  <w:r>
                    <w:rPr>
                      <w:rFonts w:hint="eastAsia" w:ascii="宋体" w:hAnsi="宋体"/>
                      <w:color w:val="auto"/>
                      <w:kern w:val="0"/>
                      <w:sz w:val="21"/>
                      <w:szCs w:val="21"/>
                      <w:highlight w:val="none"/>
                    </w:rPr>
                    <w:t>2</w:t>
                  </w:r>
                </w:p>
              </w:tc>
              <w:tc>
                <w:tcPr>
                  <w:tcW w:w="3060" w:type="dxa"/>
                  <w:tcBorders>
                    <w:top w:val="single" w:color="000000" w:sz="6" w:space="0"/>
                    <w:left w:val="nil"/>
                    <w:bottom w:val="single" w:color="000000" w:sz="6" w:space="0"/>
                    <w:right w:val="single" w:color="000000" w:sz="6" w:space="0"/>
                  </w:tcBorders>
                  <w:noWrap w:val="0"/>
                  <w:vAlign w:val="center"/>
                </w:tcPr>
                <w:p w14:paraId="1764FC3E">
                  <w:pPr>
                    <w:keepNext w:val="0"/>
                    <w:keepLines w:val="0"/>
                    <w:suppressLineNumbers w:val="0"/>
                    <w:spacing w:before="0" w:beforeAutospacing="0" w:after="0" w:afterAutospacing="0" w:line="245" w:lineRule="exact"/>
                    <w:ind w:left="0" w:right="0"/>
                    <w:rPr>
                      <w:rFonts w:hint="default" w:ascii="宋体" w:hAnsi="宋体"/>
                      <w:color w:val="auto"/>
                      <w:kern w:val="0"/>
                      <w:sz w:val="21"/>
                      <w:szCs w:val="21"/>
                      <w:highlight w:val="none"/>
                    </w:rPr>
                  </w:pPr>
                  <w:r>
                    <w:rPr>
                      <w:rFonts w:hint="eastAsia" w:ascii="宋体" w:hAnsi="宋体"/>
                      <w:color w:val="auto"/>
                      <w:kern w:val="0"/>
                      <w:sz w:val="21"/>
                      <w:szCs w:val="21"/>
                      <w:highlight w:val="none"/>
                    </w:rPr>
                    <w:t>应增加因发包人原因造成缺陷的修复金额</w:t>
                  </w:r>
                </w:p>
              </w:tc>
              <w:tc>
                <w:tcPr>
                  <w:tcW w:w="1676" w:type="dxa"/>
                  <w:tcBorders>
                    <w:top w:val="single" w:color="000000" w:sz="6" w:space="0"/>
                    <w:left w:val="nil"/>
                    <w:bottom w:val="single" w:color="000000" w:sz="6" w:space="0"/>
                    <w:right w:val="single" w:color="000000" w:sz="6" w:space="0"/>
                  </w:tcBorders>
                  <w:noWrap w:val="0"/>
                  <w:vAlign w:val="center"/>
                </w:tcPr>
                <w:p w14:paraId="669A4F94">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c>
                <w:tcPr>
                  <w:tcW w:w="1676" w:type="dxa"/>
                  <w:tcBorders>
                    <w:top w:val="single" w:color="000000" w:sz="6" w:space="0"/>
                    <w:left w:val="nil"/>
                    <w:bottom w:val="single" w:color="000000" w:sz="6" w:space="0"/>
                    <w:right w:val="single" w:color="000000" w:sz="6" w:space="0"/>
                  </w:tcBorders>
                  <w:noWrap w:val="0"/>
                  <w:vAlign w:val="center"/>
                </w:tcPr>
                <w:p w14:paraId="333F0874">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c>
                <w:tcPr>
                  <w:tcW w:w="890" w:type="dxa"/>
                  <w:tcBorders>
                    <w:top w:val="single" w:color="000000" w:sz="6" w:space="0"/>
                    <w:left w:val="nil"/>
                    <w:bottom w:val="single" w:color="000000" w:sz="6" w:space="0"/>
                    <w:right w:val="single" w:color="000000" w:sz="6" w:space="0"/>
                  </w:tcBorders>
                  <w:noWrap w:val="0"/>
                  <w:vAlign w:val="center"/>
                </w:tcPr>
                <w:p w14:paraId="235B63A2">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r>
            <w:tr w14:paraId="5DD0A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3" w:hRule="atLeast"/>
                <w:jc w:val="center"/>
              </w:trPr>
              <w:tc>
                <w:tcPr>
                  <w:tcW w:w="1336" w:type="dxa"/>
                  <w:tcBorders>
                    <w:top w:val="single" w:color="000000" w:sz="6" w:space="0"/>
                    <w:left w:val="single" w:color="000000" w:sz="6" w:space="0"/>
                    <w:bottom w:val="single" w:color="000000" w:sz="6" w:space="0"/>
                    <w:right w:val="single" w:color="000000" w:sz="6" w:space="0"/>
                  </w:tcBorders>
                  <w:noWrap w:val="0"/>
                  <w:vAlign w:val="center"/>
                </w:tcPr>
                <w:p w14:paraId="3E5C13BB">
                  <w:pPr>
                    <w:keepNext w:val="0"/>
                    <w:keepLines w:val="0"/>
                    <w:suppressLineNumbers w:val="0"/>
                    <w:spacing w:before="0" w:beforeAutospacing="0" w:after="0" w:afterAutospacing="0" w:line="200" w:lineRule="exact"/>
                    <w:ind w:left="0" w:right="0"/>
                    <w:jc w:val="both"/>
                    <w:rPr>
                      <w:rFonts w:hint="default" w:ascii="宋体" w:hAnsi="宋体"/>
                      <w:color w:val="auto"/>
                      <w:kern w:val="0"/>
                      <w:sz w:val="21"/>
                      <w:szCs w:val="21"/>
                      <w:highlight w:val="none"/>
                    </w:rPr>
                  </w:pPr>
                  <w:r>
                    <w:rPr>
                      <w:rFonts w:hint="eastAsia" w:ascii="宋体" w:hAnsi="宋体"/>
                      <w:color w:val="auto"/>
                      <w:kern w:val="0"/>
                      <w:sz w:val="21"/>
                      <w:szCs w:val="21"/>
                      <w:highlight w:val="none"/>
                    </w:rPr>
                    <w:t>3</w:t>
                  </w:r>
                </w:p>
              </w:tc>
              <w:tc>
                <w:tcPr>
                  <w:tcW w:w="3060" w:type="dxa"/>
                  <w:tcBorders>
                    <w:top w:val="single" w:color="000000" w:sz="6" w:space="0"/>
                    <w:left w:val="nil"/>
                    <w:bottom w:val="single" w:color="000000" w:sz="6" w:space="0"/>
                    <w:right w:val="single" w:color="000000" w:sz="6" w:space="0"/>
                  </w:tcBorders>
                  <w:noWrap w:val="0"/>
                  <w:vAlign w:val="center"/>
                </w:tcPr>
                <w:p w14:paraId="636F4004">
                  <w:pPr>
                    <w:keepNext w:val="0"/>
                    <w:keepLines w:val="0"/>
                    <w:suppressLineNumbers w:val="0"/>
                    <w:spacing w:before="0" w:beforeAutospacing="0" w:after="0" w:afterAutospacing="0" w:line="243" w:lineRule="exact"/>
                    <w:ind w:left="0" w:right="0"/>
                    <w:rPr>
                      <w:rFonts w:hint="default" w:ascii="宋体" w:hAnsi="宋体"/>
                      <w:color w:val="auto"/>
                      <w:kern w:val="0"/>
                      <w:sz w:val="21"/>
                      <w:szCs w:val="21"/>
                      <w:highlight w:val="none"/>
                    </w:rPr>
                  </w:pPr>
                  <w:r>
                    <w:rPr>
                      <w:rFonts w:hint="eastAsia" w:ascii="宋体" w:hAnsi="宋体"/>
                      <w:color w:val="auto"/>
                      <w:kern w:val="0"/>
                      <w:sz w:val="21"/>
                      <w:szCs w:val="21"/>
                      <w:highlight w:val="none"/>
                    </w:rPr>
                    <w:t>应扣减承包人不修复缺陷、发包人组织修复的金额</w:t>
                  </w:r>
                </w:p>
              </w:tc>
              <w:tc>
                <w:tcPr>
                  <w:tcW w:w="1676" w:type="dxa"/>
                  <w:tcBorders>
                    <w:top w:val="single" w:color="000000" w:sz="6" w:space="0"/>
                    <w:left w:val="nil"/>
                    <w:bottom w:val="single" w:color="000000" w:sz="6" w:space="0"/>
                    <w:right w:val="single" w:color="000000" w:sz="6" w:space="0"/>
                  </w:tcBorders>
                  <w:noWrap w:val="0"/>
                  <w:vAlign w:val="center"/>
                </w:tcPr>
                <w:p w14:paraId="3BC39DA6">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c>
                <w:tcPr>
                  <w:tcW w:w="1676" w:type="dxa"/>
                  <w:tcBorders>
                    <w:top w:val="single" w:color="000000" w:sz="6" w:space="0"/>
                    <w:left w:val="nil"/>
                    <w:bottom w:val="single" w:color="000000" w:sz="6" w:space="0"/>
                    <w:right w:val="single" w:color="000000" w:sz="6" w:space="0"/>
                  </w:tcBorders>
                  <w:noWrap w:val="0"/>
                  <w:vAlign w:val="center"/>
                </w:tcPr>
                <w:p w14:paraId="413187B7">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c>
                <w:tcPr>
                  <w:tcW w:w="890" w:type="dxa"/>
                  <w:tcBorders>
                    <w:top w:val="single" w:color="000000" w:sz="6" w:space="0"/>
                    <w:left w:val="nil"/>
                    <w:bottom w:val="single" w:color="000000" w:sz="6" w:space="0"/>
                    <w:right w:val="single" w:color="000000" w:sz="6" w:space="0"/>
                  </w:tcBorders>
                  <w:noWrap w:val="0"/>
                  <w:vAlign w:val="center"/>
                </w:tcPr>
                <w:p w14:paraId="284268C8">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r>
            <w:tr w14:paraId="3B7A3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1336" w:type="dxa"/>
                  <w:tcBorders>
                    <w:top w:val="single" w:color="000000" w:sz="6" w:space="0"/>
                    <w:left w:val="single" w:color="000000" w:sz="6" w:space="0"/>
                    <w:bottom w:val="single" w:color="000000" w:sz="6" w:space="0"/>
                    <w:right w:val="single" w:color="000000" w:sz="6" w:space="0"/>
                  </w:tcBorders>
                  <w:noWrap w:val="0"/>
                  <w:vAlign w:val="center"/>
                </w:tcPr>
                <w:p w14:paraId="073C7101">
                  <w:pPr>
                    <w:keepNext w:val="0"/>
                    <w:keepLines w:val="0"/>
                    <w:suppressLineNumbers w:val="0"/>
                    <w:spacing w:before="0" w:beforeAutospacing="0" w:after="0" w:afterAutospacing="0" w:line="200" w:lineRule="exact"/>
                    <w:ind w:left="0" w:right="0"/>
                    <w:jc w:val="both"/>
                    <w:rPr>
                      <w:rFonts w:hint="default" w:ascii="宋体" w:hAnsi="宋体"/>
                      <w:color w:val="auto"/>
                      <w:kern w:val="0"/>
                      <w:sz w:val="21"/>
                      <w:szCs w:val="21"/>
                      <w:highlight w:val="none"/>
                    </w:rPr>
                  </w:pPr>
                  <w:r>
                    <w:rPr>
                      <w:rFonts w:hint="eastAsia" w:ascii="宋体" w:hAnsi="宋体"/>
                      <w:color w:val="auto"/>
                      <w:kern w:val="0"/>
                      <w:sz w:val="21"/>
                      <w:szCs w:val="21"/>
                      <w:highlight w:val="none"/>
                    </w:rPr>
                    <w:t>4</w:t>
                  </w:r>
                </w:p>
              </w:tc>
              <w:tc>
                <w:tcPr>
                  <w:tcW w:w="3060" w:type="dxa"/>
                  <w:tcBorders>
                    <w:top w:val="single" w:color="000000" w:sz="6" w:space="0"/>
                    <w:left w:val="nil"/>
                    <w:bottom w:val="single" w:color="000000" w:sz="6" w:space="0"/>
                    <w:right w:val="single" w:color="000000" w:sz="6" w:space="0"/>
                  </w:tcBorders>
                  <w:noWrap w:val="0"/>
                  <w:vAlign w:val="center"/>
                </w:tcPr>
                <w:p w14:paraId="11D49287">
                  <w:pPr>
                    <w:keepNext w:val="0"/>
                    <w:keepLines w:val="0"/>
                    <w:suppressLineNumbers w:val="0"/>
                    <w:spacing w:before="0" w:beforeAutospacing="0" w:after="0" w:afterAutospacing="0" w:line="243" w:lineRule="exact"/>
                    <w:ind w:left="0" w:right="0"/>
                    <w:rPr>
                      <w:rFonts w:hint="default" w:ascii="宋体" w:hAnsi="宋体"/>
                      <w:color w:val="auto"/>
                      <w:kern w:val="0"/>
                      <w:sz w:val="21"/>
                      <w:szCs w:val="21"/>
                      <w:highlight w:val="none"/>
                    </w:rPr>
                  </w:pPr>
                  <w:r>
                    <w:rPr>
                      <w:rFonts w:hint="eastAsia" w:ascii="宋体" w:hAnsi="宋体"/>
                      <w:color w:val="auto"/>
                      <w:kern w:val="0"/>
                      <w:sz w:val="21"/>
                      <w:szCs w:val="21"/>
                      <w:highlight w:val="none"/>
                    </w:rPr>
                    <w:t>最终应支付的合同价款</w:t>
                  </w:r>
                </w:p>
              </w:tc>
              <w:tc>
                <w:tcPr>
                  <w:tcW w:w="1676" w:type="dxa"/>
                  <w:tcBorders>
                    <w:top w:val="single" w:color="000000" w:sz="6" w:space="0"/>
                    <w:left w:val="nil"/>
                    <w:bottom w:val="single" w:color="000000" w:sz="6" w:space="0"/>
                    <w:right w:val="single" w:color="000000" w:sz="6" w:space="0"/>
                  </w:tcBorders>
                  <w:noWrap w:val="0"/>
                  <w:vAlign w:val="center"/>
                </w:tcPr>
                <w:p w14:paraId="415AA9C0">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c>
                <w:tcPr>
                  <w:tcW w:w="1676" w:type="dxa"/>
                  <w:tcBorders>
                    <w:top w:val="single" w:color="000000" w:sz="6" w:space="0"/>
                    <w:left w:val="nil"/>
                    <w:bottom w:val="single" w:color="000000" w:sz="6" w:space="0"/>
                    <w:right w:val="single" w:color="000000" w:sz="6" w:space="0"/>
                  </w:tcBorders>
                  <w:noWrap w:val="0"/>
                  <w:vAlign w:val="center"/>
                </w:tcPr>
                <w:p w14:paraId="4598F646">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c>
                <w:tcPr>
                  <w:tcW w:w="890" w:type="dxa"/>
                  <w:tcBorders>
                    <w:top w:val="single" w:color="000000" w:sz="6" w:space="0"/>
                    <w:left w:val="nil"/>
                    <w:bottom w:val="single" w:color="000000" w:sz="6" w:space="0"/>
                    <w:right w:val="single" w:color="000000" w:sz="6" w:space="0"/>
                  </w:tcBorders>
                  <w:noWrap w:val="0"/>
                  <w:vAlign w:val="center"/>
                </w:tcPr>
                <w:p w14:paraId="23FFAED3">
                  <w:pPr>
                    <w:keepNext w:val="0"/>
                    <w:keepLines w:val="0"/>
                    <w:suppressLineNumbers w:val="0"/>
                    <w:spacing w:before="0" w:beforeAutospacing="0" w:after="0" w:afterAutospacing="0" w:line="200" w:lineRule="exact"/>
                    <w:ind w:left="0" w:right="0"/>
                    <w:jc w:val="center"/>
                    <w:rPr>
                      <w:rFonts w:hint="default" w:ascii="宋体" w:hAnsi="宋体"/>
                      <w:color w:val="auto"/>
                      <w:kern w:val="0"/>
                      <w:sz w:val="21"/>
                      <w:szCs w:val="21"/>
                      <w:highlight w:val="none"/>
                    </w:rPr>
                  </w:pPr>
                </w:p>
              </w:tc>
            </w:tr>
          </w:tbl>
          <w:p w14:paraId="796E857E">
            <w:pPr>
              <w:keepNext w:val="0"/>
              <w:keepLines w:val="0"/>
              <w:suppressLineNumbers w:val="0"/>
              <w:spacing w:before="10" w:beforeAutospacing="0" w:after="0" w:afterAutospacing="0" w:line="220" w:lineRule="exact"/>
              <w:ind w:left="0" w:right="0"/>
              <w:rPr>
                <w:rFonts w:hint="default" w:ascii="宋体" w:hAnsi="宋体"/>
                <w:color w:val="auto"/>
                <w:kern w:val="0"/>
                <w:highlight w:val="none"/>
              </w:rPr>
            </w:pPr>
          </w:p>
          <w:p w14:paraId="5008AA1F">
            <w:pPr>
              <w:keepNext w:val="0"/>
              <w:keepLines w:val="0"/>
              <w:suppressLineNumbers w:val="0"/>
              <w:spacing w:before="10" w:beforeAutospacing="0" w:after="0" w:afterAutospacing="0" w:line="220" w:lineRule="exact"/>
              <w:ind w:left="0" w:right="0"/>
              <w:rPr>
                <w:rFonts w:hint="default" w:ascii="宋体" w:hAnsi="宋体"/>
                <w:color w:val="auto"/>
                <w:kern w:val="0"/>
                <w:highlight w:val="none"/>
              </w:rPr>
            </w:pPr>
            <w:r>
              <w:rPr>
                <w:rFonts w:hint="eastAsia" w:ascii="宋体" w:hAnsi="宋体"/>
                <w:color w:val="auto"/>
                <w:kern w:val="0"/>
                <w:highlight w:val="none"/>
              </w:rPr>
              <w:t>附：上述3、4详见附件清单。</w:t>
            </w:r>
          </w:p>
          <w:p w14:paraId="3B1EF54E">
            <w:pPr>
              <w:keepNext w:val="0"/>
              <w:keepLines w:val="0"/>
              <w:suppressLineNumbers w:val="0"/>
              <w:spacing w:before="0" w:beforeAutospacing="0" w:after="0" w:afterAutospacing="0"/>
              <w:ind w:left="0" w:right="0"/>
              <w:jc w:val="center"/>
              <w:rPr>
                <w:rFonts w:hint="default" w:ascii="宋体" w:hAnsi="宋体"/>
                <w:color w:val="auto"/>
                <w:kern w:val="0"/>
                <w:highlight w:val="none"/>
              </w:rPr>
            </w:pPr>
          </w:p>
        </w:tc>
      </w:tr>
      <w:tr w14:paraId="0BB98FD3">
        <w:tblPrEx>
          <w:tblCellMar>
            <w:top w:w="0" w:type="dxa"/>
            <w:left w:w="0" w:type="dxa"/>
            <w:bottom w:w="0" w:type="dxa"/>
            <w:right w:w="0" w:type="dxa"/>
          </w:tblCellMar>
        </w:tblPrEx>
        <w:trPr>
          <w:trHeight w:val="239" w:hRule="atLeast"/>
          <w:jc w:val="center"/>
        </w:trPr>
        <w:tc>
          <w:tcPr>
            <w:tcW w:w="9602" w:type="dxa"/>
            <w:gridSpan w:val="4"/>
            <w:tcBorders>
              <w:top w:val="nil"/>
              <w:left w:val="single" w:color="000000" w:sz="4" w:space="0"/>
              <w:bottom w:val="nil"/>
              <w:right w:val="single" w:color="000000" w:sz="4" w:space="0"/>
            </w:tcBorders>
            <w:noWrap w:val="0"/>
            <w:vAlign w:val="top"/>
          </w:tcPr>
          <w:p w14:paraId="7949FB6A">
            <w:pPr>
              <w:keepNext w:val="0"/>
              <w:keepLines w:val="0"/>
              <w:suppressLineNumbers w:val="0"/>
              <w:wordWrap w:val="0"/>
              <w:spacing w:before="0" w:beforeAutospacing="0" w:after="0" w:afterAutospacing="0" w:line="246" w:lineRule="exact"/>
              <w:ind w:left="0" w:right="360"/>
              <w:jc w:val="right"/>
              <w:rPr>
                <w:rFonts w:hint="default" w:ascii="宋体" w:hAnsi="宋体"/>
                <w:color w:val="auto"/>
                <w:kern w:val="0"/>
                <w:highlight w:val="none"/>
              </w:rPr>
            </w:pPr>
            <w:r>
              <w:rPr>
                <w:rFonts w:hint="eastAsia" w:ascii="宋体" w:hAnsi="宋体"/>
                <w:color w:val="auto"/>
                <w:kern w:val="0"/>
                <w:highlight w:val="none"/>
              </w:rPr>
              <w:t>承包人</w:t>
            </w:r>
            <w:r>
              <w:rPr>
                <w:rFonts w:hint="eastAsia" w:ascii="宋体" w:hAnsi="宋体"/>
                <w:color w:val="auto"/>
                <w:kern w:val="0"/>
                <w:highlight w:val="none"/>
                <w:lang w:eastAsia="zh-CN"/>
              </w:rPr>
              <w:t>（</w:t>
            </w:r>
            <w:r>
              <w:rPr>
                <w:rFonts w:hint="eastAsia" w:ascii="宋体" w:hAnsi="宋体"/>
                <w:color w:val="auto"/>
                <w:kern w:val="0"/>
                <w:highlight w:val="none"/>
              </w:rPr>
              <w:t>章</w:t>
            </w:r>
            <w:r>
              <w:rPr>
                <w:rFonts w:hint="eastAsia" w:ascii="宋体" w:hAnsi="宋体"/>
                <w:color w:val="auto"/>
                <w:kern w:val="0"/>
                <w:highlight w:val="none"/>
                <w:lang w:eastAsia="zh-CN"/>
              </w:rPr>
              <w:t>）</w:t>
            </w:r>
            <w:r>
              <w:rPr>
                <w:rFonts w:hint="eastAsia" w:ascii="宋体" w:hAnsi="宋体"/>
                <w:color w:val="auto"/>
                <w:kern w:val="0"/>
                <w:highlight w:val="none"/>
              </w:rPr>
              <w:t xml:space="preserve">           </w:t>
            </w:r>
          </w:p>
        </w:tc>
      </w:tr>
      <w:tr w14:paraId="0E555614">
        <w:tblPrEx>
          <w:tblCellMar>
            <w:top w:w="0" w:type="dxa"/>
            <w:left w:w="0" w:type="dxa"/>
            <w:bottom w:w="0" w:type="dxa"/>
            <w:right w:w="0" w:type="dxa"/>
          </w:tblCellMar>
        </w:tblPrEx>
        <w:trPr>
          <w:trHeight w:val="645" w:hRule="atLeast"/>
          <w:jc w:val="center"/>
        </w:trPr>
        <w:tc>
          <w:tcPr>
            <w:tcW w:w="2524" w:type="dxa"/>
            <w:tcBorders>
              <w:top w:val="nil"/>
              <w:left w:val="single" w:color="auto" w:sz="4" w:space="0"/>
              <w:bottom w:val="nil"/>
              <w:right w:val="nil"/>
            </w:tcBorders>
            <w:noWrap w:val="0"/>
            <w:vAlign w:val="top"/>
          </w:tcPr>
          <w:p w14:paraId="181D8B19">
            <w:pPr>
              <w:keepNext w:val="0"/>
              <w:keepLines w:val="0"/>
              <w:suppressLineNumbers w:val="0"/>
              <w:spacing w:before="0" w:beforeAutospacing="0" w:after="0" w:afterAutospacing="0" w:line="246" w:lineRule="exact"/>
              <w:ind w:left="0" w:right="0"/>
              <w:rPr>
                <w:rFonts w:hint="eastAsia" w:ascii="宋体" w:hAnsi="宋体"/>
                <w:color w:val="auto"/>
                <w:kern w:val="0"/>
                <w:highlight w:val="none"/>
              </w:rPr>
            </w:pPr>
          </w:p>
          <w:p w14:paraId="3FDCFA96">
            <w:pPr>
              <w:keepNext w:val="0"/>
              <w:keepLines w:val="0"/>
              <w:suppressLineNumbers w:val="0"/>
              <w:spacing w:before="0" w:beforeAutospacing="0" w:after="0" w:afterAutospacing="0" w:line="246" w:lineRule="exact"/>
              <w:ind w:left="0" w:right="0"/>
              <w:rPr>
                <w:rFonts w:hint="default" w:ascii="宋体" w:hAnsi="宋体"/>
                <w:color w:val="auto"/>
                <w:kern w:val="0"/>
                <w:highlight w:val="none"/>
              </w:rPr>
            </w:pPr>
            <w:r>
              <w:rPr>
                <w:rFonts w:hint="eastAsia" w:ascii="宋体" w:hAnsi="宋体"/>
                <w:color w:val="auto"/>
                <w:kern w:val="0"/>
                <w:highlight w:val="none"/>
              </w:rPr>
              <w:t>编制人员</w:t>
            </w:r>
            <w:r>
              <w:rPr>
                <w:rFonts w:hint="eastAsia" w:ascii="宋体" w:hAnsi="宋体"/>
                <w:color w:val="auto"/>
                <w:kern w:val="0"/>
                <w:highlight w:val="none"/>
                <w:u w:val="single"/>
              </w:rPr>
              <w:t xml:space="preserve">            </w:t>
            </w:r>
          </w:p>
        </w:tc>
        <w:tc>
          <w:tcPr>
            <w:tcW w:w="3397" w:type="dxa"/>
            <w:gridSpan w:val="2"/>
            <w:tcBorders>
              <w:top w:val="nil"/>
              <w:left w:val="nil"/>
              <w:bottom w:val="nil"/>
              <w:right w:val="nil"/>
            </w:tcBorders>
            <w:noWrap w:val="0"/>
            <w:vAlign w:val="top"/>
          </w:tcPr>
          <w:p w14:paraId="7FE4AD45">
            <w:pPr>
              <w:keepNext w:val="0"/>
              <w:keepLines w:val="0"/>
              <w:suppressLineNumbers w:val="0"/>
              <w:spacing w:before="0" w:beforeAutospacing="0" w:after="0" w:afterAutospacing="0" w:line="246" w:lineRule="exact"/>
              <w:ind w:left="0" w:right="0"/>
              <w:rPr>
                <w:rFonts w:hint="eastAsia" w:ascii="宋体" w:hAnsi="宋体"/>
                <w:color w:val="auto"/>
                <w:kern w:val="0"/>
                <w:highlight w:val="none"/>
              </w:rPr>
            </w:pPr>
          </w:p>
          <w:p w14:paraId="15CD86E5">
            <w:pPr>
              <w:keepNext w:val="0"/>
              <w:keepLines w:val="0"/>
              <w:suppressLineNumbers w:val="0"/>
              <w:spacing w:before="0" w:beforeAutospacing="0" w:after="0" w:afterAutospacing="0" w:line="246" w:lineRule="exact"/>
              <w:ind w:left="0" w:right="0"/>
              <w:rPr>
                <w:rFonts w:hint="default" w:ascii="宋体" w:hAnsi="宋体"/>
                <w:color w:val="auto"/>
                <w:kern w:val="0"/>
                <w:highlight w:val="none"/>
              </w:rPr>
            </w:pPr>
            <w:r>
              <w:rPr>
                <w:rFonts w:hint="eastAsia" w:ascii="宋体" w:hAnsi="宋体"/>
                <w:color w:val="auto"/>
                <w:kern w:val="0"/>
                <w:highlight w:val="none"/>
              </w:rPr>
              <w:t>承包人代表</w:t>
            </w:r>
            <w:r>
              <w:rPr>
                <w:rFonts w:hint="eastAsia" w:ascii="宋体" w:hAnsi="宋体"/>
                <w:color w:val="auto"/>
                <w:kern w:val="0"/>
                <w:highlight w:val="none"/>
                <w:u w:val="single"/>
              </w:rPr>
              <w:t xml:space="preserve">            </w:t>
            </w:r>
          </w:p>
        </w:tc>
        <w:tc>
          <w:tcPr>
            <w:tcW w:w="3681" w:type="dxa"/>
            <w:tcBorders>
              <w:top w:val="nil"/>
              <w:left w:val="nil"/>
              <w:bottom w:val="nil"/>
              <w:right w:val="single" w:color="auto" w:sz="4" w:space="0"/>
            </w:tcBorders>
            <w:noWrap w:val="0"/>
            <w:vAlign w:val="top"/>
          </w:tcPr>
          <w:p w14:paraId="5719E038">
            <w:pPr>
              <w:keepNext w:val="0"/>
              <w:keepLines w:val="0"/>
              <w:suppressLineNumbers w:val="0"/>
              <w:spacing w:before="0" w:beforeAutospacing="0" w:after="0" w:afterAutospacing="0" w:line="246" w:lineRule="exact"/>
              <w:ind w:left="0" w:right="0"/>
              <w:rPr>
                <w:rFonts w:hint="eastAsia" w:ascii="宋体" w:hAnsi="宋体"/>
                <w:color w:val="auto"/>
                <w:kern w:val="0"/>
                <w:highlight w:val="none"/>
              </w:rPr>
            </w:pPr>
          </w:p>
          <w:p w14:paraId="6E4B5608">
            <w:pPr>
              <w:keepNext w:val="0"/>
              <w:keepLines w:val="0"/>
              <w:suppressLineNumbers w:val="0"/>
              <w:spacing w:before="0" w:beforeAutospacing="0" w:after="0" w:afterAutospacing="0" w:line="246" w:lineRule="exact"/>
              <w:ind w:left="0" w:right="0"/>
              <w:rPr>
                <w:rFonts w:hint="default" w:ascii="宋体" w:hAnsi="宋体"/>
                <w:color w:val="auto"/>
                <w:kern w:val="0"/>
                <w:highlight w:val="none"/>
              </w:rPr>
            </w:pPr>
            <w:r>
              <w:rPr>
                <w:rFonts w:hint="eastAsia" w:ascii="宋体" w:hAnsi="宋体"/>
                <w:color w:val="auto"/>
                <w:kern w:val="0"/>
                <w:highlight w:val="none"/>
              </w:rPr>
              <w:t>日期</w:t>
            </w:r>
            <w:r>
              <w:rPr>
                <w:rFonts w:hint="eastAsia" w:ascii="宋体" w:hAnsi="宋体"/>
                <w:color w:val="auto"/>
                <w:kern w:val="0"/>
                <w:highlight w:val="none"/>
                <w:u w:val="single"/>
              </w:rPr>
              <w:t xml:space="preserve">            </w:t>
            </w:r>
          </w:p>
        </w:tc>
      </w:tr>
      <w:tr w14:paraId="7CC53708">
        <w:tblPrEx>
          <w:tblCellMar>
            <w:top w:w="0" w:type="dxa"/>
            <w:left w:w="0" w:type="dxa"/>
            <w:bottom w:w="0" w:type="dxa"/>
            <w:right w:w="0" w:type="dxa"/>
          </w:tblCellMar>
        </w:tblPrEx>
        <w:trPr>
          <w:trHeight w:val="479" w:hRule="atLeast"/>
          <w:jc w:val="center"/>
        </w:trPr>
        <w:tc>
          <w:tcPr>
            <w:tcW w:w="4938" w:type="dxa"/>
            <w:gridSpan w:val="2"/>
            <w:tcBorders>
              <w:top w:val="single" w:color="000000" w:sz="4" w:space="0"/>
              <w:left w:val="single" w:color="000000" w:sz="4" w:space="0"/>
              <w:bottom w:val="nil"/>
              <w:right w:val="single" w:color="000000" w:sz="4" w:space="0"/>
            </w:tcBorders>
            <w:noWrap w:val="0"/>
            <w:vAlign w:val="center"/>
          </w:tcPr>
          <w:p w14:paraId="3FF429D1">
            <w:pPr>
              <w:keepNext w:val="0"/>
              <w:keepLines w:val="0"/>
              <w:suppressLineNumbers w:val="0"/>
              <w:spacing w:before="0" w:beforeAutospacing="0" w:after="0" w:afterAutospacing="0"/>
              <w:ind w:left="0" w:right="0"/>
              <w:rPr>
                <w:rFonts w:hint="default" w:ascii="宋体" w:hAnsi="宋体"/>
                <w:color w:val="auto"/>
                <w:kern w:val="0"/>
                <w:highlight w:val="none"/>
              </w:rPr>
            </w:pPr>
            <w:r>
              <w:rPr>
                <w:rFonts w:hint="eastAsia" w:ascii="宋体" w:hAnsi="宋体"/>
                <w:color w:val="auto"/>
                <w:kern w:val="0"/>
                <w:highlight w:val="none"/>
              </w:rPr>
              <w:t>复核意见：</w:t>
            </w:r>
          </w:p>
        </w:tc>
        <w:tc>
          <w:tcPr>
            <w:tcW w:w="4664" w:type="dxa"/>
            <w:gridSpan w:val="2"/>
            <w:tcBorders>
              <w:top w:val="single" w:color="000000" w:sz="4" w:space="0"/>
              <w:left w:val="nil"/>
              <w:bottom w:val="nil"/>
              <w:right w:val="single" w:color="000000" w:sz="4" w:space="0"/>
            </w:tcBorders>
            <w:noWrap w:val="0"/>
            <w:vAlign w:val="center"/>
          </w:tcPr>
          <w:p w14:paraId="3959CB73">
            <w:pPr>
              <w:keepNext w:val="0"/>
              <w:keepLines w:val="0"/>
              <w:suppressLineNumbers w:val="0"/>
              <w:spacing w:before="0" w:beforeAutospacing="0" w:after="0" w:afterAutospacing="0"/>
              <w:ind w:left="0" w:right="0"/>
              <w:rPr>
                <w:rFonts w:hint="default" w:ascii="宋体" w:hAnsi="宋体"/>
                <w:color w:val="auto"/>
                <w:kern w:val="0"/>
                <w:highlight w:val="none"/>
              </w:rPr>
            </w:pPr>
            <w:r>
              <w:rPr>
                <w:rFonts w:hint="eastAsia" w:ascii="宋体" w:hAnsi="宋体"/>
                <w:color w:val="auto"/>
                <w:kern w:val="0"/>
                <w:highlight w:val="none"/>
              </w:rPr>
              <w:t>复核意见：</w:t>
            </w:r>
          </w:p>
        </w:tc>
      </w:tr>
      <w:tr w14:paraId="4F6535E8">
        <w:tblPrEx>
          <w:tblCellMar>
            <w:top w:w="0" w:type="dxa"/>
            <w:left w:w="0" w:type="dxa"/>
            <w:bottom w:w="0" w:type="dxa"/>
            <w:right w:w="0" w:type="dxa"/>
          </w:tblCellMar>
        </w:tblPrEx>
        <w:trPr>
          <w:trHeight w:val="601" w:hRule="atLeast"/>
          <w:jc w:val="center"/>
        </w:trPr>
        <w:tc>
          <w:tcPr>
            <w:tcW w:w="4938" w:type="dxa"/>
            <w:gridSpan w:val="2"/>
            <w:tcBorders>
              <w:top w:val="nil"/>
              <w:left w:val="single" w:color="000000" w:sz="4" w:space="0"/>
              <w:bottom w:val="nil"/>
              <w:right w:val="single" w:color="000000" w:sz="4" w:space="0"/>
            </w:tcBorders>
            <w:noWrap w:val="0"/>
            <w:vAlign w:val="center"/>
          </w:tcPr>
          <w:p w14:paraId="37131626">
            <w:pPr>
              <w:keepNext w:val="0"/>
              <w:keepLines w:val="0"/>
              <w:suppressLineNumbers w:val="0"/>
              <w:spacing w:before="0" w:beforeAutospacing="0" w:after="0" w:afterAutospacing="0" w:line="246" w:lineRule="exact"/>
              <w:ind w:left="0" w:right="0"/>
              <w:rPr>
                <w:rFonts w:hint="default" w:ascii="宋体" w:hAnsi="宋体"/>
                <w:color w:val="auto"/>
                <w:kern w:val="0"/>
                <w:highlight w:val="none"/>
              </w:rPr>
            </w:pPr>
            <w:r>
              <w:rPr>
                <w:rFonts w:hint="eastAsia" w:ascii="宋体" w:hAnsi="宋体"/>
                <w:color w:val="auto"/>
                <w:kern w:val="0"/>
                <w:highlight w:val="none"/>
              </w:rPr>
              <w:t>□与实际施工情况不相符</w:t>
            </w:r>
            <w:r>
              <w:rPr>
                <w:rFonts w:hint="eastAsia" w:ascii="宋体" w:hAnsi="宋体"/>
                <w:color w:val="auto"/>
                <w:kern w:val="0"/>
                <w:highlight w:val="none"/>
                <w:lang w:eastAsia="zh-CN"/>
              </w:rPr>
              <w:t>，</w:t>
            </w:r>
            <w:r>
              <w:rPr>
                <w:rFonts w:hint="eastAsia" w:ascii="宋体" w:hAnsi="宋体"/>
                <w:color w:val="auto"/>
                <w:kern w:val="0"/>
                <w:highlight w:val="none"/>
              </w:rPr>
              <w:t>修改意见见附件</w:t>
            </w:r>
          </w:p>
        </w:tc>
        <w:tc>
          <w:tcPr>
            <w:tcW w:w="4664" w:type="dxa"/>
            <w:gridSpan w:val="2"/>
            <w:vMerge w:val="restart"/>
            <w:tcBorders>
              <w:top w:val="nil"/>
              <w:left w:val="nil"/>
              <w:bottom w:val="nil"/>
              <w:right w:val="single" w:color="000000" w:sz="4" w:space="0"/>
            </w:tcBorders>
            <w:noWrap w:val="0"/>
            <w:vAlign w:val="top"/>
          </w:tcPr>
          <w:p w14:paraId="10BB0B8F">
            <w:pPr>
              <w:keepNext w:val="0"/>
              <w:keepLines w:val="0"/>
              <w:suppressLineNumbers w:val="0"/>
              <w:spacing w:before="0" w:beforeAutospacing="0" w:after="0" w:afterAutospacing="0" w:line="246" w:lineRule="exact"/>
              <w:ind w:left="0" w:right="0" w:firstLine="428" w:firstLineChars="200"/>
              <w:rPr>
                <w:rFonts w:hint="default" w:ascii="宋体" w:hAnsi="宋体"/>
                <w:color w:val="auto"/>
                <w:kern w:val="0"/>
                <w:highlight w:val="none"/>
              </w:rPr>
            </w:pPr>
            <w:r>
              <w:rPr>
                <w:rFonts w:hint="eastAsia" w:ascii="宋体" w:hAnsi="宋体"/>
                <w:color w:val="auto"/>
                <w:spacing w:val="2"/>
                <w:kern w:val="0"/>
                <w:highlight w:val="none"/>
              </w:rPr>
              <w:t>你方提出的支付申请经复核</w:t>
            </w:r>
            <w:r>
              <w:rPr>
                <w:rFonts w:hint="eastAsia" w:ascii="宋体" w:hAnsi="宋体"/>
                <w:color w:val="auto"/>
                <w:spacing w:val="2"/>
                <w:kern w:val="0"/>
                <w:highlight w:val="none"/>
                <w:lang w:eastAsia="zh-CN"/>
              </w:rPr>
              <w:t>，</w:t>
            </w:r>
            <w:r>
              <w:rPr>
                <w:rFonts w:hint="eastAsia" w:ascii="宋体" w:hAnsi="宋体"/>
                <w:color w:val="auto"/>
                <w:spacing w:val="2"/>
                <w:kern w:val="0"/>
                <w:highlight w:val="none"/>
              </w:rPr>
              <w:t>本期间应支付金额为（大写）</w:t>
            </w:r>
            <w:r>
              <w:rPr>
                <w:rFonts w:hint="eastAsia" w:ascii="宋体" w:hAnsi="宋体"/>
                <w:color w:val="auto"/>
                <w:spacing w:val="2"/>
                <w:kern w:val="0"/>
                <w:highlight w:val="none"/>
                <w:u w:val="single"/>
              </w:rPr>
              <w:tab/>
            </w:r>
            <w:r>
              <w:rPr>
                <w:rFonts w:hint="eastAsia" w:ascii="宋体" w:hAnsi="宋体"/>
                <w:color w:val="auto"/>
                <w:spacing w:val="2"/>
                <w:kern w:val="0"/>
                <w:highlight w:val="none"/>
                <w:u w:val="single"/>
              </w:rPr>
              <w:tab/>
            </w:r>
            <w:r>
              <w:rPr>
                <w:rFonts w:hint="eastAsia" w:ascii="宋体" w:hAnsi="宋体"/>
                <w:color w:val="auto"/>
                <w:spacing w:val="2"/>
                <w:kern w:val="0"/>
                <w:highlight w:val="none"/>
                <w:u w:val="single"/>
              </w:rPr>
              <w:t xml:space="preserve"> </w:t>
            </w:r>
            <w:r>
              <w:rPr>
                <w:rFonts w:hint="eastAsia" w:ascii="宋体" w:hAnsi="宋体"/>
                <w:color w:val="auto"/>
                <w:spacing w:val="2"/>
                <w:kern w:val="0"/>
                <w:highlight w:val="none"/>
              </w:rPr>
              <w:t>（小写</w:t>
            </w:r>
            <w:r>
              <w:rPr>
                <w:rFonts w:hint="eastAsia" w:ascii="宋体" w:hAnsi="宋体"/>
                <w:color w:val="auto"/>
                <w:spacing w:val="2"/>
                <w:kern w:val="0"/>
                <w:highlight w:val="none"/>
                <w:u w:val="single"/>
              </w:rPr>
              <w:tab/>
            </w:r>
            <w:r>
              <w:rPr>
                <w:rFonts w:hint="eastAsia" w:ascii="宋体" w:hAnsi="宋体"/>
                <w:color w:val="auto"/>
                <w:spacing w:val="2"/>
                <w:kern w:val="0"/>
                <w:highlight w:val="none"/>
                <w:u w:val="single"/>
              </w:rPr>
              <w:tab/>
            </w:r>
            <w:r>
              <w:rPr>
                <w:rFonts w:hint="eastAsia" w:ascii="宋体" w:hAnsi="宋体"/>
                <w:color w:val="auto"/>
                <w:spacing w:val="2"/>
                <w:kern w:val="0"/>
                <w:highlight w:val="none"/>
                <w:u w:val="single"/>
              </w:rPr>
              <w:t xml:space="preserve">      </w:t>
            </w:r>
            <w:r>
              <w:rPr>
                <w:rFonts w:hint="eastAsia" w:ascii="宋体" w:hAnsi="宋体"/>
                <w:color w:val="auto"/>
                <w:spacing w:val="2"/>
                <w:kern w:val="0"/>
                <w:highlight w:val="none"/>
                <w:u w:val="single"/>
              </w:rPr>
              <w:tab/>
            </w:r>
            <w:r>
              <w:rPr>
                <w:rFonts w:hint="eastAsia" w:ascii="宋体" w:hAnsi="宋体"/>
                <w:color w:val="auto"/>
                <w:spacing w:val="2"/>
                <w:kern w:val="0"/>
                <w:highlight w:val="none"/>
              </w:rPr>
              <w:t>）。</w:t>
            </w:r>
          </w:p>
        </w:tc>
      </w:tr>
      <w:tr w14:paraId="24827238">
        <w:tblPrEx>
          <w:tblCellMar>
            <w:top w:w="0" w:type="dxa"/>
            <w:left w:w="0" w:type="dxa"/>
            <w:bottom w:w="0" w:type="dxa"/>
            <w:right w:w="0" w:type="dxa"/>
          </w:tblCellMar>
        </w:tblPrEx>
        <w:trPr>
          <w:trHeight w:val="623" w:hRule="atLeast"/>
          <w:jc w:val="center"/>
        </w:trPr>
        <w:tc>
          <w:tcPr>
            <w:tcW w:w="4938" w:type="dxa"/>
            <w:gridSpan w:val="2"/>
            <w:tcBorders>
              <w:top w:val="nil"/>
              <w:left w:val="single" w:color="000000" w:sz="4" w:space="0"/>
              <w:bottom w:val="nil"/>
              <w:right w:val="single" w:color="000000" w:sz="4" w:space="0"/>
            </w:tcBorders>
            <w:noWrap w:val="0"/>
            <w:vAlign w:val="center"/>
          </w:tcPr>
          <w:p w14:paraId="06762110">
            <w:pPr>
              <w:keepNext w:val="0"/>
              <w:keepLines w:val="0"/>
              <w:suppressLineNumbers w:val="0"/>
              <w:spacing w:before="0" w:beforeAutospacing="0" w:after="0" w:afterAutospacing="0" w:line="246" w:lineRule="exact"/>
              <w:ind w:left="0" w:right="0"/>
              <w:rPr>
                <w:rFonts w:hint="default" w:ascii="宋体" w:hAnsi="宋体"/>
                <w:color w:val="auto"/>
                <w:kern w:val="0"/>
                <w:highlight w:val="none"/>
              </w:rPr>
            </w:pPr>
            <w:r>
              <w:rPr>
                <w:rFonts w:hint="eastAsia" w:ascii="宋体" w:hAnsi="宋体"/>
                <w:color w:val="auto"/>
                <w:spacing w:val="7"/>
                <w:kern w:val="0"/>
                <w:highlight w:val="none"/>
              </w:rPr>
              <w:t>□与实际施工</w:t>
            </w:r>
            <w:r>
              <w:rPr>
                <w:rFonts w:hint="eastAsia" w:ascii="宋体" w:hAnsi="宋体"/>
                <w:color w:val="auto"/>
                <w:spacing w:val="4"/>
                <w:kern w:val="0"/>
                <w:highlight w:val="none"/>
              </w:rPr>
              <w:t>情</w:t>
            </w:r>
            <w:r>
              <w:rPr>
                <w:rFonts w:hint="eastAsia" w:ascii="宋体" w:hAnsi="宋体"/>
                <w:color w:val="auto"/>
                <w:spacing w:val="7"/>
                <w:kern w:val="0"/>
                <w:highlight w:val="none"/>
              </w:rPr>
              <w:t>况相符</w:t>
            </w:r>
            <w:r>
              <w:rPr>
                <w:rFonts w:hint="eastAsia" w:ascii="宋体" w:hAnsi="宋体"/>
                <w:color w:val="auto"/>
                <w:spacing w:val="7"/>
                <w:kern w:val="0"/>
                <w:highlight w:val="none"/>
                <w:lang w:eastAsia="zh-CN"/>
              </w:rPr>
              <w:t>，</w:t>
            </w:r>
            <w:r>
              <w:rPr>
                <w:rFonts w:hint="eastAsia" w:ascii="宋体" w:hAnsi="宋体"/>
                <w:color w:val="auto"/>
                <w:spacing w:val="4"/>
                <w:kern w:val="0"/>
                <w:highlight w:val="none"/>
              </w:rPr>
              <w:t>具体</w:t>
            </w:r>
            <w:r>
              <w:rPr>
                <w:rFonts w:hint="eastAsia" w:ascii="宋体" w:hAnsi="宋体"/>
                <w:color w:val="auto"/>
                <w:spacing w:val="7"/>
                <w:kern w:val="0"/>
                <w:highlight w:val="none"/>
              </w:rPr>
              <w:t>金额应由造价工</w:t>
            </w:r>
            <w:r>
              <w:rPr>
                <w:rFonts w:hint="eastAsia" w:ascii="宋体" w:hAnsi="宋体"/>
                <w:color w:val="auto"/>
                <w:spacing w:val="4"/>
                <w:kern w:val="0"/>
                <w:highlight w:val="none"/>
              </w:rPr>
              <w:t>程</w:t>
            </w:r>
            <w:r>
              <w:rPr>
                <w:rFonts w:hint="eastAsia" w:ascii="宋体" w:hAnsi="宋体"/>
                <w:color w:val="auto"/>
                <w:spacing w:val="7"/>
                <w:kern w:val="0"/>
                <w:highlight w:val="none"/>
              </w:rPr>
              <w:t>师</w:t>
            </w:r>
            <w:r>
              <w:rPr>
                <w:rFonts w:hint="eastAsia" w:ascii="宋体" w:hAnsi="宋体"/>
                <w:color w:val="auto"/>
                <w:kern w:val="0"/>
                <w:highlight w:val="none"/>
              </w:rPr>
              <w:t>复核</w:t>
            </w:r>
          </w:p>
        </w:tc>
        <w:tc>
          <w:tcPr>
            <w:tcW w:w="4664" w:type="dxa"/>
            <w:gridSpan w:val="2"/>
            <w:vMerge w:val="continue"/>
            <w:tcBorders>
              <w:top w:val="nil"/>
              <w:left w:val="nil"/>
              <w:bottom w:val="nil"/>
              <w:right w:val="single" w:color="000000" w:sz="4" w:space="0"/>
            </w:tcBorders>
            <w:noWrap w:val="0"/>
            <w:vAlign w:val="center"/>
          </w:tcPr>
          <w:p w14:paraId="4DC0E9AD">
            <w:pPr>
              <w:keepNext w:val="0"/>
              <w:keepLines w:val="0"/>
              <w:widowControl/>
              <w:suppressLineNumbers w:val="0"/>
              <w:spacing w:before="0" w:beforeAutospacing="0" w:after="0" w:afterAutospacing="0"/>
              <w:ind w:left="0" w:right="0"/>
              <w:jc w:val="left"/>
              <w:rPr>
                <w:rFonts w:hint="default" w:ascii="宋体" w:hAnsi="宋体"/>
                <w:color w:val="auto"/>
                <w:kern w:val="0"/>
                <w:highlight w:val="none"/>
              </w:rPr>
            </w:pPr>
          </w:p>
        </w:tc>
      </w:tr>
      <w:tr w14:paraId="2AF8C8B3">
        <w:tblPrEx>
          <w:tblCellMar>
            <w:top w:w="0" w:type="dxa"/>
            <w:left w:w="0" w:type="dxa"/>
            <w:bottom w:w="0" w:type="dxa"/>
            <w:right w:w="0" w:type="dxa"/>
          </w:tblCellMar>
        </w:tblPrEx>
        <w:trPr>
          <w:trHeight w:val="70" w:hRule="atLeast"/>
          <w:jc w:val="center"/>
        </w:trPr>
        <w:tc>
          <w:tcPr>
            <w:tcW w:w="4938" w:type="dxa"/>
            <w:gridSpan w:val="2"/>
            <w:tcBorders>
              <w:top w:val="nil"/>
              <w:left w:val="single" w:color="000000" w:sz="4" w:space="0"/>
              <w:bottom w:val="nil"/>
              <w:right w:val="single" w:color="000000" w:sz="4" w:space="0"/>
            </w:tcBorders>
            <w:noWrap w:val="0"/>
            <w:vAlign w:val="center"/>
          </w:tcPr>
          <w:p w14:paraId="372214E7">
            <w:pPr>
              <w:keepNext w:val="0"/>
              <w:keepLines w:val="0"/>
              <w:suppressLineNumbers w:val="0"/>
              <w:spacing w:before="0" w:beforeAutospacing="0" w:after="0" w:afterAutospacing="0" w:line="246" w:lineRule="exact"/>
              <w:ind w:left="0" w:right="0"/>
              <w:rPr>
                <w:rFonts w:hint="default" w:ascii="宋体" w:hAnsi="宋体"/>
                <w:color w:val="auto"/>
                <w:kern w:val="0"/>
                <w:highlight w:val="none"/>
              </w:rPr>
            </w:pPr>
          </w:p>
        </w:tc>
        <w:tc>
          <w:tcPr>
            <w:tcW w:w="4664" w:type="dxa"/>
            <w:gridSpan w:val="2"/>
            <w:tcBorders>
              <w:top w:val="nil"/>
              <w:left w:val="nil"/>
              <w:bottom w:val="nil"/>
              <w:right w:val="single" w:color="000000" w:sz="4" w:space="0"/>
            </w:tcBorders>
            <w:noWrap w:val="0"/>
            <w:vAlign w:val="center"/>
          </w:tcPr>
          <w:p w14:paraId="5382DC44">
            <w:pPr>
              <w:keepNext w:val="0"/>
              <w:keepLines w:val="0"/>
              <w:suppressLineNumbers w:val="0"/>
              <w:spacing w:before="0" w:beforeAutospacing="0" w:after="0" w:afterAutospacing="0" w:line="246" w:lineRule="exact"/>
              <w:ind w:left="0" w:right="0"/>
              <w:rPr>
                <w:rFonts w:hint="default" w:ascii="宋体" w:hAnsi="宋体"/>
                <w:color w:val="auto"/>
                <w:kern w:val="0"/>
                <w:highlight w:val="none"/>
              </w:rPr>
            </w:pPr>
          </w:p>
        </w:tc>
      </w:tr>
      <w:tr w14:paraId="3423C646">
        <w:tblPrEx>
          <w:tblCellMar>
            <w:top w:w="0" w:type="dxa"/>
            <w:left w:w="0" w:type="dxa"/>
            <w:bottom w:w="0" w:type="dxa"/>
            <w:right w:w="0" w:type="dxa"/>
          </w:tblCellMar>
        </w:tblPrEx>
        <w:trPr>
          <w:trHeight w:val="899" w:hRule="atLeast"/>
          <w:jc w:val="center"/>
        </w:trPr>
        <w:tc>
          <w:tcPr>
            <w:tcW w:w="4938" w:type="dxa"/>
            <w:gridSpan w:val="2"/>
            <w:tcBorders>
              <w:top w:val="nil"/>
              <w:left w:val="single" w:color="000000" w:sz="4" w:space="0"/>
              <w:bottom w:val="single" w:color="000000" w:sz="4" w:space="0"/>
              <w:right w:val="single" w:color="000000" w:sz="4" w:space="0"/>
            </w:tcBorders>
            <w:noWrap w:val="0"/>
            <w:vAlign w:val="center"/>
          </w:tcPr>
          <w:p w14:paraId="69599E0A">
            <w:pPr>
              <w:keepNext w:val="0"/>
              <w:keepLines w:val="0"/>
              <w:suppressLineNumbers w:val="0"/>
              <w:wordWrap w:val="0"/>
              <w:spacing w:before="0" w:beforeAutospacing="0" w:after="0" w:afterAutospacing="0" w:line="278" w:lineRule="auto"/>
              <w:ind w:left="0" w:right="0"/>
              <w:jc w:val="right"/>
              <w:rPr>
                <w:rFonts w:hint="default" w:ascii="宋体" w:hAnsi="宋体"/>
                <w:color w:val="auto"/>
                <w:kern w:val="0"/>
                <w:highlight w:val="none"/>
                <w:u w:val="single" w:color="000000"/>
              </w:rPr>
            </w:pPr>
            <w:r>
              <w:rPr>
                <w:rFonts w:hint="eastAsia" w:ascii="宋体" w:hAnsi="宋体"/>
                <w:color w:val="auto"/>
                <w:kern w:val="0"/>
                <w:highlight w:val="none"/>
              </w:rPr>
              <w:t>监理工程师</w:t>
            </w:r>
            <w:r>
              <w:rPr>
                <w:rFonts w:hint="eastAsia" w:ascii="宋体" w:hAnsi="宋体"/>
                <w:color w:val="auto"/>
                <w:kern w:val="0"/>
                <w:highlight w:val="none"/>
                <w:u w:val="single"/>
              </w:rPr>
              <w:t xml:space="preserve">         </w:t>
            </w:r>
          </w:p>
          <w:p w14:paraId="2026AA45">
            <w:pPr>
              <w:keepNext w:val="0"/>
              <w:keepLines w:val="0"/>
              <w:suppressLineNumbers w:val="0"/>
              <w:wordWrap w:val="0"/>
              <w:spacing w:before="0" w:beforeAutospacing="0" w:after="0" w:afterAutospacing="0" w:line="278" w:lineRule="auto"/>
              <w:ind w:left="0" w:right="0"/>
              <w:jc w:val="right"/>
              <w:rPr>
                <w:rFonts w:hint="default" w:ascii="宋体" w:hAnsi="宋体"/>
                <w:color w:val="auto"/>
                <w:kern w:val="0"/>
                <w:highlight w:val="none"/>
              </w:rPr>
            </w:pPr>
            <w:r>
              <w:rPr>
                <w:rFonts w:hint="eastAsia" w:ascii="宋体" w:hAnsi="宋体"/>
                <w:color w:val="auto"/>
                <w:kern w:val="0"/>
                <w:highlight w:val="none"/>
              </w:rPr>
              <w:t>日期</w:t>
            </w:r>
            <w:r>
              <w:rPr>
                <w:rFonts w:hint="eastAsia" w:ascii="宋体" w:hAnsi="宋体"/>
                <w:color w:val="auto"/>
                <w:kern w:val="0"/>
                <w:highlight w:val="none"/>
                <w:u w:val="single"/>
              </w:rPr>
              <w:t xml:space="preserve">         </w:t>
            </w:r>
          </w:p>
        </w:tc>
        <w:tc>
          <w:tcPr>
            <w:tcW w:w="4664" w:type="dxa"/>
            <w:gridSpan w:val="2"/>
            <w:tcBorders>
              <w:top w:val="nil"/>
              <w:left w:val="nil"/>
              <w:bottom w:val="single" w:color="000000" w:sz="4" w:space="0"/>
              <w:right w:val="single" w:color="000000" w:sz="4" w:space="0"/>
            </w:tcBorders>
            <w:noWrap w:val="0"/>
            <w:vAlign w:val="center"/>
          </w:tcPr>
          <w:p w14:paraId="7AA7DF76">
            <w:pPr>
              <w:keepNext w:val="0"/>
              <w:keepLines w:val="0"/>
              <w:suppressLineNumbers w:val="0"/>
              <w:wordWrap w:val="0"/>
              <w:spacing w:before="0" w:beforeAutospacing="0" w:after="0" w:afterAutospacing="0" w:line="278" w:lineRule="auto"/>
              <w:ind w:left="0" w:right="0"/>
              <w:jc w:val="right"/>
              <w:rPr>
                <w:rFonts w:hint="default" w:ascii="宋体" w:hAnsi="宋体"/>
                <w:color w:val="auto"/>
                <w:kern w:val="0"/>
                <w:highlight w:val="none"/>
                <w:u w:val="single" w:color="000000"/>
              </w:rPr>
            </w:pPr>
            <w:r>
              <w:rPr>
                <w:rFonts w:hint="eastAsia" w:ascii="宋体" w:hAnsi="宋体"/>
                <w:color w:val="auto"/>
                <w:kern w:val="0"/>
                <w:highlight w:val="none"/>
              </w:rPr>
              <w:t>一级注册造价工程师</w:t>
            </w:r>
            <w:r>
              <w:rPr>
                <w:rFonts w:hint="eastAsia" w:ascii="宋体" w:hAnsi="宋体"/>
                <w:color w:val="auto"/>
                <w:kern w:val="0"/>
                <w:highlight w:val="none"/>
                <w:u w:val="single"/>
              </w:rPr>
              <w:t xml:space="preserve">         </w:t>
            </w:r>
          </w:p>
          <w:p w14:paraId="2945DEA8">
            <w:pPr>
              <w:keepNext w:val="0"/>
              <w:keepLines w:val="0"/>
              <w:suppressLineNumbers w:val="0"/>
              <w:wordWrap w:val="0"/>
              <w:spacing w:before="0" w:beforeAutospacing="0" w:after="0" w:afterAutospacing="0" w:line="278" w:lineRule="auto"/>
              <w:ind w:left="0" w:right="0"/>
              <w:jc w:val="right"/>
              <w:rPr>
                <w:rFonts w:hint="default" w:ascii="宋体" w:hAnsi="宋体"/>
                <w:color w:val="auto"/>
                <w:kern w:val="0"/>
                <w:highlight w:val="none"/>
              </w:rPr>
            </w:pPr>
            <w:r>
              <w:rPr>
                <w:rFonts w:hint="eastAsia" w:ascii="宋体" w:hAnsi="宋体"/>
                <w:color w:val="auto"/>
                <w:kern w:val="0"/>
                <w:highlight w:val="none"/>
              </w:rPr>
              <w:t>日期</w:t>
            </w:r>
            <w:r>
              <w:rPr>
                <w:rFonts w:hint="eastAsia" w:ascii="宋体" w:hAnsi="宋体"/>
                <w:color w:val="auto"/>
                <w:kern w:val="0"/>
                <w:highlight w:val="none"/>
                <w:u w:val="single"/>
              </w:rPr>
              <w:t xml:space="preserve">         </w:t>
            </w:r>
          </w:p>
        </w:tc>
      </w:tr>
      <w:tr w14:paraId="5CEBB0E4">
        <w:tblPrEx>
          <w:tblCellMar>
            <w:top w:w="0" w:type="dxa"/>
            <w:left w:w="0" w:type="dxa"/>
            <w:bottom w:w="0" w:type="dxa"/>
            <w:right w:w="0" w:type="dxa"/>
          </w:tblCellMar>
        </w:tblPrEx>
        <w:trPr>
          <w:trHeight w:val="403" w:hRule="atLeast"/>
          <w:jc w:val="center"/>
        </w:trPr>
        <w:tc>
          <w:tcPr>
            <w:tcW w:w="9602" w:type="dxa"/>
            <w:gridSpan w:val="4"/>
            <w:tcBorders>
              <w:top w:val="single" w:color="000000" w:sz="4" w:space="0"/>
              <w:left w:val="single" w:color="000000" w:sz="4" w:space="0"/>
              <w:bottom w:val="nil"/>
              <w:right w:val="single" w:color="000000" w:sz="4" w:space="0"/>
            </w:tcBorders>
            <w:noWrap w:val="0"/>
            <w:vAlign w:val="center"/>
          </w:tcPr>
          <w:p w14:paraId="5C5E9549">
            <w:pPr>
              <w:keepNext w:val="0"/>
              <w:keepLines w:val="0"/>
              <w:suppressLineNumbers w:val="0"/>
              <w:spacing w:before="56" w:beforeAutospacing="0" w:after="0" w:afterAutospacing="0"/>
              <w:ind w:left="0" w:right="0"/>
              <w:rPr>
                <w:rFonts w:hint="default" w:ascii="宋体" w:hAnsi="宋体"/>
                <w:color w:val="auto"/>
                <w:kern w:val="0"/>
                <w:highlight w:val="none"/>
              </w:rPr>
            </w:pPr>
            <w:r>
              <w:rPr>
                <w:rFonts w:hint="eastAsia" w:ascii="宋体" w:hAnsi="宋体"/>
                <w:color w:val="auto"/>
                <w:kern w:val="0"/>
                <w:highlight w:val="none"/>
              </w:rPr>
              <w:t>审核意见：</w:t>
            </w:r>
          </w:p>
        </w:tc>
      </w:tr>
      <w:tr w14:paraId="7A0FCE60">
        <w:tblPrEx>
          <w:tblCellMar>
            <w:top w:w="0" w:type="dxa"/>
            <w:left w:w="0" w:type="dxa"/>
            <w:bottom w:w="0" w:type="dxa"/>
            <w:right w:w="0" w:type="dxa"/>
          </w:tblCellMar>
        </w:tblPrEx>
        <w:trPr>
          <w:trHeight w:val="319" w:hRule="atLeast"/>
          <w:jc w:val="center"/>
        </w:trPr>
        <w:tc>
          <w:tcPr>
            <w:tcW w:w="9602" w:type="dxa"/>
            <w:gridSpan w:val="4"/>
            <w:tcBorders>
              <w:top w:val="nil"/>
              <w:left w:val="single" w:color="000000" w:sz="4" w:space="0"/>
              <w:bottom w:val="nil"/>
              <w:right w:val="single" w:color="000000" w:sz="4" w:space="0"/>
            </w:tcBorders>
            <w:noWrap w:val="0"/>
            <w:vAlign w:val="center"/>
          </w:tcPr>
          <w:p w14:paraId="486558F0">
            <w:pPr>
              <w:keepNext w:val="0"/>
              <w:keepLines w:val="0"/>
              <w:suppressLineNumbers w:val="0"/>
              <w:spacing w:before="0" w:beforeAutospacing="0" w:after="0" w:afterAutospacing="0" w:line="246" w:lineRule="exact"/>
              <w:ind w:left="0" w:right="0"/>
              <w:rPr>
                <w:rFonts w:hint="default" w:ascii="宋体" w:hAnsi="宋体"/>
                <w:color w:val="auto"/>
                <w:kern w:val="0"/>
                <w:highlight w:val="none"/>
              </w:rPr>
            </w:pPr>
            <w:r>
              <w:rPr>
                <w:rFonts w:hint="eastAsia" w:ascii="宋体" w:hAnsi="宋体"/>
                <w:color w:val="auto"/>
                <w:kern w:val="0"/>
                <w:highlight w:val="none"/>
              </w:rPr>
              <w:t>□不同意</w:t>
            </w:r>
          </w:p>
        </w:tc>
      </w:tr>
      <w:tr w14:paraId="2CECA93C">
        <w:tblPrEx>
          <w:tblCellMar>
            <w:top w:w="0" w:type="dxa"/>
            <w:left w:w="0" w:type="dxa"/>
            <w:bottom w:w="0" w:type="dxa"/>
            <w:right w:w="0" w:type="dxa"/>
          </w:tblCellMar>
        </w:tblPrEx>
        <w:trPr>
          <w:trHeight w:val="319" w:hRule="atLeast"/>
          <w:jc w:val="center"/>
        </w:trPr>
        <w:tc>
          <w:tcPr>
            <w:tcW w:w="9602" w:type="dxa"/>
            <w:gridSpan w:val="4"/>
            <w:tcBorders>
              <w:top w:val="nil"/>
              <w:left w:val="single" w:color="000000" w:sz="4" w:space="0"/>
              <w:bottom w:val="nil"/>
              <w:right w:val="single" w:color="000000" w:sz="4" w:space="0"/>
            </w:tcBorders>
            <w:noWrap w:val="0"/>
            <w:vAlign w:val="center"/>
          </w:tcPr>
          <w:p w14:paraId="4A1B590F">
            <w:pPr>
              <w:keepNext w:val="0"/>
              <w:keepLines w:val="0"/>
              <w:suppressLineNumbers w:val="0"/>
              <w:spacing w:before="0" w:beforeAutospacing="0" w:after="0" w:afterAutospacing="0" w:line="246" w:lineRule="exact"/>
              <w:ind w:left="0" w:right="0"/>
              <w:rPr>
                <w:rFonts w:hint="default" w:ascii="宋体" w:hAnsi="宋体"/>
                <w:color w:val="auto"/>
                <w:kern w:val="0"/>
                <w:highlight w:val="none"/>
              </w:rPr>
            </w:pPr>
            <w:r>
              <w:rPr>
                <w:rFonts w:hint="eastAsia" w:ascii="宋体" w:hAnsi="宋体"/>
                <w:color w:val="auto"/>
                <w:kern w:val="0"/>
                <w:highlight w:val="none"/>
              </w:rPr>
              <w:t>□同意</w:t>
            </w:r>
          </w:p>
        </w:tc>
      </w:tr>
      <w:tr w14:paraId="0636A2D9">
        <w:tblPrEx>
          <w:tblCellMar>
            <w:top w:w="0" w:type="dxa"/>
            <w:left w:w="0" w:type="dxa"/>
            <w:bottom w:w="0" w:type="dxa"/>
            <w:right w:w="0" w:type="dxa"/>
          </w:tblCellMar>
        </w:tblPrEx>
        <w:trPr>
          <w:trHeight w:val="319" w:hRule="atLeast"/>
          <w:jc w:val="center"/>
        </w:trPr>
        <w:tc>
          <w:tcPr>
            <w:tcW w:w="9602" w:type="dxa"/>
            <w:gridSpan w:val="4"/>
            <w:tcBorders>
              <w:top w:val="nil"/>
              <w:left w:val="single" w:color="000000" w:sz="4" w:space="0"/>
              <w:bottom w:val="nil"/>
              <w:right w:val="single" w:color="000000" w:sz="4" w:space="0"/>
            </w:tcBorders>
            <w:noWrap w:val="0"/>
            <w:vAlign w:val="top"/>
          </w:tcPr>
          <w:p w14:paraId="3ACA44C1">
            <w:pPr>
              <w:keepNext w:val="0"/>
              <w:keepLines w:val="0"/>
              <w:suppressLineNumbers w:val="0"/>
              <w:wordWrap w:val="0"/>
              <w:spacing w:before="0" w:beforeAutospacing="0" w:after="0" w:afterAutospacing="0" w:line="246" w:lineRule="exact"/>
              <w:ind w:left="0" w:right="360"/>
              <w:jc w:val="right"/>
              <w:rPr>
                <w:rFonts w:hint="default" w:ascii="宋体" w:hAnsi="宋体"/>
                <w:color w:val="auto"/>
                <w:kern w:val="0"/>
                <w:highlight w:val="none"/>
              </w:rPr>
            </w:pPr>
            <w:r>
              <w:rPr>
                <w:rFonts w:hint="eastAsia" w:ascii="宋体" w:hAnsi="宋体"/>
                <w:color w:val="auto"/>
                <w:kern w:val="0"/>
                <w:highlight w:val="none"/>
              </w:rPr>
              <w:t xml:space="preserve">发包人（章）     </w:t>
            </w:r>
          </w:p>
        </w:tc>
      </w:tr>
      <w:tr w14:paraId="2EB2EC6A">
        <w:tblPrEx>
          <w:tblCellMar>
            <w:top w:w="0" w:type="dxa"/>
            <w:left w:w="0" w:type="dxa"/>
            <w:bottom w:w="0" w:type="dxa"/>
            <w:right w:w="0" w:type="dxa"/>
          </w:tblCellMar>
        </w:tblPrEx>
        <w:trPr>
          <w:trHeight w:val="319" w:hRule="atLeast"/>
          <w:jc w:val="center"/>
        </w:trPr>
        <w:tc>
          <w:tcPr>
            <w:tcW w:w="9602" w:type="dxa"/>
            <w:gridSpan w:val="4"/>
            <w:tcBorders>
              <w:top w:val="nil"/>
              <w:left w:val="single" w:color="000000" w:sz="4" w:space="0"/>
              <w:bottom w:val="nil"/>
              <w:right w:val="single" w:color="000000" w:sz="4" w:space="0"/>
            </w:tcBorders>
            <w:noWrap w:val="0"/>
            <w:vAlign w:val="top"/>
          </w:tcPr>
          <w:p w14:paraId="6091ABA3">
            <w:pPr>
              <w:keepNext w:val="0"/>
              <w:keepLines w:val="0"/>
              <w:suppressLineNumbers w:val="0"/>
              <w:spacing w:before="0" w:beforeAutospacing="0" w:after="0" w:afterAutospacing="0" w:line="246" w:lineRule="exact"/>
              <w:ind w:left="0" w:right="0"/>
              <w:jc w:val="right"/>
              <w:rPr>
                <w:rFonts w:hint="default" w:ascii="宋体" w:hAnsi="宋体"/>
                <w:color w:val="auto"/>
                <w:kern w:val="0"/>
                <w:highlight w:val="none"/>
              </w:rPr>
            </w:pPr>
            <w:r>
              <w:rPr>
                <w:rFonts w:hint="eastAsia" w:ascii="宋体" w:hAnsi="宋体"/>
                <w:color w:val="auto"/>
                <w:kern w:val="0"/>
                <w:highlight w:val="none"/>
              </w:rPr>
              <w:t>发包人代表</w:t>
            </w:r>
            <w:r>
              <w:rPr>
                <w:rFonts w:hint="eastAsia" w:ascii="宋体" w:hAnsi="宋体"/>
                <w:color w:val="auto"/>
                <w:kern w:val="0"/>
                <w:highlight w:val="none"/>
                <w:u w:val="single"/>
              </w:rPr>
              <w:tab/>
            </w:r>
            <w:r>
              <w:rPr>
                <w:rFonts w:hint="eastAsia" w:ascii="宋体" w:hAnsi="宋体"/>
                <w:color w:val="auto"/>
                <w:kern w:val="0"/>
                <w:highlight w:val="none"/>
                <w:u w:val="single"/>
              </w:rPr>
              <w:t xml:space="preserve">    </w:t>
            </w:r>
            <w:r>
              <w:rPr>
                <w:rFonts w:hint="eastAsia" w:ascii="宋体" w:hAnsi="宋体"/>
                <w:color w:val="auto"/>
                <w:kern w:val="0"/>
                <w:highlight w:val="none"/>
                <w:u w:val="single" w:color="000000"/>
              </w:rPr>
              <w:tab/>
            </w:r>
          </w:p>
        </w:tc>
      </w:tr>
      <w:tr w14:paraId="479EB346">
        <w:tblPrEx>
          <w:tblCellMar>
            <w:top w:w="0" w:type="dxa"/>
            <w:left w:w="0" w:type="dxa"/>
            <w:bottom w:w="0" w:type="dxa"/>
            <w:right w:w="0" w:type="dxa"/>
          </w:tblCellMar>
        </w:tblPrEx>
        <w:trPr>
          <w:trHeight w:val="489" w:hRule="atLeast"/>
          <w:jc w:val="center"/>
        </w:trPr>
        <w:tc>
          <w:tcPr>
            <w:tcW w:w="9602" w:type="dxa"/>
            <w:gridSpan w:val="4"/>
            <w:tcBorders>
              <w:top w:val="nil"/>
              <w:left w:val="single" w:color="000000" w:sz="4" w:space="0"/>
              <w:bottom w:val="single" w:color="000000" w:sz="4" w:space="0"/>
              <w:right w:val="single" w:color="000000" w:sz="4" w:space="0"/>
            </w:tcBorders>
            <w:noWrap w:val="0"/>
            <w:vAlign w:val="top"/>
          </w:tcPr>
          <w:p w14:paraId="5D45C96C">
            <w:pPr>
              <w:keepNext w:val="0"/>
              <w:keepLines w:val="0"/>
              <w:suppressLineNumbers w:val="0"/>
              <w:wordWrap w:val="0"/>
              <w:spacing w:before="0" w:beforeAutospacing="0" w:after="0" w:afterAutospacing="0" w:line="246" w:lineRule="exact"/>
              <w:ind w:left="0" w:right="0"/>
              <w:jc w:val="right"/>
              <w:rPr>
                <w:rFonts w:hint="default" w:ascii="宋体" w:hAnsi="宋体"/>
                <w:color w:val="auto"/>
                <w:kern w:val="0"/>
                <w:highlight w:val="none"/>
              </w:rPr>
            </w:pPr>
            <w:r>
              <w:rPr>
                <w:rFonts w:hint="eastAsia" w:ascii="宋体" w:hAnsi="宋体"/>
                <w:color w:val="auto"/>
                <w:kern w:val="0"/>
                <w:highlight w:val="none"/>
              </w:rPr>
              <w:t>日期</w:t>
            </w:r>
            <w:r>
              <w:rPr>
                <w:rFonts w:hint="eastAsia" w:ascii="宋体" w:hAnsi="宋体"/>
                <w:color w:val="auto"/>
                <w:kern w:val="0"/>
                <w:highlight w:val="none"/>
                <w:u w:val="single" w:color="000000"/>
              </w:rPr>
              <w:tab/>
            </w:r>
            <w:r>
              <w:rPr>
                <w:rFonts w:hint="eastAsia" w:ascii="宋体" w:hAnsi="宋体"/>
                <w:color w:val="auto"/>
                <w:kern w:val="0"/>
                <w:highlight w:val="none"/>
                <w:u w:val="single" w:color="000000"/>
              </w:rPr>
              <w:t xml:space="preserve">      </w:t>
            </w:r>
          </w:p>
        </w:tc>
      </w:tr>
    </w:tbl>
    <w:p w14:paraId="07B88134">
      <w:pPr>
        <w:spacing w:line="243" w:lineRule="exact"/>
        <w:ind w:firstLine="0" w:firstLineChars="0"/>
        <w:rPr>
          <w:rFonts w:ascii="宋体" w:hAnsi="宋体"/>
          <w:color w:val="auto"/>
          <w:sz w:val="18"/>
          <w:szCs w:val="18"/>
          <w:highlight w:val="none"/>
        </w:rPr>
      </w:pPr>
      <w:r>
        <w:rPr>
          <w:rFonts w:hint="eastAsia" w:ascii="宋体" w:hAnsi="宋体"/>
          <w:color w:val="auto"/>
          <w:sz w:val="18"/>
          <w:szCs w:val="18"/>
          <w:highlight w:val="none"/>
        </w:rPr>
        <w:t>注：</w:t>
      </w:r>
      <w:r>
        <w:rPr>
          <w:rFonts w:hint="eastAsia" w:ascii="宋体" w:hAnsi="宋体"/>
          <w:color w:val="auto"/>
          <w:spacing w:val="1"/>
          <w:sz w:val="18"/>
          <w:szCs w:val="18"/>
          <w:highlight w:val="none"/>
        </w:rPr>
        <w:t>1  应</w:t>
      </w:r>
      <w:r>
        <w:rPr>
          <w:rFonts w:hint="eastAsia" w:ascii="宋体" w:hAnsi="宋体"/>
          <w:color w:val="auto"/>
          <w:sz w:val="18"/>
          <w:szCs w:val="18"/>
          <w:highlight w:val="none"/>
        </w:rPr>
        <w:t>在选择栏中的</w:t>
      </w:r>
      <w:r>
        <w:rPr>
          <w:rFonts w:hint="eastAsia" w:ascii="宋体" w:hAnsi="宋体"/>
          <w:color w:val="auto"/>
          <w:sz w:val="18"/>
          <w:szCs w:val="18"/>
          <w:highlight w:val="none"/>
          <w:lang w:eastAsia="zh-CN"/>
        </w:rPr>
        <w:t>“</w:t>
      </w:r>
      <w:r>
        <w:rPr>
          <w:rFonts w:hint="eastAsia" w:ascii="宋体" w:hAnsi="宋体"/>
          <w:color w:val="auto"/>
          <w:sz w:val="18"/>
          <w:szCs w:val="18"/>
          <w:highlight w:val="none"/>
        </w:rPr>
        <w:t>□</w:t>
      </w:r>
      <w:r>
        <w:rPr>
          <w:rFonts w:hint="eastAsia" w:ascii="宋体" w:hAnsi="宋体"/>
          <w:color w:val="auto"/>
          <w:sz w:val="18"/>
          <w:szCs w:val="18"/>
          <w:highlight w:val="none"/>
          <w:lang w:eastAsia="zh-CN"/>
        </w:rPr>
        <w:t>”</w:t>
      </w:r>
      <w:r>
        <w:rPr>
          <w:rFonts w:hint="eastAsia" w:ascii="宋体" w:hAnsi="宋体"/>
          <w:color w:val="auto"/>
          <w:sz w:val="18"/>
          <w:szCs w:val="18"/>
          <w:highlight w:val="none"/>
        </w:rPr>
        <w:t>内作标识</w:t>
      </w:r>
      <w:r>
        <w:rPr>
          <w:rFonts w:hint="eastAsia" w:ascii="宋体" w:hAnsi="宋体"/>
          <w:color w:val="auto"/>
          <w:sz w:val="18"/>
          <w:szCs w:val="18"/>
          <w:highlight w:val="none"/>
          <w:lang w:eastAsia="zh-CN"/>
        </w:rPr>
        <w:t>“</w:t>
      </w:r>
      <w:r>
        <w:rPr>
          <w:rFonts w:hint="eastAsia" w:ascii="宋体" w:hAnsi="宋体"/>
          <w:color w:val="auto"/>
          <w:sz w:val="18"/>
          <w:szCs w:val="18"/>
          <w:highlight w:val="none"/>
        </w:rPr>
        <w:t>√</w:t>
      </w:r>
      <w:r>
        <w:rPr>
          <w:rFonts w:hint="eastAsia" w:ascii="宋体" w:hAnsi="宋体"/>
          <w:color w:val="auto"/>
          <w:spacing w:val="-92"/>
          <w:sz w:val="18"/>
          <w:szCs w:val="18"/>
          <w:highlight w:val="none"/>
          <w:lang w:eastAsia="zh-CN"/>
        </w:rPr>
        <w:t>”</w:t>
      </w:r>
      <w:r>
        <w:rPr>
          <w:rFonts w:hint="eastAsia" w:ascii="宋体" w:hAnsi="宋体"/>
          <w:color w:val="auto"/>
          <w:sz w:val="18"/>
          <w:szCs w:val="18"/>
          <w:highlight w:val="none"/>
        </w:rPr>
        <w:t>。如监理人已退场</w:t>
      </w:r>
      <w:r>
        <w:rPr>
          <w:rFonts w:hint="eastAsia" w:ascii="宋体" w:hAnsi="宋体"/>
          <w:color w:val="auto"/>
          <w:sz w:val="18"/>
          <w:szCs w:val="18"/>
          <w:highlight w:val="none"/>
          <w:lang w:eastAsia="zh-CN"/>
        </w:rPr>
        <w:t>，</w:t>
      </w:r>
      <w:r>
        <w:rPr>
          <w:rFonts w:hint="eastAsia" w:ascii="宋体" w:hAnsi="宋体"/>
          <w:color w:val="auto"/>
          <w:sz w:val="18"/>
          <w:szCs w:val="18"/>
          <w:highlight w:val="none"/>
        </w:rPr>
        <w:t>监理工程师栏可空缺；</w:t>
      </w:r>
    </w:p>
    <w:p w14:paraId="0ED7C948">
      <w:pPr>
        <w:spacing w:before="46"/>
        <w:ind w:firstLine="364" w:firstLineChars="200"/>
        <w:jc w:val="left"/>
        <w:rPr>
          <w:rFonts w:hint="eastAsia" w:ascii="宋体" w:hAnsi="宋体"/>
          <w:color w:val="auto"/>
          <w:sz w:val="18"/>
          <w:szCs w:val="18"/>
          <w:highlight w:val="none"/>
        </w:rPr>
      </w:pPr>
      <w:r>
        <w:rPr>
          <w:rFonts w:hint="eastAsia" w:ascii="宋体" w:hAnsi="宋体"/>
          <w:color w:val="auto"/>
          <w:spacing w:val="1"/>
          <w:sz w:val="18"/>
          <w:szCs w:val="18"/>
          <w:highlight w:val="none"/>
        </w:rPr>
        <w:t xml:space="preserve">2  </w:t>
      </w:r>
      <w:r>
        <w:rPr>
          <w:rFonts w:hint="eastAsia" w:ascii="宋体" w:hAnsi="宋体"/>
          <w:color w:val="auto"/>
          <w:sz w:val="18"/>
          <w:szCs w:val="18"/>
          <w:highlight w:val="none"/>
        </w:rPr>
        <w:t>本表一式四份</w:t>
      </w:r>
      <w:r>
        <w:rPr>
          <w:rFonts w:hint="eastAsia" w:ascii="宋体" w:hAnsi="宋体"/>
          <w:color w:val="auto"/>
          <w:sz w:val="18"/>
          <w:szCs w:val="18"/>
          <w:highlight w:val="none"/>
          <w:lang w:eastAsia="zh-CN"/>
        </w:rPr>
        <w:t>，</w:t>
      </w:r>
      <w:r>
        <w:rPr>
          <w:rFonts w:hint="eastAsia" w:ascii="宋体" w:hAnsi="宋体"/>
          <w:color w:val="auto"/>
          <w:sz w:val="18"/>
          <w:szCs w:val="18"/>
          <w:highlight w:val="none"/>
        </w:rPr>
        <w:t>应由承包人填报</w:t>
      </w:r>
      <w:r>
        <w:rPr>
          <w:rFonts w:hint="eastAsia" w:ascii="宋体" w:hAnsi="宋体"/>
          <w:color w:val="auto"/>
          <w:sz w:val="18"/>
          <w:szCs w:val="18"/>
          <w:highlight w:val="none"/>
          <w:lang w:eastAsia="zh-CN"/>
        </w:rPr>
        <w:t>，</w:t>
      </w:r>
      <w:r>
        <w:rPr>
          <w:rFonts w:hint="eastAsia" w:ascii="宋体" w:hAnsi="宋体"/>
          <w:color w:val="auto"/>
          <w:sz w:val="18"/>
          <w:szCs w:val="18"/>
          <w:highlight w:val="none"/>
        </w:rPr>
        <w:t>发包人、监理人、工程造价咨询人、承包人各存一份；</w:t>
      </w:r>
    </w:p>
    <w:p w14:paraId="031BCC49">
      <w:pPr>
        <w:spacing w:before="46" w:beforeLines="-2147483648"/>
        <w:ind w:left="0" w:firstLine="364" w:firstLineChars="200"/>
        <w:rPr>
          <w:rFonts w:ascii="宋体"/>
          <w:color w:val="auto"/>
          <w:sz w:val="30"/>
          <w:szCs w:val="30"/>
          <w:highlight w:val="none"/>
        </w:rPr>
      </w:pPr>
      <w:r>
        <w:rPr>
          <w:rFonts w:hint="eastAsia" w:ascii="宋体" w:hAnsi="宋体"/>
          <w:color w:val="auto"/>
          <w:spacing w:val="1"/>
          <w:sz w:val="18"/>
          <w:szCs w:val="18"/>
          <w:highlight w:val="none"/>
        </w:rPr>
        <w:t xml:space="preserve">3  </w:t>
      </w:r>
      <w:r>
        <w:rPr>
          <w:rFonts w:hint="eastAsia" w:ascii="宋体" w:hAnsi="宋体"/>
          <w:color w:val="auto"/>
          <w:sz w:val="18"/>
          <w:szCs w:val="18"/>
          <w:highlight w:val="none"/>
        </w:rPr>
        <w:t>编制人员、一级注册造价工程师应签字和盖章</w:t>
      </w:r>
      <w:r>
        <w:rPr>
          <w:rFonts w:hint="eastAsia" w:ascii="宋体" w:hAnsi="宋体"/>
          <w:color w:val="auto"/>
          <w:sz w:val="18"/>
          <w:szCs w:val="18"/>
          <w:highlight w:val="none"/>
          <w:lang w:eastAsia="zh-CN"/>
        </w:rPr>
        <w:t>，</w:t>
      </w:r>
      <w:r>
        <w:rPr>
          <w:rFonts w:hint="eastAsia" w:ascii="宋体" w:hAnsi="宋体"/>
          <w:color w:val="auto"/>
          <w:sz w:val="18"/>
          <w:szCs w:val="18"/>
          <w:highlight w:val="none"/>
        </w:rPr>
        <w:t>承包人代表、监理工程师、发包人代表应签字或盖章。</w:t>
      </w:r>
    </w:p>
    <w:p w14:paraId="45324102">
      <w:pPr>
        <w:spacing w:before="46" w:beforeLines="-2147483648"/>
        <w:ind w:left="0" w:firstLine="300" w:firstLineChars="100"/>
        <w:rPr>
          <w:rFonts w:ascii="宋体"/>
          <w:color w:val="auto"/>
          <w:sz w:val="30"/>
          <w:szCs w:val="30"/>
          <w:highlight w:val="none"/>
        </w:rPr>
      </w:pPr>
    </w:p>
    <w:p w14:paraId="3934CA6B">
      <w:pPr>
        <w:spacing w:before="46" w:beforeLines="-2147483648"/>
        <w:ind w:left="0" w:firstLine="300" w:firstLineChars="100"/>
        <w:rPr>
          <w:rFonts w:ascii="宋体"/>
          <w:color w:val="auto"/>
          <w:sz w:val="30"/>
          <w:szCs w:val="30"/>
          <w:highlight w:val="none"/>
        </w:rPr>
      </w:pPr>
    </w:p>
    <w:p w14:paraId="5C824EA5">
      <w:pPr>
        <w:spacing w:before="120" w:beforeLines="50" w:after="120" w:afterLines="50" w:line="440" w:lineRule="exact"/>
        <w:jc w:val="left"/>
        <w:rPr>
          <w:rFonts w:hint="eastAsia" w:ascii="仿宋_GB2312" w:eastAsia="仿宋_GB2312" w:cs="仿宋_GB2312"/>
          <w:color w:val="auto"/>
          <w:sz w:val="30"/>
          <w:szCs w:val="30"/>
          <w:highlight w:val="none"/>
        </w:rPr>
      </w:pPr>
      <w:r>
        <w:rPr>
          <w:rFonts w:hint="eastAsia" w:ascii="仿宋_GB2312" w:eastAsia="仿宋_GB2312" w:cs="仿宋_GB2312"/>
          <w:color w:val="auto"/>
          <w:sz w:val="30"/>
          <w:szCs w:val="30"/>
          <w:highlight w:val="none"/>
        </w:rPr>
        <w:t>附件14：进度款支付分解表</w:t>
      </w:r>
    </w:p>
    <w:p w14:paraId="48DF37DC">
      <w:pPr>
        <w:ind w:firstLine="1807" w:firstLineChars="600"/>
        <w:outlineLvl w:val="1"/>
        <w:rPr>
          <w:rFonts w:ascii="宋体" w:hAnsi="宋体"/>
          <w:b/>
          <w:color w:val="auto"/>
          <w:kern w:val="2"/>
          <w:sz w:val="30"/>
          <w:szCs w:val="30"/>
          <w:highlight w:val="none"/>
          <w:lang w:val="en"/>
        </w:rPr>
      </w:pPr>
      <w:r>
        <w:rPr>
          <w:rFonts w:hint="default" w:ascii="宋体" w:hAnsi="宋体"/>
          <w:b/>
          <w:color w:val="auto"/>
          <w:sz w:val="30"/>
          <w:szCs w:val="30"/>
          <w:highlight w:val="none"/>
          <w:lang w:val="en"/>
        </w:rPr>
        <w:t>进度款支付分解表</w:t>
      </w:r>
      <w:r>
        <w:rPr>
          <w:rFonts w:hint="default" w:ascii="宋体" w:hAnsi="宋体"/>
          <w:b/>
          <w:color w:val="auto"/>
          <w:sz w:val="30"/>
          <w:szCs w:val="30"/>
          <w:highlight w:val="none"/>
          <w:lang w:val="en" w:eastAsia="zh-CN"/>
        </w:rPr>
        <w:t>（适用于</w:t>
      </w:r>
      <w:r>
        <w:rPr>
          <w:rFonts w:hint="default" w:ascii="宋体" w:hAnsi="宋体"/>
          <w:b/>
          <w:color w:val="auto"/>
          <w:sz w:val="30"/>
          <w:szCs w:val="30"/>
          <w:highlight w:val="none"/>
          <w:lang w:val="en"/>
        </w:rPr>
        <w:t>总价合同</w:t>
      </w:r>
      <w:r>
        <w:rPr>
          <w:rFonts w:hint="default" w:ascii="宋体" w:hAnsi="宋体"/>
          <w:b/>
          <w:color w:val="auto"/>
          <w:sz w:val="30"/>
          <w:szCs w:val="30"/>
          <w:highlight w:val="none"/>
          <w:lang w:val="en" w:eastAsia="zh-CN"/>
        </w:rPr>
        <w:t>）</w:t>
      </w:r>
    </w:p>
    <w:p w14:paraId="23A40A99">
      <w:pPr>
        <w:spacing w:line="360" w:lineRule="auto"/>
        <w:rPr>
          <w:rFonts w:hint="eastAsia" w:ascii="宋体" w:hAnsi="宋体" w:cs="宋体"/>
          <w:color w:val="auto"/>
          <w:kern w:val="0"/>
          <w:highlight w:val="none"/>
        </w:rPr>
      </w:pPr>
      <w:r>
        <w:rPr>
          <w:rFonts w:hint="eastAsia" w:ascii="宋体" w:hAnsi="宋体" w:cs="宋体"/>
          <w:color w:val="auto"/>
          <w:kern w:val="0"/>
          <w:highlight w:val="none"/>
        </w:rPr>
        <w:t>工程名称：</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3119"/>
        <w:gridCol w:w="675"/>
        <w:gridCol w:w="2268"/>
        <w:gridCol w:w="1276"/>
      </w:tblGrid>
      <w:tr w14:paraId="54E2E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182F911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进度款期次</w:t>
            </w:r>
          </w:p>
        </w:tc>
        <w:tc>
          <w:tcPr>
            <w:tcW w:w="3794" w:type="dxa"/>
            <w:gridSpan w:val="2"/>
            <w:noWrap w:val="0"/>
            <w:vAlign w:val="top"/>
          </w:tcPr>
          <w:p w14:paraId="35636BA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形象进度</w:t>
            </w:r>
          </w:p>
        </w:tc>
        <w:tc>
          <w:tcPr>
            <w:tcW w:w="2268" w:type="dxa"/>
            <w:noWrap w:val="0"/>
            <w:vAlign w:val="top"/>
          </w:tcPr>
          <w:p w14:paraId="1D01CC3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进度款付款金额（元）</w:t>
            </w:r>
          </w:p>
        </w:tc>
        <w:tc>
          <w:tcPr>
            <w:tcW w:w="1276" w:type="dxa"/>
            <w:noWrap w:val="0"/>
            <w:vAlign w:val="top"/>
          </w:tcPr>
          <w:p w14:paraId="029E555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备注</w:t>
            </w:r>
          </w:p>
        </w:tc>
      </w:tr>
      <w:tr w14:paraId="03B2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368E733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第一期</w:t>
            </w:r>
          </w:p>
        </w:tc>
        <w:tc>
          <w:tcPr>
            <w:tcW w:w="3794" w:type="dxa"/>
            <w:gridSpan w:val="2"/>
            <w:noWrap w:val="0"/>
            <w:vAlign w:val="top"/>
          </w:tcPr>
          <w:p w14:paraId="1901BE8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2268" w:type="dxa"/>
            <w:noWrap w:val="0"/>
            <w:vAlign w:val="top"/>
          </w:tcPr>
          <w:p w14:paraId="4EC6A3B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1276" w:type="dxa"/>
            <w:noWrap w:val="0"/>
            <w:vAlign w:val="top"/>
          </w:tcPr>
          <w:p w14:paraId="0CC10FF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r>
      <w:tr w14:paraId="50E5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58A0B79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第二期</w:t>
            </w:r>
          </w:p>
        </w:tc>
        <w:tc>
          <w:tcPr>
            <w:tcW w:w="3794" w:type="dxa"/>
            <w:gridSpan w:val="2"/>
            <w:noWrap w:val="0"/>
            <w:vAlign w:val="top"/>
          </w:tcPr>
          <w:p w14:paraId="5F40949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2268" w:type="dxa"/>
            <w:noWrap w:val="0"/>
            <w:vAlign w:val="top"/>
          </w:tcPr>
          <w:p w14:paraId="3B17BC8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1276" w:type="dxa"/>
            <w:noWrap w:val="0"/>
            <w:vAlign w:val="top"/>
          </w:tcPr>
          <w:p w14:paraId="2138A4A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r>
      <w:tr w14:paraId="07BA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08756C6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第三期</w:t>
            </w:r>
          </w:p>
        </w:tc>
        <w:tc>
          <w:tcPr>
            <w:tcW w:w="3794" w:type="dxa"/>
            <w:gridSpan w:val="2"/>
            <w:noWrap w:val="0"/>
            <w:vAlign w:val="top"/>
          </w:tcPr>
          <w:p w14:paraId="3381CCD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2268" w:type="dxa"/>
            <w:noWrap w:val="0"/>
            <w:vAlign w:val="top"/>
          </w:tcPr>
          <w:p w14:paraId="5189967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1276" w:type="dxa"/>
            <w:noWrap w:val="0"/>
            <w:vAlign w:val="top"/>
          </w:tcPr>
          <w:p w14:paraId="753BFCD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r>
      <w:tr w14:paraId="5A71E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0C3A6A6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r>
              <w:rPr>
                <w:rFonts w:hint="default" w:ascii="宋体" w:hAnsi="宋体" w:eastAsia="宋体" w:cs="宋体"/>
                <w:color w:val="auto"/>
                <w:kern w:val="0"/>
                <w:highlight w:val="none"/>
              </w:rPr>
              <w:t>……</w:t>
            </w:r>
          </w:p>
        </w:tc>
        <w:tc>
          <w:tcPr>
            <w:tcW w:w="3794" w:type="dxa"/>
            <w:gridSpan w:val="2"/>
            <w:noWrap w:val="0"/>
            <w:vAlign w:val="top"/>
          </w:tcPr>
          <w:p w14:paraId="4D0D49D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2268" w:type="dxa"/>
            <w:noWrap w:val="0"/>
            <w:vAlign w:val="top"/>
          </w:tcPr>
          <w:p w14:paraId="6326809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c>
          <w:tcPr>
            <w:tcW w:w="1276" w:type="dxa"/>
            <w:noWrap w:val="0"/>
            <w:vAlign w:val="top"/>
          </w:tcPr>
          <w:p w14:paraId="464DE3F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0"/>
                <w:highlight w:val="none"/>
              </w:rPr>
            </w:pPr>
          </w:p>
        </w:tc>
      </w:tr>
      <w:tr w14:paraId="51F3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536" w:type="dxa"/>
            <w:gridSpan w:val="2"/>
            <w:noWrap w:val="0"/>
            <w:vAlign w:val="top"/>
          </w:tcPr>
          <w:p w14:paraId="0E7C10B0">
            <w:pPr>
              <w:keepNext w:val="0"/>
              <w:keepLines w:val="0"/>
              <w:suppressLineNumbers w:val="0"/>
              <w:spacing w:before="0" w:beforeAutospacing="0" w:after="0" w:afterAutospacing="0" w:line="360" w:lineRule="exact"/>
              <w:ind w:left="0" w:right="0" w:firstLine="435"/>
              <w:jc w:val="right"/>
              <w:rPr>
                <w:rFonts w:hint="eastAsia" w:ascii="Calibri" w:hAnsi="Calibri" w:eastAsia="宋体" w:cs="Times New Roman"/>
                <w:color w:val="auto"/>
                <w:highlight w:val="none"/>
              </w:rPr>
            </w:pPr>
          </w:p>
          <w:p w14:paraId="31B6B80D">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p>
          <w:p w14:paraId="0779E8B8">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发包人代表签字：</w:t>
            </w:r>
          </w:p>
          <w:p w14:paraId="3A9095B1">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p>
          <w:p w14:paraId="5E9F41A6">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发包人（盖公章）</w:t>
            </w:r>
          </w:p>
          <w:p w14:paraId="2175D457">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p>
          <w:p w14:paraId="4A40A7E0">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default" w:ascii="Calibri" w:hAnsi="Calibri" w:eastAsia="宋体" w:cs="Times New Roman"/>
                <w:color w:val="auto"/>
                <w:highlight w:val="none"/>
              </w:rPr>
              <w:t xml:space="preserve">    </w:t>
            </w:r>
            <w:r>
              <w:rPr>
                <w:rFonts w:hint="eastAsia" w:ascii="Calibri" w:hAnsi="Calibri" w:eastAsia="宋体" w:cs="Times New Roman"/>
                <w:color w:val="auto"/>
                <w:highlight w:val="none"/>
              </w:rPr>
              <w:t xml:space="preserve">    日      期        </w:t>
            </w:r>
            <w:r>
              <w:rPr>
                <w:rFonts w:hint="eastAsia" w:ascii="Calibri" w:hAnsi="Calibri" w:eastAsia="宋体" w:cs="Times New Roman"/>
                <w:color w:val="auto"/>
                <w:highlight w:val="none"/>
                <w:u w:val="single"/>
              </w:rPr>
              <w:t xml:space="preserve">   </w:t>
            </w:r>
          </w:p>
        </w:tc>
        <w:tc>
          <w:tcPr>
            <w:tcW w:w="4219" w:type="dxa"/>
            <w:gridSpan w:val="3"/>
            <w:noWrap w:val="0"/>
            <w:vAlign w:val="top"/>
          </w:tcPr>
          <w:p w14:paraId="5E30F14D">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p>
          <w:p w14:paraId="652CA97A">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p>
          <w:p w14:paraId="071D112A">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承包人代表签字：</w:t>
            </w:r>
          </w:p>
          <w:p w14:paraId="62993DE3">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p>
          <w:p w14:paraId="7B20B9D8">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承包人（盖公章）</w:t>
            </w:r>
          </w:p>
          <w:p w14:paraId="17B488BF">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rPr>
            </w:pPr>
          </w:p>
          <w:p w14:paraId="1134EE3F">
            <w:pPr>
              <w:keepNext w:val="0"/>
              <w:keepLines w:val="0"/>
              <w:suppressLineNumbers w:val="0"/>
              <w:spacing w:before="0" w:beforeAutospacing="0" w:after="0" w:afterAutospacing="0" w:line="360" w:lineRule="exact"/>
              <w:ind w:left="0" w:right="0" w:firstLine="435"/>
              <w:jc w:val="center"/>
              <w:rPr>
                <w:rFonts w:hint="eastAsia" w:ascii="Calibri" w:hAnsi="Calibri" w:eastAsia="宋体" w:cs="Times New Roman"/>
                <w:color w:val="auto"/>
                <w:highlight w:val="none"/>
                <w:u w:val="single"/>
              </w:rPr>
            </w:pPr>
            <w:r>
              <w:rPr>
                <w:rFonts w:hint="default" w:ascii="Calibri" w:hAnsi="Calibri" w:eastAsia="宋体" w:cs="Times New Roman"/>
                <w:color w:val="auto"/>
                <w:highlight w:val="none"/>
              </w:rPr>
              <w:t xml:space="preserve">    </w:t>
            </w:r>
            <w:r>
              <w:rPr>
                <w:rFonts w:hint="eastAsia" w:ascii="Calibri" w:hAnsi="Calibri" w:eastAsia="宋体" w:cs="Times New Roman"/>
                <w:color w:val="auto"/>
                <w:highlight w:val="none"/>
              </w:rPr>
              <w:t xml:space="preserve">    日      期</w:t>
            </w:r>
            <w:r>
              <w:rPr>
                <w:rFonts w:hint="eastAsia" w:ascii="Calibri" w:hAnsi="Calibri" w:eastAsia="宋体" w:cs="Times New Roman"/>
                <w:color w:val="auto"/>
                <w:highlight w:val="none"/>
                <w:u w:val="single"/>
              </w:rPr>
              <w:t xml:space="preserve">        </w:t>
            </w:r>
          </w:p>
        </w:tc>
      </w:tr>
    </w:tbl>
    <w:p w14:paraId="2AC03C66">
      <w:pPr>
        <w:spacing w:line="360" w:lineRule="auto"/>
        <w:rPr>
          <w:rFonts w:ascii="宋体"/>
          <w:color w:val="auto"/>
          <w:highlight w:val="none"/>
        </w:rPr>
      </w:pPr>
    </w:p>
    <w:p w14:paraId="220A8249">
      <w:pPr>
        <w:spacing w:line="360" w:lineRule="auto"/>
        <w:rPr>
          <w:rFonts w:ascii="宋体"/>
          <w:color w:val="auto"/>
          <w:highlight w:val="none"/>
        </w:rPr>
      </w:pPr>
    </w:p>
    <w:p w14:paraId="545CE69B">
      <w:pPr>
        <w:spacing w:line="360" w:lineRule="auto"/>
        <w:rPr>
          <w:rFonts w:ascii="宋体"/>
          <w:color w:val="auto"/>
          <w:highlight w:val="none"/>
        </w:rPr>
      </w:pPr>
    </w:p>
    <w:p w14:paraId="3B20768C">
      <w:pPr>
        <w:spacing w:line="360" w:lineRule="auto"/>
        <w:rPr>
          <w:rFonts w:ascii="宋体"/>
          <w:color w:val="auto"/>
          <w:highlight w:val="none"/>
        </w:rPr>
      </w:pPr>
    </w:p>
    <w:p w14:paraId="1ADAFC97">
      <w:pPr>
        <w:spacing w:line="360" w:lineRule="auto"/>
        <w:rPr>
          <w:rFonts w:ascii="宋体"/>
          <w:color w:val="auto"/>
          <w:highlight w:val="none"/>
        </w:rPr>
      </w:pPr>
    </w:p>
    <w:p w14:paraId="098E784A">
      <w:pPr>
        <w:spacing w:line="360" w:lineRule="auto"/>
        <w:rPr>
          <w:rFonts w:ascii="宋体"/>
          <w:color w:val="auto"/>
          <w:highlight w:val="none"/>
        </w:rPr>
      </w:pPr>
    </w:p>
    <w:p w14:paraId="1B45CCDA">
      <w:pPr>
        <w:pStyle w:val="40"/>
        <w:rPr>
          <w:rFonts w:ascii="宋体"/>
          <w:color w:val="auto"/>
          <w:highlight w:val="none"/>
        </w:rPr>
      </w:pPr>
    </w:p>
    <w:p w14:paraId="4755FAF2">
      <w:pPr>
        <w:pStyle w:val="40"/>
        <w:rPr>
          <w:rFonts w:ascii="宋体"/>
          <w:color w:val="auto"/>
          <w:highlight w:val="none"/>
        </w:rPr>
      </w:pPr>
    </w:p>
    <w:p w14:paraId="618357DD">
      <w:pPr>
        <w:pStyle w:val="40"/>
        <w:rPr>
          <w:rFonts w:ascii="宋体"/>
          <w:color w:val="auto"/>
          <w:highlight w:val="none"/>
        </w:rPr>
      </w:pPr>
    </w:p>
    <w:p w14:paraId="76D90A1D">
      <w:pPr>
        <w:pStyle w:val="40"/>
        <w:rPr>
          <w:rFonts w:ascii="宋体"/>
          <w:color w:val="auto"/>
          <w:highlight w:val="none"/>
        </w:rPr>
      </w:pPr>
    </w:p>
    <w:p w14:paraId="1840BF0B">
      <w:pPr>
        <w:pStyle w:val="40"/>
        <w:rPr>
          <w:rFonts w:ascii="宋体"/>
          <w:color w:val="auto"/>
          <w:highlight w:val="none"/>
        </w:rPr>
      </w:pPr>
    </w:p>
    <w:p w14:paraId="310F8D25">
      <w:pPr>
        <w:pStyle w:val="40"/>
        <w:rPr>
          <w:rFonts w:ascii="宋体"/>
          <w:color w:val="auto"/>
          <w:highlight w:val="none"/>
        </w:rPr>
      </w:pPr>
    </w:p>
    <w:p w14:paraId="151A9C2D">
      <w:pPr>
        <w:pStyle w:val="40"/>
        <w:rPr>
          <w:rFonts w:ascii="宋体"/>
          <w:color w:val="auto"/>
          <w:highlight w:val="none"/>
        </w:rPr>
      </w:pPr>
    </w:p>
    <w:p w14:paraId="34B4616B">
      <w:pPr>
        <w:pStyle w:val="40"/>
        <w:rPr>
          <w:rFonts w:ascii="宋体"/>
          <w:color w:val="auto"/>
          <w:highlight w:val="none"/>
        </w:rPr>
      </w:pPr>
    </w:p>
    <w:p w14:paraId="1EBF42D7">
      <w:pPr>
        <w:pStyle w:val="40"/>
        <w:rPr>
          <w:rFonts w:ascii="宋体"/>
          <w:color w:val="auto"/>
          <w:highlight w:val="none"/>
        </w:rPr>
      </w:pPr>
    </w:p>
    <w:p w14:paraId="5D005369">
      <w:pPr>
        <w:pStyle w:val="40"/>
        <w:rPr>
          <w:rFonts w:ascii="宋体"/>
          <w:color w:val="auto"/>
          <w:highlight w:val="none"/>
        </w:rPr>
      </w:pPr>
    </w:p>
    <w:p w14:paraId="14E5EF3C">
      <w:pPr>
        <w:spacing w:before="120" w:beforeLines="50" w:after="120" w:afterLines="50" w:line="440" w:lineRule="exact"/>
        <w:jc w:val="left"/>
        <w:rPr>
          <w:rFonts w:hint="eastAsia" w:ascii="仿宋_GB2312" w:eastAsia="仿宋_GB2312" w:cs="仿宋_GB2312"/>
          <w:color w:val="auto"/>
          <w:sz w:val="30"/>
          <w:szCs w:val="30"/>
          <w:highlight w:val="none"/>
          <w:lang w:val="en-US" w:eastAsia="zh-CN"/>
        </w:rPr>
      </w:pPr>
      <w:bookmarkStart w:id="1919" w:name="_Toc475060052"/>
      <w:bookmarkStart w:id="1920" w:name="_Toc1842771986"/>
      <w:bookmarkStart w:id="1921" w:name="_Toc633689172"/>
      <w:bookmarkStart w:id="1922" w:name="_Toc1731322991"/>
      <w:bookmarkStart w:id="1923" w:name="_Toc12824"/>
      <w:bookmarkStart w:id="1924" w:name="_Toc5300"/>
      <w:bookmarkStart w:id="1925" w:name="_Toc1300612461"/>
      <w:bookmarkStart w:id="1926" w:name="_Toc1316360315"/>
      <w:bookmarkStart w:id="1927" w:name="_Toc1827315382"/>
      <w:bookmarkStart w:id="1928" w:name="_Toc564658636"/>
      <w:bookmarkStart w:id="1929" w:name="_Toc441683618"/>
      <w:bookmarkStart w:id="1930" w:name="_Toc1993706012"/>
      <w:bookmarkStart w:id="1931" w:name="_Toc1909664075"/>
      <w:bookmarkStart w:id="1932" w:name="_Toc1130643390"/>
      <w:bookmarkStart w:id="1933" w:name="_Toc173801266"/>
      <w:r>
        <w:rPr>
          <w:rFonts w:hint="eastAsia" w:ascii="仿宋_GB2312" w:eastAsia="仿宋_GB2312" w:cs="仿宋_GB2312"/>
          <w:color w:val="auto"/>
          <w:sz w:val="30"/>
          <w:szCs w:val="30"/>
          <w:highlight w:val="none"/>
          <w:lang w:val="en" w:eastAsia="zh-CN"/>
        </w:rPr>
        <w:t>附件</w:t>
      </w:r>
      <w:r>
        <w:rPr>
          <w:rFonts w:hint="eastAsia" w:ascii="仿宋_GB2312" w:eastAsia="仿宋_GB2312" w:cs="仿宋_GB2312"/>
          <w:color w:val="auto"/>
          <w:sz w:val="30"/>
          <w:szCs w:val="30"/>
          <w:highlight w:val="none"/>
          <w:lang w:val="en-US" w:eastAsia="zh-CN"/>
        </w:rPr>
        <w:t>15：措施项目费用分拆表</w:t>
      </w:r>
    </w:p>
    <w:p w14:paraId="6719DC27">
      <w:pPr>
        <w:wordWrap w:val="0"/>
        <w:jc w:val="center"/>
        <w:outlineLvl w:val="1"/>
        <w:rPr>
          <w:rFonts w:ascii="宋体" w:hAnsi="宋体"/>
          <w:b/>
          <w:color w:val="auto"/>
          <w:sz w:val="32"/>
          <w:szCs w:val="32"/>
          <w:highlight w:val="none"/>
        </w:rPr>
      </w:pPr>
      <w:r>
        <w:rPr>
          <w:rFonts w:hint="default" w:ascii="宋体" w:hAnsi="宋体"/>
          <w:b/>
          <w:color w:val="auto"/>
          <w:sz w:val="30"/>
          <w:szCs w:val="30"/>
          <w:highlight w:val="none"/>
          <w:lang w:val="en"/>
        </w:rPr>
        <w:t xml:space="preserve"> 措施项目费用分拆表</w:t>
      </w:r>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14:paraId="55BE44F5">
      <w:pPr>
        <w:pStyle w:val="40"/>
        <w:ind w:firstLine="210"/>
        <w:rPr>
          <w:rFonts w:ascii="宋体" w:hAnsi="宋体"/>
          <w:b/>
          <w:color w:val="auto"/>
          <w:sz w:val="32"/>
          <w:szCs w:val="32"/>
          <w:highlight w:val="none"/>
        </w:rPr>
      </w:pPr>
      <w:r>
        <w:rPr>
          <w:rFonts w:hint="eastAsia" w:ascii="宋体" w:hAnsi="宋体"/>
          <w:color w:val="auto"/>
          <w:highlight w:val="none"/>
        </w:rPr>
        <w:t>工程</w:t>
      </w:r>
      <w:r>
        <w:rPr>
          <w:rFonts w:hint="eastAsia" w:ascii="宋体" w:hAnsi="宋体"/>
          <w:color w:val="auto"/>
          <w:spacing w:val="-3"/>
          <w:highlight w:val="none"/>
        </w:rPr>
        <w:t>名</w:t>
      </w:r>
      <w:r>
        <w:rPr>
          <w:rFonts w:hint="eastAsia" w:ascii="宋体" w:hAnsi="宋体"/>
          <w:color w:val="auto"/>
          <w:highlight w:val="none"/>
        </w:rPr>
        <w:t>称：</w:t>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 xml:space="preserve">  第   </w:t>
      </w:r>
      <w:r>
        <w:rPr>
          <w:rFonts w:hint="eastAsia" w:ascii="宋体" w:hAnsi="宋体"/>
          <w:color w:val="auto"/>
          <w:spacing w:val="-3"/>
          <w:highlight w:val="none"/>
        </w:rPr>
        <w:t xml:space="preserve">页 </w:t>
      </w:r>
      <w:r>
        <w:rPr>
          <w:rFonts w:hint="eastAsia" w:ascii="宋体" w:hAnsi="宋体"/>
          <w:color w:val="auto"/>
          <w:highlight w:val="none"/>
        </w:rPr>
        <w:t>共   页</w:t>
      </w:r>
    </w:p>
    <w:tbl>
      <w:tblPr>
        <w:tblStyle w:val="41"/>
        <w:tblW w:w="5035"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5"/>
        <w:gridCol w:w="709"/>
        <w:gridCol w:w="1151"/>
        <w:gridCol w:w="756"/>
        <w:gridCol w:w="907"/>
        <w:gridCol w:w="1096"/>
        <w:gridCol w:w="693"/>
        <w:gridCol w:w="856"/>
        <w:gridCol w:w="936"/>
        <w:gridCol w:w="1142"/>
      </w:tblGrid>
      <w:tr w14:paraId="4CF6E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564" w:type="dxa"/>
            <w:vMerge w:val="restart"/>
            <w:tcBorders>
              <w:top w:val="single" w:color="auto" w:sz="4" w:space="0"/>
              <w:left w:val="single" w:color="auto" w:sz="4" w:space="0"/>
              <w:bottom w:val="single" w:color="auto" w:sz="4" w:space="0"/>
              <w:right w:val="single" w:color="auto" w:sz="4" w:space="0"/>
            </w:tcBorders>
            <w:noWrap w:val="0"/>
            <w:vAlign w:val="center"/>
          </w:tcPr>
          <w:p w14:paraId="4A2624D6">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序号</w:t>
            </w:r>
          </w:p>
        </w:tc>
        <w:tc>
          <w:tcPr>
            <w:tcW w:w="829" w:type="dxa"/>
            <w:vMerge w:val="restart"/>
            <w:tcBorders>
              <w:top w:val="single" w:color="auto" w:sz="4" w:space="0"/>
              <w:left w:val="nil"/>
              <w:bottom w:val="single" w:color="auto" w:sz="4" w:space="0"/>
              <w:right w:val="single" w:color="auto" w:sz="4" w:space="0"/>
            </w:tcBorders>
            <w:noWrap w:val="0"/>
            <w:vAlign w:val="center"/>
          </w:tcPr>
          <w:p w14:paraId="54599350">
            <w:pPr>
              <w:keepNext w:val="0"/>
              <w:keepLines w:val="0"/>
              <w:widowControl/>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项目</w:t>
            </w:r>
          </w:p>
          <w:p w14:paraId="6F5AA7F4">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编码</w:t>
            </w:r>
          </w:p>
        </w:tc>
        <w:tc>
          <w:tcPr>
            <w:tcW w:w="1380" w:type="dxa"/>
            <w:vMerge w:val="restart"/>
            <w:tcBorders>
              <w:top w:val="single" w:color="auto" w:sz="4" w:space="0"/>
              <w:left w:val="nil"/>
              <w:bottom w:val="single" w:color="auto" w:sz="4" w:space="0"/>
              <w:right w:val="single" w:color="auto" w:sz="4" w:space="0"/>
            </w:tcBorders>
            <w:noWrap w:val="0"/>
            <w:vAlign w:val="center"/>
          </w:tcPr>
          <w:p w14:paraId="1240B571">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措施项目名称</w:t>
            </w:r>
          </w:p>
        </w:tc>
        <w:tc>
          <w:tcPr>
            <w:tcW w:w="785" w:type="dxa"/>
            <w:vMerge w:val="restart"/>
            <w:tcBorders>
              <w:top w:val="single" w:color="auto" w:sz="4" w:space="0"/>
              <w:left w:val="nil"/>
              <w:bottom w:val="single" w:color="auto" w:sz="4" w:space="0"/>
              <w:right w:val="single" w:color="auto" w:sz="4" w:space="0"/>
            </w:tcBorders>
            <w:noWrap w:val="0"/>
            <w:vAlign w:val="center"/>
          </w:tcPr>
          <w:p w14:paraId="01474514">
            <w:pPr>
              <w:keepNext w:val="0"/>
              <w:keepLines w:val="0"/>
              <w:widowControl/>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价格</w:t>
            </w:r>
          </w:p>
          <w:p w14:paraId="784BDAEC">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（元）</w:t>
            </w:r>
          </w:p>
        </w:tc>
        <w:tc>
          <w:tcPr>
            <w:tcW w:w="2206" w:type="dxa"/>
            <w:gridSpan w:val="2"/>
            <w:tcBorders>
              <w:top w:val="single" w:color="auto" w:sz="4" w:space="0"/>
              <w:left w:val="nil"/>
              <w:bottom w:val="single" w:color="auto" w:sz="4" w:space="0"/>
              <w:right w:val="single" w:color="auto" w:sz="4" w:space="0"/>
            </w:tcBorders>
            <w:noWrap w:val="0"/>
            <w:vAlign w:val="center"/>
          </w:tcPr>
          <w:p w14:paraId="499429CC">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1.初始设立费用</w:t>
            </w:r>
          </w:p>
        </w:tc>
        <w:tc>
          <w:tcPr>
            <w:tcW w:w="1641" w:type="dxa"/>
            <w:gridSpan w:val="2"/>
            <w:tcBorders>
              <w:top w:val="single" w:color="auto" w:sz="4" w:space="0"/>
              <w:left w:val="nil"/>
              <w:bottom w:val="single" w:color="auto" w:sz="4" w:space="0"/>
              <w:right w:val="single" w:color="auto" w:sz="4" w:space="0"/>
            </w:tcBorders>
            <w:noWrap w:val="0"/>
            <w:vAlign w:val="center"/>
          </w:tcPr>
          <w:p w14:paraId="3C29A95D">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2.中期运行费用</w:t>
            </w:r>
          </w:p>
        </w:tc>
        <w:tc>
          <w:tcPr>
            <w:tcW w:w="2300" w:type="dxa"/>
            <w:gridSpan w:val="2"/>
            <w:tcBorders>
              <w:top w:val="single" w:color="auto" w:sz="4" w:space="0"/>
              <w:left w:val="nil"/>
              <w:bottom w:val="single" w:color="auto" w:sz="4" w:space="0"/>
              <w:right w:val="single" w:color="auto" w:sz="4" w:space="0"/>
            </w:tcBorders>
            <w:noWrap w:val="0"/>
            <w:vAlign w:val="center"/>
          </w:tcPr>
          <w:p w14:paraId="343BEDF3">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3.后期拆除费用</w:t>
            </w:r>
          </w:p>
        </w:tc>
      </w:tr>
      <w:tr w14:paraId="68DE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 w:hRule="atLeast"/>
        </w:trPr>
        <w:tc>
          <w:tcPr>
            <w:tcW w:w="564" w:type="dxa"/>
            <w:vMerge w:val="continue"/>
            <w:tcBorders>
              <w:top w:val="single" w:color="auto" w:sz="4" w:space="0"/>
              <w:left w:val="single" w:color="auto" w:sz="4" w:space="0"/>
              <w:bottom w:val="single" w:color="auto" w:sz="4" w:space="0"/>
              <w:right w:val="single" w:color="auto" w:sz="4" w:space="0"/>
            </w:tcBorders>
            <w:noWrap w:val="0"/>
            <w:vAlign w:val="center"/>
          </w:tcPr>
          <w:p w14:paraId="23F11F64">
            <w:pPr>
              <w:keepNext w:val="0"/>
              <w:keepLines w:val="0"/>
              <w:widowControl/>
              <w:suppressLineNumbers w:val="0"/>
              <w:spacing w:before="0" w:beforeAutospacing="0" w:after="0" w:afterAutospacing="0"/>
              <w:ind w:left="0" w:right="0"/>
              <w:jc w:val="left"/>
              <w:rPr>
                <w:rFonts w:hint="default" w:ascii="宋体" w:hAnsi="宋体"/>
                <w:color w:val="auto"/>
                <w:kern w:val="0"/>
                <w:sz w:val="21"/>
                <w:szCs w:val="21"/>
                <w:highlight w:val="none"/>
              </w:rPr>
            </w:pPr>
          </w:p>
        </w:tc>
        <w:tc>
          <w:tcPr>
            <w:tcW w:w="829" w:type="dxa"/>
            <w:vMerge w:val="continue"/>
            <w:tcBorders>
              <w:top w:val="single" w:color="auto" w:sz="4" w:space="0"/>
              <w:left w:val="nil"/>
              <w:bottom w:val="single" w:color="auto" w:sz="4" w:space="0"/>
              <w:right w:val="single" w:color="auto" w:sz="4" w:space="0"/>
            </w:tcBorders>
            <w:noWrap w:val="0"/>
            <w:vAlign w:val="center"/>
          </w:tcPr>
          <w:p w14:paraId="35E74966">
            <w:pPr>
              <w:keepNext w:val="0"/>
              <w:keepLines w:val="0"/>
              <w:widowControl/>
              <w:suppressLineNumbers w:val="0"/>
              <w:spacing w:before="0" w:beforeAutospacing="0" w:after="0" w:afterAutospacing="0"/>
              <w:ind w:left="0" w:right="0"/>
              <w:jc w:val="left"/>
              <w:rPr>
                <w:rFonts w:hint="default" w:ascii="宋体" w:hAnsi="宋体"/>
                <w:color w:val="auto"/>
                <w:kern w:val="0"/>
                <w:sz w:val="21"/>
                <w:szCs w:val="21"/>
                <w:highlight w:val="none"/>
              </w:rPr>
            </w:pPr>
          </w:p>
        </w:tc>
        <w:tc>
          <w:tcPr>
            <w:tcW w:w="1380" w:type="dxa"/>
            <w:vMerge w:val="continue"/>
            <w:tcBorders>
              <w:top w:val="single" w:color="auto" w:sz="4" w:space="0"/>
              <w:left w:val="nil"/>
              <w:bottom w:val="single" w:color="auto" w:sz="4" w:space="0"/>
              <w:right w:val="single" w:color="auto" w:sz="4" w:space="0"/>
            </w:tcBorders>
            <w:noWrap w:val="0"/>
            <w:vAlign w:val="center"/>
          </w:tcPr>
          <w:p w14:paraId="3280A1D4">
            <w:pPr>
              <w:keepNext w:val="0"/>
              <w:keepLines w:val="0"/>
              <w:widowControl/>
              <w:suppressLineNumbers w:val="0"/>
              <w:spacing w:before="0" w:beforeAutospacing="0" w:after="0" w:afterAutospacing="0"/>
              <w:ind w:left="0" w:right="0"/>
              <w:jc w:val="left"/>
              <w:rPr>
                <w:rFonts w:hint="default" w:ascii="宋体" w:hAnsi="宋体"/>
                <w:color w:val="auto"/>
                <w:kern w:val="0"/>
                <w:sz w:val="21"/>
                <w:szCs w:val="21"/>
                <w:highlight w:val="none"/>
              </w:rPr>
            </w:pPr>
          </w:p>
        </w:tc>
        <w:tc>
          <w:tcPr>
            <w:tcW w:w="785" w:type="dxa"/>
            <w:vMerge w:val="continue"/>
            <w:tcBorders>
              <w:top w:val="single" w:color="auto" w:sz="4" w:space="0"/>
              <w:left w:val="nil"/>
              <w:bottom w:val="single" w:color="auto" w:sz="4" w:space="0"/>
              <w:right w:val="single" w:color="auto" w:sz="4" w:space="0"/>
            </w:tcBorders>
            <w:noWrap w:val="0"/>
            <w:vAlign w:val="center"/>
          </w:tcPr>
          <w:p w14:paraId="27358798">
            <w:pPr>
              <w:keepNext w:val="0"/>
              <w:keepLines w:val="0"/>
              <w:widowControl/>
              <w:suppressLineNumbers w:val="0"/>
              <w:spacing w:before="0" w:beforeAutospacing="0" w:after="0" w:afterAutospacing="0"/>
              <w:ind w:left="0" w:right="0"/>
              <w:jc w:val="left"/>
              <w:rPr>
                <w:rFonts w:hint="default" w:ascii="宋体" w:hAnsi="宋体"/>
                <w:color w:val="auto"/>
                <w:kern w:val="0"/>
                <w:sz w:val="21"/>
                <w:szCs w:val="21"/>
                <w:highlight w:val="none"/>
              </w:rPr>
            </w:pPr>
          </w:p>
        </w:tc>
        <w:tc>
          <w:tcPr>
            <w:tcW w:w="998" w:type="dxa"/>
            <w:tcBorders>
              <w:top w:val="single" w:color="auto" w:sz="4" w:space="0"/>
              <w:left w:val="nil"/>
              <w:bottom w:val="single" w:color="auto" w:sz="4" w:space="0"/>
              <w:right w:val="single" w:color="auto" w:sz="4" w:space="0"/>
            </w:tcBorders>
            <w:noWrap w:val="0"/>
            <w:vAlign w:val="center"/>
          </w:tcPr>
          <w:p w14:paraId="366DA939">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占比</w:t>
            </w:r>
          </w:p>
          <w:p w14:paraId="427F8FCE">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w:t>
            </w:r>
          </w:p>
        </w:tc>
        <w:tc>
          <w:tcPr>
            <w:tcW w:w="1208" w:type="dxa"/>
            <w:tcBorders>
              <w:top w:val="single" w:color="auto" w:sz="4" w:space="0"/>
              <w:left w:val="nil"/>
              <w:bottom w:val="single" w:color="auto" w:sz="4" w:space="0"/>
              <w:right w:val="single" w:color="auto" w:sz="4" w:space="0"/>
            </w:tcBorders>
            <w:noWrap w:val="0"/>
            <w:vAlign w:val="center"/>
          </w:tcPr>
          <w:p w14:paraId="4D170232">
            <w:pPr>
              <w:keepNext w:val="0"/>
              <w:keepLines w:val="0"/>
              <w:suppressLineNumbers w:val="0"/>
              <w:snapToGrid w:val="0"/>
              <w:spacing w:before="0" w:beforeAutospacing="0" w:after="0" w:afterAutospacing="0"/>
              <w:ind w:left="0" w:right="0"/>
              <w:jc w:val="center"/>
              <w:rPr>
                <w:rFonts w:hint="default" w:ascii="宋体" w:hAnsi="宋体" w:cs="Calibri"/>
                <w:color w:val="auto"/>
                <w:kern w:val="0"/>
                <w:sz w:val="21"/>
                <w:szCs w:val="21"/>
                <w:highlight w:val="none"/>
              </w:rPr>
            </w:pPr>
            <w:r>
              <w:rPr>
                <w:rFonts w:hint="eastAsia" w:ascii="宋体" w:hAnsi="宋体" w:cs="Calibri"/>
                <w:color w:val="auto"/>
                <w:kern w:val="0"/>
                <w:sz w:val="21"/>
                <w:szCs w:val="21"/>
                <w:highlight w:val="none"/>
              </w:rPr>
              <w:t>金额</w:t>
            </w:r>
          </w:p>
          <w:p w14:paraId="6A4928DC">
            <w:pPr>
              <w:keepNext w:val="0"/>
              <w:keepLines w:val="0"/>
              <w:suppressLineNumbers w:val="0"/>
              <w:snapToGrid w:val="0"/>
              <w:spacing w:before="0" w:beforeAutospacing="0" w:after="0" w:afterAutospacing="0"/>
              <w:ind w:left="0" w:right="0"/>
              <w:jc w:val="center"/>
              <w:rPr>
                <w:rFonts w:hint="eastAsia" w:ascii="宋体" w:hAnsi="宋体" w:eastAsia="宋体"/>
                <w:color w:val="auto"/>
                <w:kern w:val="0"/>
                <w:sz w:val="21"/>
                <w:szCs w:val="21"/>
                <w:highlight w:val="none"/>
                <w:lang w:eastAsia="zh-CN"/>
              </w:rPr>
            </w:pPr>
            <w:r>
              <w:rPr>
                <w:rFonts w:hint="eastAsia" w:ascii="宋体" w:hAnsi="宋体" w:cs="Calibri"/>
                <w:color w:val="auto"/>
                <w:kern w:val="0"/>
                <w:sz w:val="21"/>
                <w:szCs w:val="21"/>
                <w:highlight w:val="none"/>
                <w:lang w:eastAsia="zh-CN"/>
              </w:rPr>
              <w:t>（</w:t>
            </w:r>
            <w:r>
              <w:rPr>
                <w:rFonts w:hint="eastAsia" w:ascii="宋体" w:hAnsi="宋体" w:cs="Calibri"/>
                <w:color w:val="auto"/>
                <w:kern w:val="0"/>
                <w:sz w:val="21"/>
                <w:szCs w:val="21"/>
                <w:highlight w:val="none"/>
              </w:rPr>
              <w:t>元</w:t>
            </w:r>
            <w:r>
              <w:rPr>
                <w:rFonts w:hint="eastAsia" w:ascii="宋体" w:hAnsi="宋体" w:cs="Calibri"/>
                <w:color w:val="auto"/>
                <w:kern w:val="0"/>
                <w:sz w:val="21"/>
                <w:szCs w:val="21"/>
                <w:highlight w:val="none"/>
                <w:lang w:eastAsia="zh-CN"/>
              </w:rPr>
              <w:t>）</w:t>
            </w:r>
          </w:p>
        </w:tc>
        <w:tc>
          <w:tcPr>
            <w:tcW w:w="732" w:type="dxa"/>
            <w:tcBorders>
              <w:top w:val="single" w:color="auto" w:sz="4" w:space="0"/>
              <w:left w:val="nil"/>
              <w:bottom w:val="single" w:color="auto" w:sz="4" w:space="0"/>
              <w:right w:val="single" w:color="auto" w:sz="4" w:space="0"/>
            </w:tcBorders>
            <w:noWrap w:val="0"/>
            <w:vAlign w:val="center"/>
          </w:tcPr>
          <w:p w14:paraId="56BC053E">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占比</w:t>
            </w:r>
          </w:p>
          <w:p w14:paraId="642A750F">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w:t>
            </w:r>
          </w:p>
        </w:tc>
        <w:tc>
          <w:tcPr>
            <w:tcW w:w="909" w:type="dxa"/>
            <w:tcBorders>
              <w:top w:val="single" w:color="auto" w:sz="4" w:space="0"/>
              <w:left w:val="nil"/>
              <w:bottom w:val="single" w:color="auto" w:sz="4" w:space="0"/>
              <w:right w:val="single" w:color="auto" w:sz="4" w:space="0"/>
            </w:tcBorders>
            <w:noWrap w:val="0"/>
            <w:vAlign w:val="center"/>
          </w:tcPr>
          <w:p w14:paraId="02FC13B2">
            <w:pPr>
              <w:keepNext w:val="0"/>
              <w:keepLines w:val="0"/>
              <w:suppressLineNumbers w:val="0"/>
              <w:snapToGrid w:val="0"/>
              <w:spacing w:before="0" w:beforeAutospacing="0" w:after="0" w:afterAutospacing="0"/>
              <w:ind w:left="0" w:right="0"/>
              <w:jc w:val="center"/>
              <w:rPr>
                <w:rFonts w:hint="default" w:ascii="宋体" w:hAnsi="宋体" w:cs="Calibri"/>
                <w:color w:val="auto"/>
                <w:kern w:val="0"/>
                <w:sz w:val="21"/>
                <w:szCs w:val="21"/>
                <w:highlight w:val="none"/>
              </w:rPr>
            </w:pPr>
            <w:r>
              <w:rPr>
                <w:rFonts w:hint="eastAsia" w:ascii="宋体" w:hAnsi="宋体" w:cs="Calibri"/>
                <w:color w:val="auto"/>
                <w:kern w:val="0"/>
                <w:sz w:val="21"/>
                <w:szCs w:val="21"/>
                <w:highlight w:val="none"/>
              </w:rPr>
              <w:t>金额</w:t>
            </w:r>
          </w:p>
          <w:p w14:paraId="2BDBD4CC">
            <w:pPr>
              <w:keepNext w:val="0"/>
              <w:keepLines w:val="0"/>
              <w:suppressLineNumbers w:val="0"/>
              <w:snapToGrid w:val="0"/>
              <w:spacing w:before="0" w:beforeAutospacing="0" w:after="0" w:afterAutospacing="0"/>
              <w:ind w:left="0" w:right="0"/>
              <w:jc w:val="center"/>
              <w:rPr>
                <w:rFonts w:hint="eastAsia" w:ascii="宋体" w:hAnsi="宋体" w:eastAsia="宋体"/>
                <w:color w:val="auto"/>
                <w:kern w:val="0"/>
                <w:sz w:val="21"/>
                <w:szCs w:val="21"/>
                <w:highlight w:val="none"/>
                <w:lang w:eastAsia="zh-CN"/>
              </w:rPr>
            </w:pPr>
            <w:r>
              <w:rPr>
                <w:rFonts w:hint="eastAsia" w:ascii="宋体" w:hAnsi="宋体" w:cs="Calibri"/>
                <w:color w:val="auto"/>
                <w:kern w:val="0"/>
                <w:sz w:val="21"/>
                <w:szCs w:val="21"/>
                <w:highlight w:val="none"/>
                <w:lang w:eastAsia="zh-CN"/>
              </w:rPr>
              <w:t>（</w:t>
            </w:r>
            <w:r>
              <w:rPr>
                <w:rFonts w:hint="eastAsia" w:ascii="宋体" w:hAnsi="宋体" w:cs="Calibri"/>
                <w:color w:val="auto"/>
                <w:kern w:val="0"/>
                <w:sz w:val="21"/>
                <w:szCs w:val="21"/>
                <w:highlight w:val="none"/>
              </w:rPr>
              <w:t>元</w:t>
            </w:r>
            <w:r>
              <w:rPr>
                <w:rFonts w:hint="eastAsia" w:ascii="宋体" w:hAnsi="宋体" w:cs="Calibri"/>
                <w:color w:val="auto"/>
                <w:kern w:val="0"/>
                <w:sz w:val="21"/>
                <w:szCs w:val="21"/>
                <w:highlight w:val="none"/>
                <w:lang w:eastAsia="zh-CN"/>
              </w:rPr>
              <w:t>）</w:t>
            </w:r>
          </w:p>
        </w:tc>
        <w:tc>
          <w:tcPr>
            <w:tcW w:w="1035" w:type="dxa"/>
            <w:tcBorders>
              <w:top w:val="single" w:color="auto" w:sz="4" w:space="0"/>
              <w:left w:val="nil"/>
              <w:bottom w:val="single" w:color="auto" w:sz="4" w:space="0"/>
              <w:right w:val="single" w:color="auto" w:sz="4" w:space="0"/>
            </w:tcBorders>
            <w:noWrap w:val="0"/>
            <w:vAlign w:val="center"/>
          </w:tcPr>
          <w:p w14:paraId="546CE3AF">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占比</w:t>
            </w:r>
          </w:p>
          <w:p w14:paraId="3D2F5C26">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rPr>
            </w:pPr>
            <w:r>
              <w:rPr>
                <w:rFonts w:hint="eastAsia" w:ascii="宋体" w:hAnsi="宋体"/>
                <w:color w:val="auto"/>
                <w:kern w:val="0"/>
                <w:sz w:val="21"/>
                <w:szCs w:val="21"/>
                <w:highlight w:val="none"/>
              </w:rPr>
              <w:t>（%）</w:t>
            </w:r>
          </w:p>
        </w:tc>
        <w:tc>
          <w:tcPr>
            <w:tcW w:w="1265" w:type="dxa"/>
            <w:tcBorders>
              <w:top w:val="single" w:color="auto" w:sz="4" w:space="0"/>
              <w:left w:val="nil"/>
              <w:bottom w:val="single" w:color="auto" w:sz="4" w:space="0"/>
              <w:right w:val="single" w:color="auto" w:sz="4" w:space="0"/>
            </w:tcBorders>
            <w:noWrap w:val="0"/>
            <w:vAlign w:val="center"/>
          </w:tcPr>
          <w:p w14:paraId="7D4F9F63">
            <w:pPr>
              <w:keepNext w:val="0"/>
              <w:keepLines w:val="0"/>
              <w:suppressLineNumbers w:val="0"/>
              <w:snapToGrid w:val="0"/>
              <w:spacing w:before="0" w:beforeAutospacing="0" w:after="0" w:afterAutospacing="0"/>
              <w:ind w:left="0" w:right="0"/>
              <w:jc w:val="center"/>
              <w:rPr>
                <w:rFonts w:hint="default" w:ascii="宋体" w:hAnsi="宋体" w:cs="Calibri"/>
                <w:color w:val="auto"/>
                <w:kern w:val="0"/>
                <w:sz w:val="21"/>
                <w:szCs w:val="21"/>
                <w:highlight w:val="none"/>
              </w:rPr>
            </w:pPr>
            <w:r>
              <w:rPr>
                <w:rFonts w:hint="eastAsia" w:ascii="宋体" w:hAnsi="宋体" w:cs="Calibri"/>
                <w:color w:val="auto"/>
                <w:kern w:val="0"/>
                <w:sz w:val="21"/>
                <w:szCs w:val="21"/>
                <w:highlight w:val="none"/>
              </w:rPr>
              <w:t>金额</w:t>
            </w:r>
          </w:p>
          <w:p w14:paraId="3E5EA61B">
            <w:pPr>
              <w:keepNext w:val="0"/>
              <w:keepLines w:val="0"/>
              <w:suppressLineNumbers w:val="0"/>
              <w:snapToGrid w:val="0"/>
              <w:spacing w:before="0" w:beforeAutospacing="0" w:after="0" w:afterAutospacing="0"/>
              <w:ind w:left="0" w:right="0"/>
              <w:jc w:val="center"/>
              <w:rPr>
                <w:rFonts w:hint="eastAsia" w:ascii="宋体" w:hAnsi="宋体" w:eastAsia="宋体"/>
                <w:color w:val="auto"/>
                <w:kern w:val="0"/>
                <w:sz w:val="21"/>
                <w:szCs w:val="21"/>
                <w:highlight w:val="none"/>
                <w:lang w:eastAsia="zh-CN"/>
              </w:rPr>
            </w:pPr>
            <w:r>
              <w:rPr>
                <w:rFonts w:hint="eastAsia" w:ascii="宋体" w:hAnsi="宋体" w:cs="Calibri"/>
                <w:color w:val="auto"/>
                <w:kern w:val="0"/>
                <w:sz w:val="21"/>
                <w:szCs w:val="21"/>
                <w:highlight w:val="none"/>
                <w:lang w:eastAsia="zh-CN"/>
              </w:rPr>
              <w:t>（</w:t>
            </w:r>
            <w:r>
              <w:rPr>
                <w:rFonts w:hint="eastAsia" w:ascii="宋体" w:hAnsi="宋体" w:cs="Calibri"/>
                <w:color w:val="auto"/>
                <w:kern w:val="0"/>
                <w:sz w:val="21"/>
                <w:szCs w:val="21"/>
                <w:highlight w:val="none"/>
              </w:rPr>
              <w:t>元</w:t>
            </w:r>
            <w:r>
              <w:rPr>
                <w:rFonts w:hint="eastAsia" w:ascii="宋体" w:hAnsi="宋体" w:cs="Calibri"/>
                <w:color w:val="auto"/>
                <w:kern w:val="0"/>
                <w:sz w:val="21"/>
                <w:szCs w:val="21"/>
                <w:highlight w:val="none"/>
                <w:lang w:eastAsia="zh-CN"/>
              </w:rPr>
              <w:t>）</w:t>
            </w:r>
          </w:p>
        </w:tc>
      </w:tr>
      <w:tr w14:paraId="6123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6CB8C22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4FCFA426">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52B89F4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207812C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500FC38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713634B0">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64BB96D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7D73C9B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7CB22E3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399331F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0AC7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1AA7403A">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46385C1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70C80B8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37EDC32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12EB5D6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272079D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7BCD7CA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5D109DE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0D7259E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6821353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130D9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2E91F56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3D4EEAE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2AD004E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46ED785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7FDCCB7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54F4417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0C0AB8C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27A9A47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244F785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2878B529">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61C15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24F4598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27B35F5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5BE7375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3AE9C84D">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1C04729D">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05B33E7A">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70949B9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7E30C3D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29DBE38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0A1D0DA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3D56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3B0E802D">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39048534">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483731B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68BD7D0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12AD006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24C60A59">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5289427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5DD270F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0A98D4D0">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61954EC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7668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0DB0B36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1ADABD8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3048A5C9">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592CC6BD">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3FCC34C0">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4FD882D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11EB869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3572165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0AEE878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686280E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698CF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48D8D31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234C5F94">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7991C520">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168549B0">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6AC65B24">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497E914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02B08F5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4D56403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3952EE60">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71DDCB9D">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1973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6BA38F5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5791D2C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47CD1BB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5A867D14">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6A15C05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2AEB33E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47BC71A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232A440A">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230EBE2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34F5D59D">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2A80B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7311C756">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6CF84BEA">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0FD1787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0D80585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68B6A83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57CC2B1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4D4D643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07345A3A">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6A4FDF29">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23C2D29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694A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6D3D5F2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41ED0D2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1158FD9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4184081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60424B4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4A9551C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2D7D1D5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3D973CEA">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16B8091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167EFDE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11E4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0E7806C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450AFF9D">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2C52F14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38F0242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4A62ADF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78F8330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3B8D7FD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41EB922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031057C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5896D23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29E9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66EFED2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29CBA3A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688926A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0A7AB4E6">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5EBFE15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10ADD74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6E35D5A6">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63467989">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5C47FD7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23CA428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72293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1DACBF9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6AF7185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784A50CD">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51ACBF60">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6598155D">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75BDE02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45EC0EB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3BA02DE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7BCDC556">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641048F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78B0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4FFEF70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5CAB0D2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1B4696CD">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5B69CBD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7CC114D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6848A886">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058283D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5B7FAFB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57AB5EF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498406D9">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748A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04FBBCE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20F49C5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0CC9166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40B677B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0F8F2C2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0A75A36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09758F74">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45617C1F">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5085A2B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742F08B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7189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2876357A">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1F2F9ED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64F2986E">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472A5F2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1E49BA46">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58ABEB4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5C225F69">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2D7F45F8">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2F984A92">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43569E89">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63D1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61C7FB3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5DCD097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259CD63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11D3167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7B43217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148BADB9">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4943ED01">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1E8AE073">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1F1ED27D">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22F7CEA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0F9E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485A8A64">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829" w:type="dxa"/>
            <w:tcBorders>
              <w:top w:val="single" w:color="auto" w:sz="4" w:space="0"/>
              <w:left w:val="nil"/>
              <w:bottom w:val="single" w:color="auto" w:sz="4" w:space="0"/>
              <w:right w:val="single" w:color="auto" w:sz="4" w:space="0"/>
            </w:tcBorders>
            <w:noWrap w:val="0"/>
            <w:vAlign w:val="top"/>
          </w:tcPr>
          <w:p w14:paraId="11C03750">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380" w:type="dxa"/>
            <w:tcBorders>
              <w:top w:val="single" w:color="auto" w:sz="4" w:space="0"/>
              <w:left w:val="nil"/>
              <w:bottom w:val="single" w:color="auto" w:sz="4" w:space="0"/>
              <w:right w:val="single" w:color="auto" w:sz="4" w:space="0"/>
            </w:tcBorders>
            <w:noWrap w:val="0"/>
            <w:vAlign w:val="top"/>
          </w:tcPr>
          <w:p w14:paraId="0DB9D496">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85" w:type="dxa"/>
            <w:tcBorders>
              <w:top w:val="single" w:color="auto" w:sz="4" w:space="0"/>
              <w:left w:val="nil"/>
              <w:bottom w:val="single" w:color="auto" w:sz="4" w:space="0"/>
              <w:right w:val="single" w:color="auto" w:sz="4" w:space="0"/>
            </w:tcBorders>
            <w:noWrap w:val="0"/>
            <w:vAlign w:val="top"/>
          </w:tcPr>
          <w:p w14:paraId="7CA22080">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top"/>
          </w:tcPr>
          <w:p w14:paraId="10854BF4">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08" w:type="dxa"/>
            <w:tcBorders>
              <w:top w:val="single" w:color="auto" w:sz="4" w:space="0"/>
              <w:left w:val="nil"/>
              <w:bottom w:val="single" w:color="auto" w:sz="4" w:space="0"/>
              <w:right w:val="single" w:color="auto" w:sz="4" w:space="0"/>
            </w:tcBorders>
            <w:noWrap w:val="0"/>
            <w:vAlign w:val="top"/>
          </w:tcPr>
          <w:p w14:paraId="1AEDE35B">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732" w:type="dxa"/>
            <w:tcBorders>
              <w:top w:val="single" w:color="auto" w:sz="4" w:space="0"/>
              <w:left w:val="nil"/>
              <w:bottom w:val="single" w:color="auto" w:sz="4" w:space="0"/>
              <w:right w:val="single" w:color="auto" w:sz="4" w:space="0"/>
            </w:tcBorders>
            <w:noWrap w:val="0"/>
            <w:vAlign w:val="top"/>
          </w:tcPr>
          <w:p w14:paraId="45C5322C">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09" w:type="dxa"/>
            <w:tcBorders>
              <w:top w:val="single" w:color="auto" w:sz="4" w:space="0"/>
              <w:left w:val="nil"/>
              <w:bottom w:val="single" w:color="auto" w:sz="4" w:space="0"/>
              <w:right w:val="single" w:color="auto" w:sz="4" w:space="0"/>
            </w:tcBorders>
            <w:noWrap w:val="0"/>
            <w:vAlign w:val="top"/>
          </w:tcPr>
          <w:p w14:paraId="66AE2FA7">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035" w:type="dxa"/>
            <w:tcBorders>
              <w:top w:val="single" w:color="auto" w:sz="4" w:space="0"/>
              <w:left w:val="nil"/>
              <w:bottom w:val="single" w:color="auto" w:sz="4" w:space="0"/>
              <w:right w:val="single" w:color="auto" w:sz="4" w:space="0"/>
            </w:tcBorders>
            <w:noWrap w:val="0"/>
            <w:vAlign w:val="top"/>
          </w:tcPr>
          <w:p w14:paraId="13631276">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1265" w:type="dxa"/>
            <w:tcBorders>
              <w:top w:val="single" w:color="auto" w:sz="4" w:space="0"/>
              <w:left w:val="nil"/>
              <w:bottom w:val="single" w:color="auto" w:sz="4" w:space="0"/>
              <w:right w:val="single" w:color="auto" w:sz="4" w:space="0"/>
            </w:tcBorders>
            <w:noWrap w:val="0"/>
            <w:vAlign w:val="top"/>
          </w:tcPr>
          <w:p w14:paraId="4692C0D5">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r w14:paraId="38C0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1608D2D6">
            <w:pPr>
              <w:keepNext w:val="0"/>
              <w:keepLines w:val="0"/>
              <w:suppressLineNumbers w:val="0"/>
              <w:spacing w:before="0" w:beforeAutospacing="0" w:after="120" w:afterAutospacing="0"/>
              <w:ind w:left="0" w:right="0"/>
              <w:jc w:val="center"/>
              <w:rPr>
                <w:rFonts w:hint="default" w:ascii="宋体" w:hAnsi="宋体"/>
                <w:color w:val="auto"/>
                <w:kern w:val="0"/>
                <w:sz w:val="18"/>
                <w:szCs w:val="18"/>
                <w:highlight w:val="none"/>
              </w:rPr>
            </w:pPr>
            <w:r>
              <w:rPr>
                <w:rFonts w:hint="eastAsia" w:ascii="宋体" w:hAnsi="宋体"/>
                <w:color w:val="auto"/>
                <w:kern w:val="0"/>
                <w:sz w:val="18"/>
                <w:szCs w:val="18"/>
                <w:highlight w:val="none"/>
              </w:rPr>
              <w:t>—</w:t>
            </w:r>
          </w:p>
        </w:tc>
        <w:tc>
          <w:tcPr>
            <w:tcW w:w="829" w:type="dxa"/>
            <w:tcBorders>
              <w:top w:val="single" w:color="auto" w:sz="4" w:space="0"/>
              <w:left w:val="nil"/>
              <w:bottom w:val="single" w:color="auto" w:sz="4" w:space="0"/>
              <w:right w:val="single" w:color="auto" w:sz="4" w:space="0"/>
            </w:tcBorders>
            <w:noWrap w:val="0"/>
            <w:vAlign w:val="top"/>
          </w:tcPr>
          <w:p w14:paraId="5A598AE0">
            <w:pPr>
              <w:keepNext w:val="0"/>
              <w:keepLines w:val="0"/>
              <w:suppressLineNumbers w:val="0"/>
              <w:spacing w:before="0" w:beforeAutospacing="0" w:after="120" w:afterAutospacing="0"/>
              <w:ind w:left="0" w:right="0"/>
              <w:jc w:val="center"/>
              <w:rPr>
                <w:rFonts w:hint="default" w:ascii="宋体" w:hAnsi="宋体"/>
                <w:color w:val="auto"/>
                <w:kern w:val="0"/>
                <w:sz w:val="18"/>
                <w:szCs w:val="18"/>
                <w:highlight w:val="none"/>
              </w:rPr>
            </w:pPr>
            <w:r>
              <w:rPr>
                <w:rFonts w:hint="eastAsia" w:ascii="宋体" w:hAnsi="宋体"/>
                <w:color w:val="auto"/>
                <w:kern w:val="0"/>
                <w:sz w:val="18"/>
                <w:szCs w:val="18"/>
                <w:highlight w:val="none"/>
              </w:rPr>
              <w:t>—</w:t>
            </w:r>
          </w:p>
        </w:tc>
        <w:tc>
          <w:tcPr>
            <w:tcW w:w="1380" w:type="dxa"/>
            <w:tcBorders>
              <w:top w:val="single" w:color="auto" w:sz="4" w:space="0"/>
              <w:left w:val="nil"/>
              <w:bottom w:val="single" w:color="auto" w:sz="4" w:space="0"/>
              <w:right w:val="single" w:color="auto" w:sz="4" w:space="0"/>
            </w:tcBorders>
            <w:noWrap w:val="0"/>
            <w:vAlign w:val="center"/>
          </w:tcPr>
          <w:p w14:paraId="25106C17">
            <w:pPr>
              <w:keepNext w:val="0"/>
              <w:keepLines w:val="0"/>
              <w:suppressLineNumbers w:val="0"/>
              <w:spacing w:before="0" w:beforeAutospacing="0" w:after="120" w:afterAutospacing="0"/>
              <w:ind w:left="0" w:right="0"/>
              <w:jc w:val="center"/>
              <w:rPr>
                <w:rFonts w:hint="default" w:ascii="宋体" w:hAnsi="宋体"/>
                <w:color w:val="auto"/>
                <w:kern w:val="0"/>
                <w:sz w:val="18"/>
                <w:szCs w:val="18"/>
                <w:highlight w:val="none"/>
              </w:rPr>
            </w:pPr>
            <w:r>
              <w:rPr>
                <w:rFonts w:hint="eastAsia" w:ascii="宋体" w:hAnsi="宋体"/>
                <w:color w:val="auto"/>
                <w:kern w:val="0"/>
                <w:sz w:val="18"/>
                <w:szCs w:val="18"/>
                <w:highlight w:val="none"/>
              </w:rPr>
              <w:t>合计</w:t>
            </w:r>
          </w:p>
        </w:tc>
        <w:tc>
          <w:tcPr>
            <w:tcW w:w="785" w:type="dxa"/>
            <w:tcBorders>
              <w:top w:val="single" w:color="auto" w:sz="4" w:space="0"/>
              <w:left w:val="nil"/>
              <w:bottom w:val="single" w:color="auto" w:sz="4" w:space="0"/>
              <w:right w:val="single" w:color="auto" w:sz="4" w:space="0"/>
            </w:tcBorders>
            <w:noWrap w:val="0"/>
            <w:vAlign w:val="top"/>
          </w:tcPr>
          <w:p w14:paraId="2E9F68FD">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c>
          <w:tcPr>
            <w:tcW w:w="998" w:type="dxa"/>
            <w:tcBorders>
              <w:top w:val="single" w:color="auto" w:sz="4" w:space="0"/>
              <w:left w:val="nil"/>
              <w:bottom w:val="single" w:color="auto" w:sz="4" w:space="0"/>
              <w:right w:val="single" w:color="auto" w:sz="4" w:space="0"/>
            </w:tcBorders>
            <w:noWrap w:val="0"/>
            <w:vAlign w:val="center"/>
          </w:tcPr>
          <w:p w14:paraId="1D11C255">
            <w:pPr>
              <w:keepNext w:val="0"/>
              <w:keepLines w:val="0"/>
              <w:suppressLineNumbers w:val="0"/>
              <w:spacing w:before="0" w:beforeAutospacing="0" w:after="120" w:afterAutospacing="0"/>
              <w:ind w:left="0" w:leftChars="0" w:right="0" w:rightChars="0"/>
              <w:jc w:val="center"/>
              <w:rPr>
                <w:rFonts w:hint="default" w:ascii="宋体" w:hAnsi="宋体" w:eastAsia="宋体" w:cs="Times New Roman"/>
                <w:color w:val="auto"/>
                <w:kern w:val="0"/>
                <w:sz w:val="18"/>
                <w:szCs w:val="18"/>
                <w:highlight w:val="none"/>
                <w:lang w:val="en-US" w:eastAsia="zh-CN" w:bidi="ar-SA"/>
              </w:rPr>
            </w:pPr>
            <w:r>
              <w:rPr>
                <w:rFonts w:hint="eastAsia" w:ascii="宋体" w:hAnsi="宋体"/>
                <w:color w:val="auto"/>
                <w:kern w:val="0"/>
                <w:sz w:val="18"/>
                <w:szCs w:val="18"/>
                <w:highlight w:val="none"/>
              </w:rPr>
              <w:t>—</w:t>
            </w:r>
          </w:p>
        </w:tc>
        <w:tc>
          <w:tcPr>
            <w:tcW w:w="1208" w:type="dxa"/>
            <w:tcBorders>
              <w:top w:val="single" w:color="auto" w:sz="4" w:space="0"/>
              <w:left w:val="nil"/>
              <w:bottom w:val="single" w:color="auto" w:sz="4" w:space="0"/>
              <w:right w:val="single" w:color="auto" w:sz="4" w:space="0"/>
            </w:tcBorders>
            <w:noWrap w:val="0"/>
            <w:vAlign w:val="center"/>
          </w:tcPr>
          <w:p w14:paraId="0B2AA48D">
            <w:pPr>
              <w:keepNext w:val="0"/>
              <w:keepLines w:val="0"/>
              <w:suppressLineNumbers w:val="0"/>
              <w:spacing w:before="0" w:beforeAutospacing="0" w:after="120" w:afterAutospacing="0"/>
              <w:ind w:left="0" w:leftChars="0" w:right="0" w:rightChars="0"/>
              <w:jc w:val="center"/>
              <w:rPr>
                <w:rFonts w:hint="default" w:ascii="宋体" w:hAnsi="宋体" w:eastAsia="宋体" w:cs="Times New Roman"/>
                <w:color w:val="auto"/>
                <w:kern w:val="0"/>
                <w:sz w:val="18"/>
                <w:szCs w:val="18"/>
                <w:highlight w:val="none"/>
                <w:lang w:val="en-US" w:eastAsia="zh-CN" w:bidi="ar-SA"/>
              </w:rPr>
            </w:pPr>
          </w:p>
        </w:tc>
        <w:tc>
          <w:tcPr>
            <w:tcW w:w="732" w:type="dxa"/>
            <w:tcBorders>
              <w:top w:val="single" w:color="auto" w:sz="4" w:space="0"/>
              <w:left w:val="nil"/>
              <w:bottom w:val="single" w:color="auto" w:sz="4" w:space="0"/>
              <w:right w:val="single" w:color="auto" w:sz="4" w:space="0"/>
            </w:tcBorders>
            <w:noWrap w:val="0"/>
            <w:vAlign w:val="center"/>
          </w:tcPr>
          <w:p w14:paraId="4A1C0DA3">
            <w:pPr>
              <w:keepNext w:val="0"/>
              <w:keepLines w:val="0"/>
              <w:suppressLineNumbers w:val="0"/>
              <w:spacing w:before="0" w:beforeAutospacing="0" w:after="120" w:afterAutospacing="0"/>
              <w:ind w:left="0" w:leftChars="0" w:right="0" w:rightChars="0"/>
              <w:jc w:val="center"/>
              <w:rPr>
                <w:rFonts w:hint="default" w:ascii="宋体" w:hAnsi="宋体" w:eastAsia="宋体" w:cs="Times New Roman"/>
                <w:color w:val="auto"/>
                <w:kern w:val="0"/>
                <w:sz w:val="18"/>
                <w:szCs w:val="18"/>
                <w:highlight w:val="none"/>
                <w:lang w:val="en-US" w:eastAsia="zh-CN" w:bidi="ar-SA"/>
              </w:rPr>
            </w:pPr>
            <w:r>
              <w:rPr>
                <w:rFonts w:hint="eastAsia" w:ascii="宋体" w:hAnsi="宋体"/>
                <w:color w:val="auto"/>
                <w:kern w:val="0"/>
                <w:sz w:val="18"/>
                <w:szCs w:val="18"/>
                <w:highlight w:val="none"/>
              </w:rPr>
              <w:t>—</w:t>
            </w:r>
          </w:p>
        </w:tc>
        <w:tc>
          <w:tcPr>
            <w:tcW w:w="909" w:type="dxa"/>
            <w:tcBorders>
              <w:top w:val="single" w:color="auto" w:sz="4" w:space="0"/>
              <w:left w:val="nil"/>
              <w:bottom w:val="single" w:color="auto" w:sz="4" w:space="0"/>
              <w:right w:val="single" w:color="auto" w:sz="4" w:space="0"/>
            </w:tcBorders>
            <w:noWrap w:val="0"/>
            <w:vAlign w:val="center"/>
          </w:tcPr>
          <w:p w14:paraId="01F5EC85">
            <w:pPr>
              <w:keepNext w:val="0"/>
              <w:keepLines w:val="0"/>
              <w:suppressLineNumbers w:val="0"/>
              <w:spacing w:before="0" w:beforeAutospacing="0" w:after="120" w:afterAutospacing="0"/>
              <w:ind w:left="0" w:leftChars="0" w:right="0" w:rightChars="0"/>
              <w:jc w:val="center"/>
              <w:rPr>
                <w:rFonts w:hint="default" w:ascii="宋体" w:hAnsi="宋体" w:eastAsia="宋体" w:cs="Times New Roman"/>
                <w:color w:val="auto"/>
                <w:kern w:val="0"/>
                <w:sz w:val="18"/>
                <w:szCs w:val="18"/>
                <w:highlight w:val="none"/>
                <w:lang w:val="en-US" w:eastAsia="zh-CN" w:bidi="ar-SA"/>
              </w:rPr>
            </w:pPr>
          </w:p>
        </w:tc>
        <w:tc>
          <w:tcPr>
            <w:tcW w:w="1035" w:type="dxa"/>
            <w:tcBorders>
              <w:top w:val="single" w:color="auto" w:sz="4" w:space="0"/>
              <w:left w:val="nil"/>
              <w:bottom w:val="single" w:color="auto" w:sz="4" w:space="0"/>
              <w:right w:val="single" w:color="auto" w:sz="4" w:space="0"/>
            </w:tcBorders>
            <w:noWrap w:val="0"/>
            <w:vAlign w:val="center"/>
          </w:tcPr>
          <w:p w14:paraId="7D31D0E6">
            <w:pPr>
              <w:keepNext w:val="0"/>
              <w:keepLines w:val="0"/>
              <w:suppressLineNumbers w:val="0"/>
              <w:spacing w:before="0" w:beforeAutospacing="0" w:after="120" w:afterAutospacing="0"/>
              <w:ind w:left="0" w:leftChars="0" w:right="0" w:rightChars="0"/>
              <w:jc w:val="center"/>
              <w:rPr>
                <w:rFonts w:hint="default" w:ascii="宋体" w:hAnsi="宋体" w:eastAsia="宋体" w:cs="Times New Roman"/>
                <w:color w:val="auto"/>
                <w:kern w:val="0"/>
                <w:sz w:val="18"/>
                <w:szCs w:val="18"/>
                <w:highlight w:val="none"/>
                <w:lang w:val="en-US" w:eastAsia="zh-CN" w:bidi="ar-SA"/>
              </w:rPr>
            </w:pPr>
            <w:r>
              <w:rPr>
                <w:rFonts w:hint="eastAsia" w:ascii="宋体" w:hAnsi="宋体"/>
                <w:color w:val="auto"/>
                <w:kern w:val="0"/>
                <w:sz w:val="18"/>
                <w:szCs w:val="18"/>
                <w:highlight w:val="none"/>
              </w:rPr>
              <w:t>—</w:t>
            </w:r>
          </w:p>
        </w:tc>
        <w:tc>
          <w:tcPr>
            <w:tcW w:w="1265" w:type="dxa"/>
            <w:tcBorders>
              <w:top w:val="single" w:color="auto" w:sz="4" w:space="0"/>
              <w:left w:val="nil"/>
              <w:bottom w:val="single" w:color="auto" w:sz="4" w:space="0"/>
              <w:right w:val="single" w:color="auto" w:sz="4" w:space="0"/>
            </w:tcBorders>
            <w:noWrap w:val="0"/>
            <w:vAlign w:val="top"/>
          </w:tcPr>
          <w:p w14:paraId="0B239434">
            <w:pPr>
              <w:keepNext w:val="0"/>
              <w:keepLines w:val="0"/>
              <w:suppressLineNumbers w:val="0"/>
              <w:spacing w:before="0" w:beforeAutospacing="0" w:after="120" w:afterAutospacing="0"/>
              <w:ind w:left="0" w:right="0"/>
              <w:rPr>
                <w:rFonts w:hint="default" w:ascii="宋体" w:hAnsi="宋体"/>
                <w:color w:val="auto"/>
                <w:kern w:val="0"/>
                <w:sz w:val="18"/>
                <w:szCs w:val="18"/>
                <w:highlight w:val="none"/>
              </w:rPr>
            </w:pPr>
          </w:p>
        </w:tc>
      </w:tr>
    </w:tbl>
    <w:p w14:paraId="120BC430">
      <w:pPr>
        <w:pStyle w:val="40"/>
        <w:rPr>
          <w:rFonts w:hint="eastAsia"/>
          <w:color w:val="auto"/>
          <w:highlight w:val="none"/>
        </w:rPr>
        <w:sectPr>
          <w:pgSz w:w="11907" w:h="16840"/>
          <w:pgMar w:top="1440" w:right="1440" w:bottom="1440" w:left="1797" w:header="851" w:footer="851" w:gutter="0"/>
          <w:cols w:space="720" w:num="1"/>
          <w:docGrid w:linePitch="312" w:charSpace="0"/>
        </w:sectPr>
      </w:pPr>
    </w:p>
    <w:p w14:paraId="648D0E64">
      <w:pPr>
        <w:spacing w:before="120" w:beforeLines="50" w:after="120" w:afterLines="50" w:line="440" w:lineRule="exact"/>
        <w:jc w:val="left"/>
        <w:rPr>
          <w:rFonts w:hint="default" w:ascii="仿宋_GB2312" w:eastAsia="仿宋_GB2312" w:cs="仿宋_GB2312"/>
          <w:color w:val="auto"/>
          <w:sz w:val="30"/>
          <w:szCs w:val="30"/>
          <w:highlight w:val="none"/>
          <w:lang w:val="en-US" w:eastAsia="zh-CN"/>
        </w:rPr>
      </w:pPr>
      <w:r>
        <w:rPr>
          <w:rFonts w:hint="eastAsia" w:ascii="仿宋_GB2312" w:eastAsia="仿宋_GB2312" w:cs="仿宋_GB2312"/>
          <w:color w:val="auto"/>
          <w:sz w:val="30"/>
          <w:szCs w:val="30"/>
          <w:highlight w:val="none"/>
          <w:lang w:eastAsia="zh-CN"/>
        </w:rPr>
        <w:t>附件</w:t>
      </w:r>
      <w:r>
        <w:rPr>
          <w:rFonts w:hint="eastAsia" w:ascii="仿宋_GB2312" w:eastAsia="仿宋_GB2312" w:cs="仿宋_GB2312"/>
          <w:color w:val="auto"/>
          <w:sz w:val="30"/>
          <w:szCs w:val="30"/>
          <w:highlight w:val="none"/>
          <w:lang w:val="en-US" w:eastAsia="zh-CN"/>
        </w:rPr>
        <w:t>16：零星签证费用确认单</w:t>
      </w:r>
    </w:p>
    <w:p w14:paraId="63858AA1">
      <w:pPr>
        <w:jc w:val="center"/>
        <w:outlineLvl w:val="1"/>
        <w:rPr>
          <w:b/>
          <w:color w:val="auto"/>
          <w:sz w:val="36"/>
          <w:szCs w:val="36"/>
          <w:highlight w:val="none"/>
        </w:rPr>
      </w:pPr>
      <w:r>
        <w:rPr>
          <w:rFonts w:hint="eastAsia" w:ascii="宋体" w:hAnsi="宋体"/>
          <w:b/>
          <w:color w:val="auto"/>
          <w:sz w:val="36"/>
          <w:szCs w:val="36"/>
          <w:highlight w:val="none"/>
          <w:lang w:eastAsia="zh-CN"/>
        </w:rPr>
        <w:t>零星签证费用确认单</w:t>
      </w:r>
    </w:p>
    <w:p w14:paraId="2DEF2EAD">
      <w:pPr>
        <w:spacing w:line="360" w:lineRule="auto"/>
        <w:ind w:firstLine="420" w:firstLineChars="200"/>
        <w:rPr>
          <w:rFonts w:hint="eastAsia" w:ascii="宋体" w:hAnsi="宋体"/>
          <w:color w:val="auto"/>
          <w:sz w:val="21"/>
          <w:szCs w:val="21"/>
          <w:highlight w:val="none"/>
        </w:rPr>
      </w:pPr>
    </w:p>
    <w:p w14:paraId="0612F637">
      <w:pPr>
        <w:spacing w:line="360" w:lineRule="auto"/>
        <w:ind w:firstLine="420" w:firstLineChars="200"/>
        <w:rPr>
          <w:color w:val="auto"/>
          <w:sz w:val="21"/>
          <w:szCs w:val="21"/>
          <w:highlight w:val="none"/>
        </w:rPr>
      </w:pPr>
      <w:r>
        <w:rPr>
          <w:rFonts w:hint="eastAsia" w:ascii="宋体" w:hAnsi="宋体"/>
          <w:color w:val="auto"/>
          <w:sz w:val="21"/>
          <w:szCs w:val="21"/>
          <w:highlight w:val="none"/>
        </w:rPr>
        <w:t xml:space="preserve">工程名称：                                             </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rPr>
        <w:t>编号：</w:t>
      </w:r>
    </w:p>
    <w:tbl>
      <w:tblPr>
        <w:tblStyle w:val="4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0"/>
        <w:gridCol w:w="4552"/>
      </w:tblGrid>
      <w:tr w14:paraId="5FC2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9"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688E5C9C">
            <w:pPr>
              <w:keepNext w:val="0"/>
              <w:keepLines w:val="0"/>
              <w:suppressLineNumbers w:val="0"/>
              <w:spacing w:before="0" w:beforeAutospacing="0" w:after="0" w:afterAutospacing="0" w:line="400" w:lineRule="exact"/>
              <w:ind w:left="0" w:right="0"/>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致：</w:t>
            </w:r>
            <w:r>
              <w:rPr>
                <w:rFonts w:hint="default"/>
                <w:color w:val="auto"/>
                <w:highlight w:val="none"/>
                <w:u w:val="single"/>
              </w:rPr>
              <w:t xml:space="preserve">                                      </w:t>
            </w:r>
            <w:r>
              <w:rPr>
                <w:rFonts w:hint="eastAsia" w:ascii="宋体" w:hAnsi="宋体"/>
                <w:color w:val="auto"/>
                <w:highlight w:val="none"/>
                <w:u w:val="single"/>
              </w:rPr>
              <w:t xml:space="preserve">（发包人全称） </w:t>
            </w:r>
          </w:p>
          <w:p w14:paraId="4A89F96D">
            <w:pPr>
              <w:keepNext w:val="0"/>
              <w:keepLines w:val="0"/>
              <w:suppressLineNumbers w:val="0"/>
              <w:spacing w:before="0" w:beforeAutospacing="0" w:after="0" w:afterAutospacing="0" w:line="340" w:lineRule="exact"/>
              <w:ind w:left="1333" w:leftChars="285" w:right="0" w:hanging="735" w:hangingChars="350"/>
              <w:rPr>
                <w:rFonts w:hint="default"/>
                <w:color w:val="auto"/>
                <w:highlight w:val="none"/>
              </w:rPr>
            </w:pPr>
            <w:r>
              <w:rPr>
                <w:rFonts w:hint="eastAsia" w:ascii="宋体" w:hAnsi="宋体"/>
                <w:color w:val="auto"/>
                <w:highlight w:val="none"/>
                <w:lang w:val="en-US" w:eastAsia="zh-CN"/>
              </w:rPr>
              <w:t xml:space="preserve">   年   月   日</w:t>
            </w:r>
            <w:r>
              <w:rPr>
                <w:rFonts w:hint="eastAsia" w:ascii="宋体" w:hAnsi="宋体"/>
                <w:color w:val="auto"/>
                <w:highlight w:val="none"/>
                <w:lang w:eastAsia="zh-CN"/>
              </w:rPr>
              <w:t>，</w:t>
            </w:r>
            <w:r>
              <w:rPr>
                <w:rFonts w:hint="eastAsia" w:ascii="宋体" w:hAnsi="宋体"/>
                <w:color w:val="auto"/>
                <w:highlight w:val="none"/>
              </w:rPr>
              <w:t>由于</w:t>
            </w:r>
            <w:r>
              <w:rPr>
                <w:rFonts w:hint="default"/>
                <w:color w:val="auto"/>
                <w:highlight w:val="none"/>
                <w:u w:val="single"/>
              </w:rPr>
              <w:t xml:space="preserve">                   </w:t>
            </w:r>
            <w:r>
              <w:rPr>
                <w:rFonts w:hint="eastAsia" w:ascii="宋体" w:hAnsi="宋体"/>
                <w:color w:val="auto"/>
                <w:highlight w:val="none"/>
              </w:rPr>
              <w:t>原因</w:t>
            </w:r>
            <w:r>
              <w:rPr>
                <w:rFonts w:hint="eastAsia" w:ascii="宋体" w:hAnsi="宋体"/>
                <w:color w:val="auto"/>
                <w:highlight w:val="none"/>
                <w:lang w:eastAsia="zh-CN"/>
              </w:rPr>
              <w:t>，</w:t>
            </w:r>
            <w:r>
              <w:rPr>
                <w:rFonts w:hint="eastAsia" w:ascii="宋体" w:hAnsi="宋体"/>
                <w:color w:val="auto"/>
                <w:highlight w:val="none"/>
              </w:rPr>
              <w:t>我方</w:t>
            </w:r>
            <w:r>
              <w:rPr>
                <w:rFonts w:hint="eastAsia" w:ascii="宋体" w:hAnsi="宋体"/>
                <w:color w:val="auto"/>
                <w:highlight w:val="none"/>
                <w:lang w:eastAsia="zh-CN"/>
              </w:rPr>
              <w:t>发生零星签证不含税</w:t>
            </w:r>
            <w:r>
              <w:rPr>
                <w:rFonts w:hint="eastAsia" w:ascii="宋体" w:hAnsi="宋体"/>
                <w:color w:val="auto"/>
                <w:highlight w:val="none"/>
              </w:rPr>
              <w:t>金额（大写）</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（小写）</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请予核准。</w:t>
            </w:r>
          </w:p>
          <w:p w14:paraId="6153F3B2">
            <w:pPr>
              <w:keepNext w:val="0"/>
              <w:keepLines w:val="0"/>
              <w:suppressLineNumbers w:val="0"/>
              <w:spacing w:before="0" w:beforeAutospacing="0" w:after="0" w:afterAutospacing="0" w:line="340" w:lineRule="exact"/>
              <w:ind w:left="0" w:right="0"/>
              <w:rPr>
                <w:rFonts w:hint="default"/>
                <w:color w:val="auto"/>
                <w:highlight w:val="none"/>
              </w:rPr>
            </w:pPr>
            <w:r>
              <w:rPr>
                <w:rFonts w:hint="eastAsia" w:ascii="宋体" w:hAnsi="宋体"/>
                <w:color w:val="auto"/>
                <w:highlight w:val="none"/>
              </w:rPr>
              <w:t>附：</w:t>
            </w:r>
            <w:r>
              <w:rPr>
                <w:rFonts w:hint="eastAsia"/>
                <w:color w:val="auto"/>
                <w:highlight w:val="none"/>
              </w:rPr>
              <w:t>1.</w:t>
            </w:r>
            <w:r>
              <w:rPr>
                <w:rFonts w:hint="eastAsia" w:ascii="宋体" w:hAnsi="宋体"/>
                <w:color w:val="auto"/>
                <w:highlight w:val="none"/>
                <w:lang w:eastAsia="zh-CN"/>
              </w:rPr>
              <w:t>零星签证</w:t>
            </w:r>
            <w:r>
              <w:rPr>
                <w:rFonts w:hint="eastAsia" w:ascii="宋体" w:hAnsi="宋体"/>
                <w:color w:val="auto"/>
                <w:highlight w:val="none"/>
              </w:rPr>
              <w:t>的详细</w:t>
            </w:r>
            <w:r>
              <w:rPr>
                <w:rFonts w:hint="eastAsia" w:ascii="宋体" w:hAnsi="宋体"/>
                <w:color w:val="auto"/>
                <w:highlight w:val="none"/>
                <w:lang w:eastAsia="zh-CN"/>
              </w:rPr>
              <w:t>计算清单</w:t>
            </w:r>
            <w:r>
              <w:rPr>
                <w:rFonts w:hint="eastAsia" w:ascii="宋体" w:hAnsi="宋体"/>
                <w:color w:val="auto"/>
                <w:highlight w:val="none"/>
              </w:rPr>
              <w:t>：</w:t>
            </w:r>
          </w:p>
          <w:p w14:paraId="020FCB9C">
            <w:pPr>
              <w:keepNext w:val="0"/>
              <w:keepLines w:val="0"/>
              <w:suppressLineNumbers w:val="0"/>
              <w:spacing w:before="0" w:beforeAutospacing="0" w:after="0" w:afterAutospacing="0" w:line="340" w:lineRule="exact"/>
              <w:ind w:left="0" w:right="0" w:firstLine="435"/>
              <w:rPr>
                <w:rFonts w:hint="default"/>
                <w:color w:val="auto"/>
                <w:highlight w:val="none"/>
              </w:rPr>
            </w:pPr>
            <w:r>
              <w:rPr>
                <w:rFonts w:hint="eastAsia"/>
                <w:color w:val="auto"/>
                <w:highlight w:val="none"/>
                <w:lang w:val="en-US" w:eastAsia="zh-CN"/>
              </w:rPr>
              <w:t>2</w:t>
            </w:r>
            <w:r>
              <w:rPr>
                <w:rFonts w:hint="eastAsia"/>
                <w:color w:val="auto"/>
                <w:highlight w:val="none"/>
              </w:rPr>
              <w:t>.</w:t>
            </w:r>
            <w:r>
              <w:rPr>
                <w:rFonts w:hint="eastAsia" w:ascii="宋体" w:hAnsi="宋体"/>
                <w:color w:val="auto"/>
                <w:highlight w:val="none"/>
              </w:rPr>
              <w:t>证明材料：</w:t>
            </w:r>
          </w:p>
          <w:p w14:paraId="4B07B87F">
            <w:pPr>
              <w:keepNext w:val="0"/>
              <w:keepLines w:val="0"/>
              <w:suppressLineNumbers w:val="0"/>
              <w:spacing w:before="0" w:beforeAutospacing="0" w:after="0" w:afterAutospacing="0" w:line="340" w:lineRule="exact"/>
              <w:ind w:left="0" w:right="0" w:firstLine="435"/>
              <w:rPr>
                <w:rFonts w:hint="default"/>
                <w:color w:val="auto"/>
                <w:highlight w:val="none"/>
              </w:rPr>
            </w:pPr>
          </w:p>
          <w:p w14:paraId="604503DB">
            <w:pPr>
              <w:keepNext w:val="0"/>
              <w:keepLines w:val="0"/>
              <w:suppressLineNumbers w:val="0"/>
              <w:spacing w:before="0" w:beforeAutospacing="0" w:after="0" w:afterAutospacing="0" w:line="340" w:lineRule="exact"/>
              <w:ind w:left="0" w:right="0"/>
              <w:jc w:val="center"/>
              <w:rPr>
                <w:rFonts w:hint="default"/>
                <w:color w:val="auto"/>
                <w:highlight w:val="none"/>
              </w:rPr>
            </w:pPr>
            <w:r>
              <w:rPr>
                <w:rFonts w:hint="default"/>
                <w:color w:val="auto"/>
                <w:highlight w:val="none"/>
              </w:rPr>
              <w:t xml:space="preserve">                                                                                               </w:t>
            </w:r>
            <w:r>
              <w:rPr>
                <w:rFonts w:hint="eastAsia" w:ascii="宋体" w:hAnsi="宋体"/>
                <w:color w:val="auto"/>
                <w:highlight w:val="none"/>
              </w:rPr>
              <w:t>承包人（章）</w:t>
            </w:r>
            <w:r>
              <w:rPr>
                <w:rFonts w:hint="default"/>
                <w:color w:val="auto"/>
                <w:highlight w:val="none"/>
              </w:rPr>
              <w:t xml:space="preserve">            </w:t>
            </w:r>
          </w:p>
          <w:p w14:paraId="47D8151B">
            <w:pPr>
              <w:keepNext w:val="0"/>
              <w:keepLines w:val="0"/>
              <w:suppressLineNumbers w:val="0"/>
              <w:spacing w:before="0" w:beforeAutospacing="0" w:after="0" w:afterAutospacing="0" w:line="340" w:lineRule="exact"/>
              <w:ind w:left="0" w:right="0"/>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造价人员</w:t>
            </w:r>
            <w:r>
              <w:rPr>
                <w:rFonts w:hint="eastAsia"/>
                <w:color w:val="auto"/>
                <w:highlight w:val="none"/>
              </w:rPr>
              <w:t xml:space="preserve">____________ </w:t>
            </w:r>
            <w:r>
              <w:rPr>
                <w:rFonts w:hint="default"/>
                <w:color w:val="auto"/>
                <w:highlight w:val="none"/>
              </w:rPr>
              <w:t xml:space="preserve">  </w:t>
            </w:r>
            <w:r>
              <w:rPr>
                <w:rFonts w:hint="eastAsia" w:ascii="宋体" w:hAnsi="宋体"/>
                <w:color w:val="auto"/>
                <w:highlight w:val="none"/>
              </w:rPr>
              <w:t>承包人代表</w:t>
            </w:r>
            <w:r>
              <w:rPr>
                <w:rFonts w:hint="default"/>
                <w:color w:val="auto"/>
                <w:highlight w:val="none"/>
                <w:u w:val="single"/>
              </w:rPr>
              <w:t xml:space="preserve">              </w:t>
            </w: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p w14:paraId="646C68B4">
            <w:pPr>
              <w:keepNext w:val="0"/>
              <w:keepLines w:val="0"/>
              <w:suppressLineNumbers w:val="0"/>
              <w:spacing w:before="0" w:beforeAutospacing="0" w:after="0" w:afterAutospacing="0" w:line="340" w:lineRule="exact"/>
              <w:ind w:left="0" w:right="0"/>
              <w:rPr>
                <w:rFonts w:hint="default"/>
                <w:color w:val="auto"/>
                <w:highlight w:val="none"/>
                <w:u w:val="single"/>
              </w:rPr>
            </w:pPr>
          </w:p>
        </w:tc>
      </w:tr>
      <w:tr w14:paraId="3AFE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6" w:hRule="atLeast"/>
          <w:jc w:val="center"/>
        </w:trPr>
        <w:tc>
          <w:tcPr>
            <w:tcW w:w="4520" w:type="dxa"/>
            <w:tcBorders>
              <w:top w:val="single" w:color="auto" w:sz="4" w:space="0"/>
              <w:left w:val="single" w:color="auto" w:sz="4" w:space="0"/>
              <w:bottom w:val="single" w:color="auto" w:sz="4" w:space="0"/>
              <w:right w:val="single" w:color="auto" w:sz="4" w:space="0"/>
            </w:tcBorders>
            <w:noWrap w:val="0"/>
            <w:vAlign w:val="top"/>
          </w:tcPr>
          <w:p w14:paraId="48A414E6">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3DA760F0">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根据施工合同条款第</w:t>
            </w:r>
            <w:r>
              <w:rPr>
                <w:rFonts w:hint="default"/>
                <w:color w:val="auto"/>
                <w:highlight w:val="none"/>
                <w:u w:val="single"/>
              </w:rPr>
              <w:t xml:space="preserve">     </w:t>
            </w:r>
            <w:r>
              <w:rPr>
                <w:rFonts w:hint="eastAsia" w:ascii="宋体" w:hAnsi="宋体"/>
                <w:color w:val="auto"/>
                <w:highlight w:val="none"/>
              </w:rPr>
              <w:t>条的约定</w:t>
            </w:r>
            <w:r>
              <w:rPr>
                <w:rFonts w:hint="eastAsia" w:ascii="宋体" w:hAnsi="宋体"/>
                <w:color w:val="auto"/>
                <w:highlight w:val="none"/>
                <w:lang w:eastAsia="zh-CN"/>
              </w:rPr>
              <w:t>，</w:t>
            </w:r>
            <w:r>
              <w:rPr>
                <w:rFonts w:hint="eastAsia" w:ascii="宋体" w:hAnsi="宋体"/>
                <w:color w:val="auto"/>
                <w:highlight w:val="none"/>
              </w:rPr>
              <w:t>你方提出的</w:t>
            </w:r>
            <w:r>
              <w:rPr>
                <w:rFonts w:hint="eastAsia" w:ascii="宋体" w:hAnsi="宋体"/>
                <w:color w:val="auto"/>
                <w:highlight w:val="none"/>
                <w:lang w:eastAsia="zh-CN"/>
              </w:rPr>
              <w:t>零星签证</w:t>
            </w:r>
            <w:r>
              <w:rPr>
                <w:rFonts w:hint="eastAsia" w:ascii="宋体" w:hAnsi="宋体"/>
                <w:color w:val="auto"/>
                <w:highlight w:val="none"/>
              </w:rPr>
              <w:t>申请经复核：</w:t>
            </w:r>
          </w:p>
          <w:p w14:paraId="4B28300A">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□不同意此项</w:t>
            </w:r>
            <w:r>
              <w:rPr>
                <w:rFonts w:hint="eastAsia" w:ascii="宋体" w:hAnsi="宋体"/>
                <w:color w:val="auto"/>
                <w:highlight w:val="none"/>
                <w:lang w:eastAsia="zh-CN"/>
              </w:rPr>
              <w:t>签证，</w:t>
            </w:r>
            <w:r>
              <w:rPr>
                <w:rFonts w:hint="eastAsia" w:ascii="宋体" w:hAnsi="宋体"/>
                <w:color w:val="auto"/>
                <w:highlight w:val="none"/>
              </w:rPr>
              <w:t>具体意见见附件。</w:t>
            </w:r>
          </w:p>
          <w:p w14:paraId="7CE9A7A5">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□同意此项</w:t>
            </w:r>
            <w:r>
              <w:rPr>
                <w:rFonts w:hint="eastAsia" w:ascii="宋体" w:hAnsi="宋体"/>
                <w:color w:val="auto"/>
                <w:highlight w:val="none"/>
                <w:lang w:eastAsia="zh-CN"/>
              </w:rPr>
              <w:t>签证，签证</w:t>
            </w:r>
            <w:r>
              <w:rPr>
                <w:rFonts w:hint="eastAsia" w:ascii="宋体" w:hAnsi="宋体"/>
                <w:color w:val="auto"/>
                <w:highlight w:val="none"/>
              </w:rPr>
              <w:t>金额的计算</w:t>
            </w:r>
            <w:r>
              <w:rPr>
                <w:rFonts w:hint="eastAsia" w:ascii="宋体" w:hAnsi="宋体"/>
                <w:color w:val="auto"/>
                <w:highlight w:val="none"/>
                <w:lang w:eastAsia="zh-CN"/>
              </w:rPr>
              <w:t>，</w:t>
            </w:r>
            <w:r>
              <w:rPr>
                <w:rFonts w:hint="eastAsia" w:ascii="宋体" w:hAnsi="宋体"/>
                <w:color w:val="auto"/>
                <w:highlight w:val="none"/>
              </w:rPr>
              <w:t>由造价工程师复核。</w:t>
            </w:r>
          </w:p>
          <w:p w14:paraId="6AEDA1EB">
            <w:pPr>
              <w:keepNext w:val="0"/>
              <w:keepLines w:val="0"/>
              <w:suppressLineNumbers w:val="0"/>
              <w:spacing w:before="0" w:beforeAutospacing="0" w:after="0" w:afterAutospacing="0" w:line="360" w:lineRule="exact"/>
              <w:ind w:left="0" w:right="0" w:firstLine="435"/>
              <w:rPr>
                <w:rFonts w:hint="default"/>
                <w:color w:val="auto"/>
                <w:highlight w:val="none"/>
              </w:rPr>
            </w:pPr>
          </w:p>
          <w:p w14:paraId="38528F4D">
            <w:pPr>
              <w:keepNext w:val="0"/>
              <w:keepLines w:val="0"/>
              <w:suppressLineNumbers w:val="0"/>
              <w:spacing w:before="0" w:beforeAutospacing="0" w:after="0" w:afterAutospacing="0" w:line="360" w:lineRule="exact"/>
              <w:ind w:left="0" w:right="0" w:firstLine="435"/>
              <w:rPr>
                <w:rFonts w:hint="default"/>
                <w:color w:val="auto"/>
                <w:highlight w:val="none"/>
              </w:rPr>
            </w:pPr>
          </w:p>
          <w:p w14:paraId="207DAA17">
            <w:pPr>
              <w:keepNext w:val="0"/>
              <w:keepLines w:val="0"/>
              <w:suppressLineNumbers w:val="0"/>
              <w:wordWrap w:val="0"/>
              <w:spacing w:before="0" w:beforeAutospacing="0" w:after="0" w:afterAutospacing="0" w:line="360" w:lineRule="exact"/>
              <w:ind w:left="0" w:right="0"/>
              <w:jc w:val="right"/>
              <w:rPr>
                <w:rFonts w:hint="default"/>
                <w:color w:val="auto"/>
                <w:highlight w:val="none"/>
                <w:u w:val="single"/>
              </w:rPr>
            </w:pPr>
            <w:r>
              <w:rPr>
                <w:rFonts w:hint="eastAsia" w:ascii="宋体" w:hAnsi="宋体"/>
                <w:color w:val="auto"/>
                <w:highlight w:val="none"/>
              </w:rPr>
              <w:t>监理工程师</w:t>
            </w:r>
            <w:r>
              <w:rPr>
                <w:rFonts w:hint="default"/>
                <w:color w:val="auto"/>
                <w:highlight w:val="none"/>
              </w:rPr>
              <w:t xml:space="preserve"> </w:t>
            </w:r>
            <w:r>
              <w:rPr>
                <w:rFonts w:hint="default"/>
                <w:color w:val="auto"/>
                <w:highlight w:val="none"/>
                <w:u w:val="single"/>
              </w:rPr>
              <w:t xml:space="preserve">           </w:t>
            </w:r>
          </w:p>
          <w:p w14:paraId="12C941B4">
            <w:pPr>
              <w:keepNext w:val="0"/>
              <w:keepLines w:val="0"/>
              <w:suppressLineNumbers w:val="0"/>
              <w:wordWrap w:val="0"/>
              <w:spacing w:before="0" w:beforeAutospacing="0" w:after="0" w:afterAutospacing="0" w:line="360" w:lineRule="exact"/>
              <w:ind w:left="0" w:right="0"/>
              <w:jc w:val="right"/>
              <w:rPr>
                <w:rFonts w:hint="default"/>
                <w:color w:val="auto"/>
                <w:highlight w:val="none"/>
                <w:u w:val="single"/>
              </w:rPr>
            </w:pP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rPr>
              <w:t xml:space="preserve"> </w:t>
            </w:r>
            <w:r>
              <w:rPr>
                <w:rFonts w:hint="default"/>
                <w:color w:val="auto"/>
                <w:highlight w:val="none"/>
                <w:u w:val="single"/>
              </w:rPr>
              <w:t xml:space="preserve">           </w:t>
            </w:r>
          </w:p>
        </w:tc>
        <w:tc>
          <w:tcPr>
            <w:tcW w:w="4552" w:type="dxa"/>
            <w:tcBorders>
              <w:top w:val="single" w:color="auto" w:sz="4" w:space="0"/>
              <w:left w:val="single" w:color="auto" w:sz="4" w:space="0"/>
              <w:bottom w:val="single" w:color="auto" w:sz="4" w:space="0"/>
              <w:right w:val="single" w:color="auto" w:sz="4" w:space="0"/>
            </w:tcBorders>
            <w:noWrap w:val="0"/>
            <w:vAlign w:val="top"/>
          </w:tcPr>
          <w:p w14:paraId="2B1473CD">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6D205E17">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根据施工合同条款第</w:t>
            </w:r>
            <w:r>
              <w:rPr>
                <w:rFonts w:hint="default"/>
                <w:color w:val="auto"/>
                <w:highlight w:val="none"/>
                <w:u w:val="single"/>
              </w:rPr>
              <w:t xml:space="preserve">     </w:t>
            </w:r>
            <w:r>
              <w:rPr>
                <w:rFonts w:hint="eastAsia" w:ascii="宋体" w:hAnsi="宋体"/>
                <w:color w:val="auto"/>
                <w:highlight w:val="none"/>
              </w:rPr>
              <w:t>条的约定</w:t>
            </w:r>
            <w:r>
              <w:rPr>
                <w:rFonts w:hint="eastAsia" w:ascii="宋体" w:hAnsi="宋体"/>
                <w:color w:val="auto"/>
                <w:highlight w:val="none"/>
                <w:lang w:eastAsia="zh-CN"/>
              </w:rPr>
              <w:t>，</w:t>
            </w:r>
            <w:r>
              <w:rPr>
                <w:rFonts w:hint="eastAsia" w:ascii="宋体" w:hAnsi="宋体"/>
                <w:color w:val="auto"/>
                <w:highlight w:val="none"/>
              </w:rPr>
              <w:t>你方提出的</w:t>
            </w:r>
            <w:r>
              <w:rPr>
                <w:rFonts w:hint="eastAsia" w:ascii="宋体" w:hAnsi="宋体"/>
                <w:color w:val="auto"/>
                <w:highlight w:val="none"/>
                <w:lang w:eastAsia="zh-CN"/>
              </w:rPr>
              <w:t>零星签证</w:t>
            </w:r>
            <w:r>
              <w:rPr>
                <w:rFonts w:hint="eastAsia" w:ascii="宋体" w:hAnsi="宋体"/>
                <w:color w:val="auto"/>
                <w:highlight w:val="none"/>
              </w:rPr>
              <w:t>申请经复核</w:t>
            </w:r>
            <w:r>
              <w:rPr>
                <w:rFonts w:hint="eastAsia" w:ascii="宋体" w:hAnsi="宋体"/>
                <w:color w:val="auto"/>
                <w:highlight w:val="none"/>
                <w:lang w:eastAsia="zh-CN"/>
              </w:rPr>
              <w:t>，签证不含税</w:t>
            </w:r>
            <w:r>
              <w:rPr>
                <w:rFonts w:hint="eastAsia" w:ascii="宋体" w:hAnsi="宋体"/>
                <w:color w:val="auto"/>
                <w:highlight w:val="none"/>
              </w:rPr>
              <w:t>金额为</w:t>
            </w:r>
          </w:p>
          <w:p w14:paraId="4973FA57">
            <w:pPr>
              <w:keepNext w:val="0"/>
              <w:keepLines w:val="0"/>
              <w:suppressLineNumbers w:val="0"/>
              <w:spacing w:before="0" w:beforeAutospacing="0" w:after="0" w:afterAutospacing="0" w:line="360" w:lineRule="exact"/>
              <w:ind w:left="0" w:right="0"/>
              <w:rPr>
                <w:rFonts w:hint="default"/>
                <w:color w:val="auto"/>
                <w:highlight w:val="none"/>
                <w:u w:val="single"/>
              </w:rPr>
            </w:pPr>
            <w:r>
              <w:rPr>
                <w:rFonts w:hint="eastAsia" w:ascii="宋体" w:hAnsi="宋体"/>
                <w:color w:val="auto"/>
                <w:highlight w:val="none"/>
              </w:rPr>
              <w:t>（大写）</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（小写）</w:t>
            </w:r>
            <w:r>
              <w:rPr>
                <w:rFonts w:hint="default"/>
                <w:color w:val="auto"/>
                <w:highlight w:val="none"/>
                <w:u w:val="single"/>
              </w:rPr>
              <w:t xml:space="preserve">            </w:t>
            </w:r>
            <w:r>
              <w:rPr>
                <w:rFonts w:hint="eastAsia" w:ascii="宋体" w:hAnsi="宋体"/>
                <w:color w:val="auto"/>
                <w:highlight w:val="none"/>
              </w:rPr>
              <w:t>元。</w:t>
            </w:r>
          </w:p>
          <w:p w14:paraId="3A3B1B4A">
            <w:pPr>
              <w:keepNext w:val="0"/>
              <w:keepLines w:val="0"/>
              <w:suppressLineNumbers w:val="0"/>
              <w:spacing w:before="0" w:beforeAutospacing="0" w:after="0" w:afterAutospacing="0" w:line="360" w:lineRule="exact"/>
              <w:ind w:left="0" w:right="0" w:firstLine="435"/>
              <w:jc w:val="right"/>
              <w:rPr>
                <w:rFonts w:hint="default"/>
                <w:color w:val="auto"/>
                <w:highlight w:val="none"/>
              </w:rPr>
            </w:pPr>
          </w:p>
          <w:p w14:paraId="78283316">
            <w:pPr>
              <w:keepNext w:val="0"/>
              <w:keepLines w:val="0"/>
              <w:suppressLineNumbers w:val="0"/>
              <w:spacing w:before="0" w:beforeAutospacing="0" w:after="0" w:afterAutospacing="0" w:line="360" w:lineRule="exact"/>
              <w:ind w:left="0" w:right="0" w:firstLine="435"/>
              <w:jc w:val="center"/>
              <w:rPr>
                <w:rFonts w:hint="default"/>
                <w:color w:val="auto"/>
                <w:highlight w:val="none"/>
              </w:rPr>
            </w:pPr>
            <w:r>
              <w:rPr>
                <w:rFonts w:hint="default"/>
                <w:color w:val="auto"/>
                <w:highlight w:val="none"/>
              </w:rPr>
              <w:t xml:space="preserve">                                 </w:t>
            </w:r>
          </w:p>
          <w:p w14:paraId="2FEE3BBE">
            <w:pPr>
              <w:keepNext w:val="0"/>
              <w:keepLines w:val="0"/>
              <w:suppressLineNumbers w:val="0"/>
              <w:spacing w:before="0" w:beforeAutospacing="0" w:after="0" w:afterAutospacing="0" w:line="360" w:lineRule="exact"/>
              <w:ind w:left="0" w:right="0" w:firstLine="435"/>
              <w:jc w:val="center"/>
              <w:rPr>
                <w:rFonts w:hint="default"/>
                <w:color w:val="auto"/>
                <w:highlight w:val="none"/>
              </w:rPr>
            </w:pPr>
          </w:p>
          <w:p w14:paraId="0EC2B47D">
            <w:pPr>
              <w:keepNext w:val="0"/>
              <w:keepLines w:val="0"/>
              <w:suppressLineNumbers w:val="0"/>
              <w:spacing w:before="0" w:beforeAutospacing="0" w:after="0" w:afterAutospacing="0" w:line="360" w:lineRule="exact"/>
              <w:ind w:left="0" w:right="0" w:firstLine="435"/>
              <w:jc w:val="center"/>
              <w:rPr>
                <w:rFonts w:hint="default"/>
                <w:color w:val="auto"/>
                <w:highlight w:val="none"/>
              </w:rPr>
            </w:pPr>
          </w:p>
          <w:p w14:paraId="1959A737">
            <w:pPr>
              <w:keepNext w:val="0"/>
              <w:keepLines w:val="0"/>
              <w:suppressLineNumbers w:val="0"/>
              <w:spacing w:before="0" w:beforeAutospacing="0" w:after="0" w:afterAutospacing="0" w:line="360" w:lineRule="exact"/>
              <w:ind w:left="0" w:right="0" w:firstLine="435"/>
              <w:jc w:val="center"/>
              <w:rPr>
                <w:rFonts w:hint="default"/>
                <w:color w:val="auto"/>
                <w:highlight w:val="none"/>
              </w:rPr>
            </w:pPr>
            <w:r>
              <w:rPr>
                <w:rFonts w:hint="eastAsia" w:ascii="宋体" w:hAnsi="宋体"/>
                <w:color w:val="auto"/>
                <w:highlight w:val="none"/>
              </w:rPr>
              <w:t>造价工程师</w:t>
            </w:r>
            <w:r>
              <w:rPr>
                <w:rFonts w:hint="default"/>
                <w:color w:val="auto"/>
                <w:highlight w:val="none"/>
                <w:u w:val="single"/>
              </w:rPr>
              <w:t xml:space="preserve">           </w:t>
            </w:r>
            <w:r>
              <w:rPr>
                <w:rFonts w:hint="default"/>
                <w:color w:val="auto"/>
                <w:highlight w:val="none"/>
              </w:rPr>
              <w:t xml:space="preserve">                               </w:t>
            </w:r>
          </w:p>
          <w:p w14:paraId="452FE21D">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r w14:paraId="68FB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1"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4D2BFB78">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审核意见：</w:t>
            </w:r>
          </w:p>
          <w:p w14:paraId="0141007F">
            <w:pPr>
              <w:keepNext w:val="0"/>
              <w:keepLines w:val="0"/>
              <w:suppressLineNumbers w:val="0"/>
              <w:spacing w:before="0" w:beforeAutospacing="0" w:after="0" w:afterAutospacing="0" w:line="340" w:lineRule="exact"/>
              <w:ind w:left="0" w:right="0" w:firstLine="435"/>
              <w:rPr>
                <w:rFonts w:hint="default"/>
                <w:color w:val="auto"/>
                <w:highlight w:val="none"/>
              </w:rPr>
            </w:pPr>
            <w:r>
              <w:rPr>
                <w:rFonts w:hint="eastAsia" w:ascii="宋体" w:hAnsi="宋体"/>
                <w:color w:val="auto"/>
                <w:highlight w:val="none"/>
              </w:rPr>
              <w:t>□不同意此项</w:t>
            </w:r>
            <w:r>
              <w:rPr>
                <w:rFonts w:hint="eastAsia" w:ascii="宋体" w:hAnsi="宋体"/>
                <w:color w:val="auto"/>
                <w:highlight w:val="none"/>
                <w:lang w:eastAsia="zh-CN"/>
              </w:rPr>
              <w:t>签证</w:t>
            </w:r>
            <w:r>
              <w:rPr>
                <w:rFonts w:hint="eastAsia" w:ascii="宋体" w:hAnsi="宋体"/>
                <w:color w:val="auto"/>
                <w:highlight w:val="none"/>
              </w:rPr>
              <w:t>。</w:t>
            </w:r>
          </w:p>
          <w:p w14:paraId="6070F344">
            <w:pPr>
              <w:keepNext w:val="0"/>
              <w:keepLines w:val="0"/>
              <w:suppressLineNumbers w:val="0"/>
              <w:spacing w:before="0" w:beforeAutospacing="0" w:after="0" w:afterAutospacing="0" w:line="340" w:lineRule="exact"/>
              <w:ind w:left="0" w:right="0" w:firstLine="420" w:firstLineChars="200"/>
              <w:rPr>
                <w:rFonts w:hint="default"/>
                <w:color w:val="auto"/>
                <w:highlight w:val="none"/>
              </w:rPr>
            </w:pPr>
            <w:r>
              <w:rPr>
                <w:rFonts w:hint="eastAsia" w:ascii="宋体" w:hAnsi="宋体"/>
                <w:color w:val="auto"/>
                <w:highlight w:val="none"/>
              </w:rPr>
              <w:t>□同意此项</w:t>
            </w:r>
            <w:r>
              <w:rPr>
                <w:rFonts w:hint="eastAsia" w:ascii="宋体" w:hAnsi="宋体"/>
                <w:color w:val="auto"/>
                <w:highlight w:val="none"/>
                <w:lang w:eastAsia="zh-CN"/>
              </w:rPr>
              <w:t>签证，</w:t>
            </w:r>
            <w:r>
              <w:rPr>
                <w:rFonts w:hint="eastAsia" w:ascii="宋体" w:hAnsi="宋体"/>
                <w:color w:val="auto"/>
                <w:highlight w:val="none"/>
              </w:rPr>
              <w:t>与本期进度款同期支付。</w:t>
            </w:r>
          </w:p>
          <w:p w14:paraId="1D1E58FE">
            <w:pPr>
              <w:keepNext w:val="0"/>
              <w:keepLines w:val="0"/>
              <w:suppressLineNumbers w:val="0"/>
              <w:spacing w:before="0" w:beforeAutospacing="0" w:after="0" w:afterAutospacing="0"/>
              <w:ind w:left="0" w:right="0"/>
              <w:rPr>
                <w:rFonts w:hint="default"/>
                <w:color w:val="auto"/>
                <w:highlight w:val="none"/>
              </w:rPr>
            </w:pPr>
          </w:p>
          <w:p w14:paraId="0778DBF7">
            <w:pPr>
              <w:keepNext w:val="0"/>
              <w:keepLines w:val="0"/>
              <w:suppressLineNumbers w:val="0"/>
              <w:spacing w:before="0" w:beforeAutospacing="0" w:after="0" w:afterAutospacing="0" w:line="340" w:lineRule="exact"/>
              <w:ind w:left="0" w:right="0" w:firstLine="0" w:firstLineChars="0"/>
              <w:jc w:val="both"/>
              <w:rPr>
                <w:rFonts w:hint="default"/>
                <w:color w:val="auto"/>
                <w:highlight w:val="none"/>
              </w:rPr>
            </w:pPr>
          </w:p>
          <w:p w14:paraId="33884C2E">
            <w:pPr>
              <w:keepNext w:val="0"/>
              <w:keepLines w:val="0"/>
              <w:suppressLineNumbers w:val="0"/>
              <w:spacing w:before="0" w:beforeAutospacing="0" w:after="0" w:afterAutospacing="0" w:line="340" w:lineRule="exact"/>
              <w:ind w:left="0" w:right="0" w:firstLine="420" w:firstLineChars="200"/>
              <w:jc w:val="center"/>
              <w:rPr>
                <w:rFonts w:hint="default"/>
                <w:color w:val="auto"/>
                <w:highlight w:val="none"/>
              </w:rPr>
            </w:pPr>
          </w:p>
          <w:p w14:paraId="6991369A">
            <w:pPr>
              <w:keepNext w:val="0"/>
              <w:keepLines w:val="0"/>
              <w:suppressLineNumbers w:val="0"/>
              <w:spacing w:before="0" w:beforeAutospacing="0" w:after="0" w:afterLines="50" w:afterAutospacing="0" w:line="340" w:lineRule="exact"/>
              <w:ind w:left="0" w:right="0" w:firstLine="420" w:firstLineChars="200"/>
              <w:jc w:val="center"/>
              <w:rPr>
                <w:rFonts w:hint="default"/>
                <w:color w:val="auto"/>
                <w:highlight w:val="none"/>
                <w:u w:val="single"/>
              </w:rPr>
            </w:pPr>
            <w:r>
              <w:rPr>
                <w:rFonts w:hint="eastAsia" w:ascii="宋体" w:hAnsi="宋体"/>
                <w:color w:val="auto"/>
                <w:highlight w:val="none"/>
              </w:rPr>
              <w:t xml:space="preserve">发包人（章） </w:t>
            </w:r>
            <w:r>
              <w:rPr>
                <w:rFonts w:hint="default"/>
                <w:color w:val="auto"/>
                <w:highlight w:val="none"/>
              </w:rPr>
              <w:t xml:space="preserve">                                                                                                     </w:t>
            </w:r>
            <w:r>
              <w:rPr>
                <w:rFonts w:hint="eastAsia" w:ascii="宋体" w:hAnsi="宋体"/>
                <w:color w:val="auto"/>
                <w:highlight w:val="none"/>
              </w:rPr>
              <w:t>发包人代表</w:t>
            </w:r>
            <w:r>
              <w:rPr>
                <w:rFonts w:hint="default"/>
                <w:color w:val="auto"/>
                <w:highlight w:val="none"/>
                <w:u w:val="single"/>
              </w:rPr>
              <w:t xml:space="preserve">             </w:t>
            </w: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bl>
    <w:p w14:paraId="7B08BE3F">
      <w:pPr>
        <w:ind w:firstLine="360" w:firstLineChars="200"/>
        <w:rPr>
          <w:color w:val="auto"/>
          <w:sz w:val="18"/>
          <w:szCs w:val="18"/>
          <w:highlight w:val="none"/>
        </w:rPr>
      </w:pPr>
      <w:r>
        <w:rPr>
          <w:rFonts w:hint="eastAsia" w:ascii="宋体" w:hAnsi="宋体"/>
          <w:color w:val="auto"/>
          <w:sz w:val="18"/>
          <w:szCs w:val="18"/>
          <w:highlight w:val="none"/>
        </w:rPr>
        <w:t>注：</w:t>
      </w:r>
      <w:r>
        <w:rPr>
          <w:rFonts w:hint="eastAsia"/>
          <w:color w:val="auto"/>
          <w:sz w:val="18"/>
          <w:szCs w:val="18"/>
          <w:highlight w:val="none"/>
        </w:rPr>
        <w:t xml:space="preserve">1. </w:t>
      </w:r>
      <w:r>
        <w:rPr>
          <w:rFonts w:hint="eastAsia" w:ascii="宋体" w:hAnsi="宋体"/>
          <w:color w:val="auto"/>
          <w:sz w:val="18"/>
          <w:szCs w:val="18"/>
          <w:highlight w:val="none"/>
        </w:rPr>
        <w:t>在选择栏中的</w:t>
      </w:r>
      <w:r>
        <w:rPr>
          <w:rFonts w:hint="eastAsia" w:ascii="宋体" w:hAnsi="宋体"/>
          <w:color w:val="auto"/>
          <w:sz w:val="18"/>
          <w:szCs w:val="18"/>
          <w:highlight w:val="none"/>
          <w:lang w:eastAsia="zh-CN"/>
        </w:rPr>
        <w:t>“</w:t>
      </w:r>
      <w:r>
        <w:rPr>
          <w:rFonts w:hint="eastAsia" w:ascii="宋体" w:hAnsi="宋体"/>
          <w:color w:val="auto"/>
          <w:sz w:val="18"/>
          <w:szCs w:val="18"/>
          <w:highlight w:val="none"/>
        </w:rPr>
        <w:t>□</w:t>
      </w:r>
      <w:r>
        <w:rPr>
          <w:rFonts w:hint="eastAsia" w:ascii="宋体" w:hAnsi="宋体"/>
          <w:color w:val="auto"/>
          <w:sz w:val="18"/>
          <w:szCs w:val="18"/>
          <w:highlight w:val="none"/>
          <w:lang w:eastAsia="zh-CN"/>
        </w:rPr>
        <w:t>”</w:t>
      </w:r>
      <w:r>
        <w:rPr>
          <w:rFonts w:hint="eastAsia" w:ascii="宋体" w:hAnsi="宋体"/>
          <w:color w:val="auto"/>
          <w:sz w:val="18"/>
          <w:szCs w:val="18"/>
          <w:highlight w:val="none"/>
        </w:rPr>
        <w:t>内作标识</w:t>
      </w:r>
      <w:r>
        <w:rPr>
          <w:rFonts w:hint="eastAsia" w:ascii="宋体" w:hAnsi="宋体"/>
          <w:color w:val="auto"/>
          <w:sz w:val="18"/>
          <w:szCs w:val="18"/>
          <w:highlight w:val="none"/>
          <w:lang w:eastAsia="zh-CN"/>
        </w:rPr>
        <w:t>“</w:t>
      </w:r>
      <w:r>
        <w:rPr>
          <w:rFonts w:hint="eastAsia" w:ascii="宋体" w:hAnsi="宋体"/>
          <w:color w:val="auto"/>
          <w:sz w:val="18"/>
          <w:szCs w:val="18"/>
          <w:highlight w:val="none"/>
        </w:rPr>
        <w:t>√</w:t>
      </w:r>
      <w:r>
        <w:rPr>
          <w:rFonts w:hint="eastAsia" w:ascii="宋体" w:hAnsi="宋体"/>
          <w:color w:val="auto"/>
          <w:sz w:val="18"/>
          <w:szCs w:val="18"/>
          <w:highlight w:val="none"/>
          <w:lang w:eastAsia="zh-CN"/>
        </w:rPr>
        <w:t>”</w:t>
      </w:r>
      <w:r>
        <w:rPr>
          <w:rFonts w:hint="eastAsia" w:ascii="宋体" w:hAnsi="宋体"/>
          <w:color w:val="auto"/>
          <w:sz w:val="18"/>
          <w:szCs w:val="18"/>
          <w:highlight w:val="none"/>
        </w:rPr>
        <w:t xml:space="preserve">。 </w:t>
      </w:r>
    </w:p>
    <w:p w14:paraId="78079895">
      <w:pPr>
        <w:numPr>
          <w:ilvl w:val="0"/>
          <w:numId w:val="6"/>
        </w:numPr>
        <w:ind w:left="720"/>
        <w:rPr>
          <w:rFonts w:hint="eastAsia" w:ascii="宋体" w:hAnsi="宋体"/>
          <w:color w:val="auto"/>
          <w:sz w:val="18"/>
          <w:szCs w:val="18"/>
          <w:highlight w:val="none"/>
        </w:rPr>
      </w:pPr>
      <w:r>
        <w:rPr>
          <w:rFonts w:hint="eastAsia" w:ascii="宋体" w:hAnsi="宋体"/>
          <w:color w:val="auto"/>
          <w:sz w:val="18"/>
          <w:szCs w:val="18"/>
          <w:highlight w:val="none"/>
        </w:rPr>
        <w:t>本表一式四份</w:t>
      </w:r>
      <w:r>
        <w:rPr>
          <w:rFonts w:hint="eastAsia" w:ascii="宋体" w:hAnsi="宋体"/>
          <w:color w:val="auto"/>
          <w:sz w:val="18"/>
          <w:szCs w:val="18"/>
          <w:highlight w:val="none"/>
          <w:lang w:eastAsia="zh-CN"/>
        </w:rPr>
        <w:t>，</w:t>
      </w:r>
      <w:r>
        <w:rPr>
          <w:rFonts w:hint="eastAsia" w:ascii="宋体" w:hAnsi="宋体"/>
          <w:color w:val="auto"/>
          <w:sz w:val="18"/>
          <w:szCs w:val="18"/>
          <w:highlight w:val="none"/>
        </w:rPr>
        <w:t>由承包人填报</w:t>
      </w:r>
      <w:r>
        <w:rPr>
          <w:rFonts w:hint="eastAsia" w:ascii="宋体" w:hAnsi="宋体"/>
          <w:color w:val="auto"/>
          <w:sz w:val="18"/>
          <w:szCs w:val="18"/>
          <w:highlight w:val="none"/>
          <w:lang w:eastAsia="zh-CN"/>
        </w:rPr>
        <w:t>，</w:t>
      </w:r>
      <w:r>
        <w:rPr>
          <w:rFonts w:hint="eastAsia" w:ascii="宋体" w:hAnsi="宋体"/>
          <w:color w:val="auto"/>
          <w:sz w:val="18"/>
          <w:szCs w:val="18"/>
          <w:highlight w:val="none"/>
        </w:rPr>
        <w:t>发包人、监理人、造价咨询人、承包人各存一份。</w:t>
      </w:r>
    </w:p>
    <w:p w14:paraId="3B4FAA90">
      <w:pPr>
        <w:pStyle w:val="40"/>
        <w:ind w:leftChars="0" w:firstLine="0" w:firstLineChars="0"/>
        <w:rPr>
          <w:rFonts w:hint="eastAsia"/>
          <w:color w:val="auto"/>
          <w:highlight w:val="none"/>
        </w:rPr>
      </w:pPr>
    </w:p>
    <w:p w14:paraId="04AB115A">
      <w:pPr>
        <w:wordWrap w:val="0"/>
        <w:jc w:val="left"/>
        <w:outlineLvl w:val="1"/>
        <w:rPr>
          <w:rFonts w:hint="eastAsia" w:ascii="宋体" w:hAnsi="宋体"/>
          <w:b/>
          <w:color w:val="auto"/>
          <w:sz w:val="30"/>
          <w:szCs w:val="30"/>
          <w:highlight w:val="none"/>
          <w:lang w:val="en" w:eastAsia="zh-CN"/>
        </w:rPr>
      </w:pPr>
    </w:p>
    <w:p w14:paraId="2B6E7C23">
      <w:pPr>
        <w:wordWrap/>
        <w:spacing w:before="120" w:beforeLines="50" w:after="120" w:afterLines="50" w:line="440" w:lineRule="exact"/>
        <w:jc w:val="left"/>
        <w:outlineLvl w:val="9"/>
        <w:rPr>
          <w:rFonts w:hint="eastAsia" w:ascii="仿宋_GB2312" w:hAnsi="Times New Roman" w:eastAsia="仿宋_GB2312" w:cs="仿宋_GB2312"/>
          <w:b w:val="0"/>
          <w:color w:val="auto"/>
          <w:sz w:val="30"/>
          <w:szCs w:val="30"/>
          <w:highlight w:val="none"/>
          <w:lang w:val="en-US" w:eastAsia="zh-CN"/>
        </w:rPr>
      </w:pPr>
      <w:r>
        <w:rPr>
          <w:rFonts w:hint="eastAsia" w:ascii="仿宋_GB2312" w:hAnsi="Times New Roman" w:eastAsia="仿宋_GB2312" w:cs="仿宋_GB2312"/>
          <w:b w:val="0"/>
          <w:color w:val="auto"/>
          <w:sz w:val="30"/>
          <w:szCs w:val="30"/>
          <w:highlight w:val="none"/>
          <w:lang w:val="en-US" w:eastAsia="zh-CN"/>
        </w:rPr>
        <w:t>附件17：</w:t>
      </w:r>
      <w:r>
        <w:rPr>
          <w:rFonts w:hint="eastAsia" w:ascii="仿宋_GB2312" w:hAnsi="Times New Roman" w:eastAsia="仿宋_GB2312" w:cs="仿宋_GB2312"/>
          <w:b w:val="0"/>
          <w:color w:val="auto"/>
          <w:sz w:val="30"/>
          <w:szCs w:val="30"/>
          <w:highlight w:val="none"/>
          <w:lang w:val="en-US"/>
        </w:rPr>
        <w:t>索赔费用申请（核准）表</w:t>
      </w:r>
    </w:p>
    <w:p w14:paraId="7A90C249">
      <w:pPr>
        <w:jc w:val="center"/>
        <w:outlineLvl w:val="9"/>
        <w:rPr>
          <w:b/>
          <w:color w:val="auto"/>
          <w:sz w:val="36"/>
          <w:szCs w:val="36"/>
          <w:highlight w:val="none"/>
        </w:rPr>
      </w:pPr>
      <w:r>
        <w:rPr>
          <w:rFonts w:hint="eastAsia" w:ascii="宋体" w:hAnsi="宋体"/>
          <w:b/>
          <w:color w:val="auto"/>
          <w:sz w:val="36"/>
          <w:szCs w:val="36"/>
          <w:highlight w:val="none"/>
        </w:rPr>
        <w:t>索赔费用申请（核准）表</w:t>
      </w:r>
    </w:p>
    <w:p w14:paraId="3CDF3AA5">
      <w:pPr>
        <w:spacing w:line="360" w:lineRule="auto"/>
        <w:ind w:firstLine="420" w:firstLineChars="200"/>
        <w:rPr>
          <w:rFonts w:hint="eastAsia" w:ascii="宋体" w:hAnsi="宋体"/>
          <w:color w:val="auto"/>
          <w:sz w:val="21"/>
          <w:szCs w:val="21"/>
          <w:highlight w:val="none"/>
        </w:rPr>
      </w:pPr>
    </w:p>
    <w:p w14:paraId="1BAA1713">
      <w:pPr>
        <w:spacing w:line="360" w:lineRule="auto"/>
        <w:ind w:firstLine="420" w:firstLineChars="200"/>
        <w:rPr>
          <w:color w:val="auto"/>
          <w:sz w:val="21"/>
          <w:szCs w:val="21"/>
          <w:highlight w:val="none"/>
        </w:rPr>
      </w:pPr>
      <w:r>
        <w:rPr>
          <w:rFonts w:hint="eastAsia" w:ascii="宋体" w:hAnsi="宋体"/>
          <w:color w:val="auto"/>
          <w:sz w:val="21"/>
          <w:szCs w:val="21"/>
          <w:highlight w:val="none"/>
        </w:rPr>
        <w:t xml:space="preserve">工程名称：                                    </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rPr>
        <w:t xml:space="preserve">         编号：</w:t>
      </w:r>
    </w:p>
    <w:tbl>
      <w:tblPr>
        <w:tblStyle w:val="4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0"/>
        <w:gridCol w:w="4552"/>
      </w:tblGrid>
      <w:tr w14:paraId="7572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9"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4C477BA1">
            <w:pPr>
              <w:keepNext w:val="0"/>
              <w:keepLines w:val="0"/>
              <w:suppressLineNumbers w:val="0"/>
              <w:spacing w:before="0" w:beforeAutospacing="0" w:after="0" w:afterAutospacing="0" w:line="400" w:lineRule="exact"/>
              <w:ind w:left="0" w:right="0"/>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致：</w:t>
            </w:r>
            <w:r>
              <w:rPr>
                <w:rFonts w:hint="default"/>
                <w:color w:val="auto"/>
                <w:highlight w:val="none"/>
                <w:u w:val="single"/>
              </w:rPr>
              <w:t xml:space="preserve">                                      </w:t>
            </w:r>
            <w:r>
              <w:rPr>
                <w:rFonts w:hint="eastAsia" w:ascii="宋体" w:hAnsi="宋体"/>
                <w:color w:val="auto"/>
                <w:highlight w:val="none"/>
                <w:u w:val="single"/>
              </w:rPr>
              <w:t xml:space="preserve">（发包人全称） </w:t>
            </w:r>
          </w:p>
          <w:p w14:paraId="3778AB04">
            <w:pPr>
              <w:keepNext w:val="0"/>
              <w:keepLines w:val="0"/>
              <w:suppressLineNumbers w:val="0"/>
              <w:spacing w:before="0" w:beforeAutospacing="0" w:after="0" w:afterAutospacing="0" w:line="340" w:lineRule="exact"/>
              <w:ind w:left="0" w:right="0" w:firstLine="525" w:firstLineChars="250"/>
              <w:rPr>
                <w:rFonts w:hint="default"/>
                <w:color w:val="auto"/>
                <w:highlight w:val="none"/>
              </w:rPr>
            </w:pPr>
            <w:r>
              <w:rPr>
                <w:rFonts w:hint="eastAsia" w:ascii="宋体" w:hAnsi="宋体"/>
                <w:color w:val="auto"/>
                <w:highlight w:val="none"/>
              </w:rPr>
              <w:t>根据施工合同条款第</w:t>
            </w:r>
            <w:r>
              <w:rPr>
                <w:rFonts w:hint="default"/>
                <w:color w:val="auto"/>
                <w:highlight w:val="none"/>
                <w:u w:val="single"/>
              </w:rPr>
              <w:t xml:space="preserve">         </w:t>
            </w:r>
            <w:r>
              <w:rPr>
                <w:rFonts w:hint="eastAsia" w:ascii="宋体" w:hAnsi="宋体"/>
                <w:color w:val="auto"/>
                <w:highlight w:val="none"/>
              </w:rPr>
              <w:t>条的约定</w:t>
            </w:r>
            <w:r>
              <w:rPr>
                <w:rFonts w:hint="eastAsia" w:ascii="宋体" w:hAnsi="宋体"/>
                <w:color w:val="auto"/>
                <w:highlight w:val="none"/>
                <w:lang w:eastAsia="zh-CN"/>
              </w:rPr>
              <w:t>，</w:t>
            </w:r>
            <w:r>
              <w:rPr>
                <w:rFonts w:hint="eastAsia" w:ascii="宋体" w:hAnsi="宋体"/>
                <w:color w:val="auto"/>
                <w:highlight w:val="none"/>
              </w:rPr>
              <w:t>由于</w:t>
            </w:r>
            <w:r>
              <w:rPr>
                <w:rFonts w:hint="default"/>
                <w:color w:val="auto"/>
                <w:highlight w:val="none"/>
                <w:u w:val="single"/>
              </w:rPr>
              <w:t xml:space="preserve">                   </w:t>
            </w:r>
            <w:r>
              <w:rPr>
                <w:rFonts w:hint="eastAsia" w:ascii="宋体" w:hAnsi="宋体"/>
                <w:color w:val="auto"/>
                <w:highlight w:val="none"/>
              </w:rPr>
              <w:t>原因</w:t>
            </w:r>
            <w:r>
              <w:rPr>
                <w:rFonts w:hint="eastAsia" w:ascii="宋体" w:hAnsi="宋体"/>
                <w:color w:val="auto"/>
                <w:highlight w:val="none"/>
                <w:lang w:eastAsia="zh-CN"/>
              </w:rPr>
              <w:t>，</w:t>
            </w:r>
            <w:r>
              <w:rPr>
                <w:rFonts w:hint="eastAsia" w:ascii="宋体" w:hAnsi="宋体"/>
                <w:color w:val="auto"/>
                <w:highlight w:val="none"/>
              </w:rPr>
              <w:t>我方要求索赔</w:t>
            </w:r>
            <w:r>
              <w:rPr>
                <w:rFonts w:hint="eastAsia" w:ascii="宋体" w:hAnsi="宋体"/>
                <w:color w:val="auto"/>
                <w:highlight w:val="none"/>
                <w:lang w:eastAsia="zh-CN"/>
              </w:rPr>
              <w:t>不含税</w:t>
            </w:r>
            <w:r>
              <w:rPr>
                <w:rFonts w:hint="eastAsia" w:ascii="宋体" w:hAnsi="宋体"/>
                <w:color w:val="auto"/>
                <w:highlight w:val="none"/>
              </w:rPr>
              <w:t>金额（大写）</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（小写）</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请予核准。</w:t>
            </w:r>
          </w:p>
          <w:p w14:paraId="6BDCED41">
            <w:pPr>
              <w:keepNext w:val="0"/>
              <w:keepLines w:val="0"/>
              <w:suppressLineNumbers w:val="0"/>
              <w:spacing w:before="0" w:beforeAutospacing="0" w:after="0" w:afterAutospacing="0" w:line="340" w:lineRule="exact"/>
              <w:ind w:left="0" w:right="0"/>
              <w:rPr>
                <w:rFonts w:hint="default"/>
                <w:color w:val="auto"/>
                <w:highlight w:val="none"/>
              </w:rPr>
            </w:pPr>
            <w:r>
              <w:rPr>
                <w:rFonts w:hint="eastAsia" w:ascii="宋体" w:hAnsi="宋体"/>
                <w:color w:val="auto"/>
                <w:highlight w:val="none"/>
              </w:rPr>
              <w:t>附：</w:t>
            </w:r>
            <w:r>
              <w:rPr>
                <w:rFonts w:hint="eastAsia"/>
                <w:color w:val="auto"/>
                <w:highlight w:val="none"/>
              </w:rPr>
              <w:t>1.</w:t>
            </w:r>
            <w:r>
              <w:rPr>
                <w:rFonts w:hint="eastAsia" w:ascii="宋体" w:hAnsi="宋体"/>
                <w:color w:val="auto"/>
                <w:highlight w:val="none"/>
              </w:rPr>
              <w:t>索赔费用的详细理由和依据：</w:t>
            </w:r>
          </w:p>
          <w:p w14:paraId="44900E05">
            <w:pPr>
              <w:keepNext w:val="0"/>
              <w:keepLines w:val="0"/>
              <w:suppressLineNumbers w:val="0"/>
              <w:spacing w:before="0" w:beforeAutospacing="0" w:after="0" w:afterAutospacing="0" w:line="340" w:lineRule="exact"/>
              <w:ind w:left="0" w:right="0" w:firstLine="435"/>
              <w:rPr>
                <w:rFonts w:hint="default"/>
                <w:color w:val="auto"/>
                <w:highlight w:val="none"/>
              </w:rPr>
            </w:pPr>
            <w:r>
              <w:rPr>
                <w:rFonts w:hint="eastAsia"/>
                <w:color w:val="auto"/>
                <w:highlight w:val="none"/>
              </w:rPr>
              <w:t>2.</w:t>
            </w:r>
            <w:r>
              <w:rPr>
                <w:rFonts w:hint="eastAsia" w:ascii="宋体" w:hAnsi="宋体"/>
                <w:color w:val="auto"/>
                <w:highlight w:val="none"/>
              </w:rPr>
              <w:t>索赔金额的计算：</w:t>
            </w:r>
          </w:p>
          <w:p w14:paraId="223963C7">
            <w:pPr>
              <w:keepNext w:val="0"/>
              <w:keepLines w:val="0"/>
              <w:suppressLineNumbers w:val="0"/>
              <w:spacing w:before="0" w:beforeAutospacing="0" w:after="0" w:afterAutospacing="0" w:line="340" w:lineRule="exact"/>
              <w:ind w:left="0" w:right="0" w:firstLine="435"/>
              <w:rPr>
                <w:rFonts w:hint="default"/>
                <w:color w:val="auto"/>
                <w:highlight w:val="none"/>
              </w:rPr>
            </w:pPr>
            <w:r>
              <w:rPr>
                <w:rFonts w:hint="eastAsia"/>
                <w:color w:val="auto"/>
                <w:highlight w:val="none"/>
              </w:rPr>
              <w:t>3.</w:t>
            </w:r>
            <w:r>
              <w:rPr>
                <w:rFonts w:hint="eastAsia" w:ascii="宋体" w:hAnsi="宋体"/>
                <w:color w:val="auto"/>
                <w:highlight w:val="none"/>
              </w:rPr>
              <w:t>证明材料：</w:t>
            </w:r>
          </w:p>
          <w:p w14:paraId="0D745B7B">
            <w:pPr>
              <w:keepNext w:val="0"/>
              <w:keepLines w:val="0"/>
              <w:suppressLineNumbers w:val="0"/>
              <w:spacing w:before="0" w:beforeAutospacing="0" w:after="0" w:afterAutospacing="0" w:line="340" w:lineRule="exact"/>
              <w:ind w:left="0" w:right="0" w:firstLine="435"/>
              <w:rPr>
                <w:rFonts w:hint="default"/>
                <w:color w:val="auto"/>
                <w:highlight w:val="none"/>
              </w:rPr>
            </w:pPr>
          </w:p>
          <w:p w14:paraId="3FDCA2EB">
            <w:pPr>
              <w:keepNext w:val="0"/>
              <w:keepLines w:val="0"/>
              <w:suppressLineNumbers w:val="0"/>
              <w:spacing w:before="0" w:beforeAutospacing="0" w:after="0" w:afterAutospacing="0" w:line="340" w:lineRule="exact"/>
              <w:ind w:left="0" w:right="0"/>
              <w:jc w:val="center"/>
              <w:rPr>
                <w:rFonts w:hint="default"/>
                <w:color w:val="auto"/>
                <w:highlight w:val="none"/>
              </w:rPr>
            </w:pPr>
            <w:r>
              <w:rPr>
                <w:rFonts w:hint="default"/>
                <w:color w:val="auto"/>
                <w:highlight w:val="none"/>
              </w:rPr>
              <w:t xml:space="preserve">                                                                                               </w:t>
            </w:r>
            <w:r>
              <w:rPr>
                <w:rFonts w:hint="eastAsia" w:ascii="宋体" w:hAnsi="宋体"/>
                <w:color w:val="auto"/>
                <w:highlight w:val="none"/>
              </w:rPr>
              <w:t>承包人（章）</w:t>
            </w:r>
            <w:r>
              <w:rPr>
                <w:rFonts w:hint="default"/>
                <w:color w:val="auto"/>
                <w:highlight w:val="none"/>
              </w:rPr>
              <w:t xml:space="preserve">            </w:t>
            </w:r>
          </w:p>
          <w:p w14:paraId="49807BAA">
            <w:pPr>
              <w:keepNext w:val="0"/>
              <w:keepLines w:val="0"/>
              <w:suppressLineNumbers w:val="0"/>
              <w:spacing w:before="0" w:beforeAutospacing="0" w:after="0" w:afterAutospacing="0" w:line="340" w:lineRule="exact"/>
              <w:ind w:left="0" w:right="0"/>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造价人员</w:t>
            </w:r>
            <w:r>
              <w:rPr>
                <w:rFonts w:hint="eastAsia"/>
                <w:color w:val="auto"/>
                <w:highlight w:val="none"/>
              </w:rPr>
              <w:t xml:space="preserve">____________ </w:t>
            </w:r>
            <w:r>
              <w:rPr>
                <w:rFonts w:hint="default"/>
                <w:color w:val="auto"/>
                <w:highlight w:val="none"/>
              </w:rPr>
              <w:t xml:space="preserve">  </w:t>
            </w:r>
            <w:r>
              <w:rPr>
                <w:rFonts w:hint="eastAsia" w:ascii="宋体" w:hAnsi="宋体"/>
                <w:color w:val="auto"/>
                <w:highlight w:val="none"/>
              </w:rPr>
              <w:t>承包人代表</w:t>
            </w:r>
            <w:r>
              <w:rPr>
                <w:rFonts w:hint="default"/>
                <w:color w:val="auto"/>
                <w:highlight w:val="none"/>
                <w:u w:val="single"/>
              </w:rPr>
              <w:t xml:space="preserve">              </w:t>
            </w: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p w14:paraId="449CDDF9">
            <w:pPr>
              <w:keepNext w:val="0"/>
              <w:keepLines w:val="0"/>
              <w:suppressLineNumbers w:val="0"/>
              <w:spacing w:before="0" w:beforeAutospacing="0" w:after="0" w:afterAutospacing="0" w:line="340" w:lineRule="exact"/>
              <w:ind w:left="0" w:right="0"/>
              <w:rPr>
                <w:rFonts w:hint="default"/>
                <w:color w:val="auto"/>
                <w:highlight w:val="none"/>
                <w:u w:val="single"/>
              </w:rPr>
            </w:pPr>
          </w:p>
        </w:tc>
      </w:tr>
      <w:tr w14:paraId="1B1E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6" w:hRule="atLeast"/>
          <w:jc w:val="center"/>
        </w:trPr>
        <w:tc>
          <w:tcPr>
            <w:tcW w:w="4520" w:type="dxa"/>
            <w:tcBorders>
              <w:top w:val="single" w:color="auto" w:sz="4" w:space="0"/>
              <w:left w:val="single" w:color="auto" w:sz="4" w:space="0"/>
              <w:bottom w:val="single" w:color="auto" w:sz="4" w:space="0"/>
              <w:right w:val="single" w:color="auto" w:sz="4" w:space="0"/>
            </w:tcBorders>
            <w:noWrap w:val="0"/>
            <w:vAlign w:val="top"/>
          </w:tcPr>
          <w:p w14:paraId="271C7D9F">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5F024B3B">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根据施工合同条款第</w:t>
            </w:r>
            <w:r>
              <w:rPr>
                <w:rFonts w:hint="default"/>
                <w:color w:val="auto"/>
                <w:highlight w:val="none"/>
                <w:u w:val="single"/>
              </w:rPr>
              <w:t xml:space="preserve">     </w:t>
            </w:r>
            <w:r>
              <w:rPr>
                <w:rFonts w:hint="eastAsia" w:ascii="宋体" w:hAnsi="宋体"/>
                <w:color w:val="auto"/>
                <w:highlight w:val="none"/>
              </w:rPr>
              <w:t>条的约定</w:t>
            </w:r>
            <w:r>
              <w:rPr>
                <w:rFonts w:hint="eastAsia" w:ascii="宋体" w:hAnsi="宋体"/>
                <w:color w:val="auto"/>
                <w:highlight w:val="none"/>
                <w:lang w:eastAsia="zh-CN"/>
              </w:rPr>
              <w:t>，</w:t>
            </w:r>
            <w:r>
              <w:rPr>
                <w:rFonts w:hint="eastAsia" w:ascii="宋体" w:hAnsi="宋体"/>
                <w:color w:val="auto"/>
                <w:highlight w:val="none"/>
              </w:rPr>
              <w:t>你方提出的索赔费用申请经复核：</w:t>
            </w:r>
          </w:p>
          <w:p w14:paraId="6CD4E540">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□不同意此项索赔</w:t>
            </w:r>
            <w:r>
              <w:rPr>
                <w:rFonts w:hint="eastAsia" w:ascii="宋体" w:hAnsi="宋体"/>
                <w:color w:val="auto"/>
                <w:highlight w:val="none"/>
                <w:lang w:eastAsia="zh-CN"/>
              </w:rPr>
              <w:t>，</w:t>
            </w:r>
            <w:r>
              <w:rPr>
                <w:rFonts w:hint="eastAsia" w:ascii="宋体" w:hAnsi="宋体"/>
                <w:color w:val="auto"/>
                <w:highlight w:val="none"/>
              </w:rPr>
              <w:t>具体意见见附件。</w:t>
            </w:r>
          </w:p>
          <w:p w14:paraId="7251D4B3">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□同意此项索赔</w:t>
            </w:r>
            <w:r>
              <w:rPr>
                <w:rFonts w:hint="eastAsia" w:ascii="宋体" w:hAnsi="宋体"/>
                <w:color w:val="auto"/>
                <w:highlight w:val="none"/>
                <w:lang w:eastAsia="zh-CN"/>
              </w:rPr>
              <w:t>，</w:t>
            </w:r>
            <w:r>
              <w:rPr>
                <w:rFonts w:hint="eastAsia" w:ascii="宋体" w:hAnsi="宋体"/>
                <w:color w:val="auto"/>
                <w:highlight w:val="none"/>
              </w:rPr>
              <w:t>索赔金额的计算</w:t>
            </w:r>
            <w:r>
              <w:rPr>
                <w:rFonts w:hint="eastAsia" w:ascii="宋体" w:hAnsi="宋体"/>
                <w:color w:val="auto"/>
                <w:highlight w:val="none"/>
                <w:lang w:eastAsia="zh-CN"/>
              </w:rPr>
              <w:t>，</w:t>
            </w:r>
            <w:r>
              <w:rPr>
                <w:rFonts w:hint="eastAsia" w:ascii="宋体" w:hAnsi="宋体"/>
                <w:color w:val="auto"/>
                <w:highlight w:val="none"/>
              </w:rPr>
              <w:t>由造价工程师复核。</w:t>
            </w:r>
          </w:p>
          <w:p w14:paraId="170B752C">
            <w:pPr>
              <w:keepNext w:val="0"/>
              <w:keepLines w:val="0"/>
              <w:suppressLineNumbers w:val="0"/>
              <w:spacing w:before="0" w:beforeAutospacing="0" w:after="0" w:afterAutospacing="0" w:line="360" w:lineRule="exact"/>
              <w:ind w:left="0" w:right="0" w:firstLine="435"/>
              <w:rPr>
                <w:rFonts w:hint="default"/>
                <w:color w:val="auto"/>
                <w:highlight w:val="none"/>
              </w:rPr>
            </w:pPr>
          </w:p>
          <w:p w14:paraId="01278989">
            <w:pPr>
              <w:keepNext w:val="0"/>
              <w:keepLines w:val="0"/>
              <w:suppressLineNumbers w:val="0"/>
              <w:spacing w:before="0" w:beforeAutospacing="0" w:after="0" w:afterAutospacing="0" w:line="360" w:lineRule="exact"/>
              <w:ind w:left="0" w:right="0" w:firstLine="435"/>
              <w:rPr>
                <w:rFonts w:hint="default"/>
                <w:color w:val="auto"/>
                <w:highlight w:val="none"/>
              </w:rPr>
            </w:pPr>
          </w:p>
          <w:p w14:paraId="3F20431D">
            <w:pPr>
              <w:keepNext w:val="0"/>
              <w:keepLines w:val="0"/>
              <w:suppressLineNumbers w:val="0"/>
              <w:wordWrap w:val="0"/>
              <w:spacing w:before="0" w:beforeAutospacing="0" w:after="0" w:afterAutospacing="0" w:line="360" w:lineRule="exact"/>
              <w:ind w:left="0" w:right="0"/>
              <w:jc w:val="right"/>
              <w:rPr>
                <w:rFonts w:hint="default"/>
                <w:color w:val="auto"/>
                <w:highlight w:val="none"/>
                <w:u w:val="single"/>
              </w:rPr>
            </w:pPr>
            <w:r>
              <w:rPr>
                <w:rFonts w:hint="eastAsia" w:ascii="宋体" w:hAnsi="宋体"/>
                <w:color w:val="auto"/>
                <w:highlight w:val="none"/>
              </w:rPr>
              <w:t>监理工程师</w:t>
            </w:r>
            <w:r>
              <w:rPr>
                <w:rFonts w:hint="default"/>
                <w:color w:val="auto"/>
                <w:highlight w:val="none"/>
              </w:rPr>
              <w:t xml:space="preserve"> </w:t>
            </w:r>
            <w:r>
              <w:rPr>
                <w:rFonts w:hint="default"/>
                <w:color w:val="auto"/>
                <w:highlight w:val="none"/>
                <w:u w:val="single"/>
              </w:rPr>
              <w:t xml:space="preserve">           </w:t>
            </w:r>
          </w:p>
          <w:p w14:paraId="7FFC7320">
            <w:pPr>
              <w:keepNext w:val="0"/>
              <w:keepLines w:val="0"/>
              <w:suppressLineNumbers w:val="0"/>
              <w:wordWrap w:val="0"/>
              <w:spacing w:before="0" w:beforeAutospacing="0" w:after="0" w:afterAutospacing="0" w:line="360" w:lineRule="exact"/>
              <w:ind w:left="0" w:right="0"/>
              <w:jc w:val="right"/>
              <w:rPr>
                <w:rFonts w:hint="default"/>
                <w:color w:val="auto"/>
                <w:highlight w:val="none"/>
                <w:u w:val="single"/>
              </w:rPr>
            </w:pP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rPr>
              <w:t xml:space="preserve"> </w:t>
            </w:r>
            <w:r>
              <w:rPr>
                <w:rFonts w:hint="default"/>
                <w:color w:val="auto"/>
                <w:highlight w:val="none"/>
                <w:u w:val="single"/>
              </w:rPr>
              <w:t xml:space="preserve">           </w:t>
            </w:r>
          </w:p>
        </w:tc>
        <w:tc>
          <w:tcPr>
            <w:tcW w:w="4552" w:type="dxa"/>
            <w:tcBorders>
              <w:top w:val="single" w:color="auto" w:sz="4" w:space="0"/>
              <w:left w:val="single" w:color="auto" w:sz="4" w:space="0"/>
              <w:bottom w:val="single" w:color="auto" w:sz="4" w:space="0"/>
              <w:right w:val="single" w:color="auto" w:sz="4" w:space="0"/>
            </w:tcBorders>
            <w:noWrap w:val="0"/>
            <w:vAlign w:val="top"/>
          </w:tcPr>
          <w:p w14:paraId="7B8C4E0C">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47D1224A">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根据施工合同条款第</w:t>
            </w:r>
            <w:r>
              <w:rPr>
                <w:rFonts w:hint="default"/>
                <w:color w:val="auto"/>
                <w:highlight w:val="none"/>
                <w:u w:val="single"/>
              </w:rPr>
              <w:t xml:space="preserve">     </w:t>
            </w:r>
            <w:r>
              <w:rPr>
                <w:rFonts w:hint="eastAsia" w:ascii="宋体" w:hAnsi="宋体"/>
                <w:color w:val="auto"/>
                <w:highlight w:val="none"/>
              </w:rPr>
              <w:t>条的约定</w:t>
            </w:r>
            <w:r>
              <w:rPr>
                <w:rFonts w:hint="eastAsia" w:ascii="宋体" w:hAnsi="宋体"/>
                <w:color w:val="auto"/>
                <w:highlight w:val="none"/>
                <w:lang w:eastAsia="zh-CN"/>
              </w:rPr>
              <w:t>，</w:t>
            </w:r>
            <w:r>
              <w:rPr>
                <w:rFonts w:hint="eastAsia" w:ascii="宋体" w:hAnsi="宋体"/>
                <w:color w:val="auto"/>
                <w:highlight w:val="none"/>
              </w:rPr>
              <w:t>你方提出的索赔费用申请经复核</w:t>
            </w:r>
            <w:r>
              <w:rPr>
                <w:rFonts w:hint="eastAsia" w:ascii="宋体" w:hAnsi="宋体"/>
                <w:color w:val="auto"/>
                <w:highlight w:val="none"/>
                <w:lang w:eastAsia="zh-CN"/>
              </w:rPr>
              <w:t>，</w:t>
            </w:r>
            <w:r>
              <w:rPr>
                <w:rFonts w:hint="eastAsia" w:ascii="宋体" w:hAnsi="宋体"/>
                <w:color w:val="auto"/>
                <w:highlight w:val="none"/>
              </w:rPr>
              <w:t>索赔</w:t>
            </w:r>
            <w:r>
              <w:rPr>
                <w:rFonts w:hint="eastAsia" w:ascii="宋体" w:hAnsi="宋体"/>
                <w:color w:val="auto"/>
                <w:highlight w:val="none"/>
                <w:lang w:eastAsia="zh-CN"/>
              </w:rPr>
              <w:t>不含税</w:t>
            </w:r>
            <w:r>
              <w:rPr>
                <w:rFonts w:hint="eastAsia" w:ascii="宋体" w:hAnsi="宋体"/>
                <w:color w:val="auto"/>
                <w:highlight w:val="none"/>
              </w:rPr>
              <w:t>金额为</w:t>
            </w:r>
          </w:p>
          <w:p w14:paraId="582B5135">
            <w:pPr>
              <w:keepNext w:val="0"/>
              <w:keepLines w:val="0"/>
              <w:suppressLineNumbers w:val="0"/>
              <w:spacing w:before="0" w:beforeAutospacing="0" w:after="0" w:afterAutospacing="0" w:line="360" w:lineRule="exact"/>
              <w:ind w:left="0" w:right="0"/>
              <w:rPr>
                <w:rFonts w:hint="default"/>
                <w:color w:val="auto"/>
                <w:highlight w:val="none"/>
                <w:u w:val="single"/>
              </w:rPr>
            </w:pPr>
            <w:r>
              <w:rPr>
                <w:rFonts w:hint="eastAsia" w:ascii="宋体" w:hAnsi="宋体"/>
                <w:color w:val="auto"/>
                <w:highlight w:val="none"/>
              </w:rPr>
              <w:t>（大写）</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（小写）</w:t>
            </w:r>
            <w:r>
              <w:rPr>
                <w:rFonts w:hint="default"/>
                <w:color w:val="auto"/>
                <w:highlight w:val="none"/>
                <w:u w:val="single"/>
              </w:rPr>
              <w:t xml:space="preserve">            </w:t>
            </w:r>
            <w:r>
              <w:rPr>
                <w:rFonts w:hint="eastAsia" w:ascii="宋体" w:hAnsi="宋体"/>
                <w:color w:val="auto"/>
                <w:highlight w:val="none"/>
              </w:rPr>
              <w:t>元。</w:t>
            </w:r>
          </w:p>
          <w:p w14:paraId="2F5A2EFE">
            <w:pPr>
              <w:keepNext w:val="0"/>
              <w:keepLines w:val="0"/>
              <w:suppressLineNumbers w:val="0"/>
              <w:spacing w:before="0" w:beforeAutospacing="0" w:after="0" w:afterAutospacing="0" w:line="360" w:lineRule="exact"/>
              <w:ind w:left="0" w:right="0" w:firstLine="435"/>
              <w:jc w:val="right"/>
              <w:rPr>
                <w:rFonts w:hint="default"/>
                <w:color w:val="auto"/>
                <w:highlight w:val="none"/>
              </w:rPr>
            </w:pPr>
          </w:p>
          <w:p w14:paraId="4C3C0C06">
            <w:pPr>
              <w:keepNext w:val="0"/>
              <w:keepLines w:val="0"/>
              <w:suppressLineNumbers w:val="0"/>
              <w:spacing w:before="0" w:beforeAutospacing="0" w:after="0" w:afterAutospacing="0" w:line="360" w:lineRule="exact"/>
              <w:ind w:left="0" w:right="0" w:firstLine="435"/>
              <w:jc w:val="center"/>
              <w:rPr>
                <w:rFonts w:hint="default"/>
                <w:color w:val="auto"/>
                <w:highlight w:val="none"/>
              </w:rPr>
            </w:pPr>
            <w:r>
              <w:rPr>
                <w:rFonts w:hint="default"/>
                <w:color w:val="auto"/>
                <w:highlight w:val="none"/>
              </w:rPr>
              <w:t xml:space="preserve">                                 </w:t>
            </w:r>
          </w:p>
          <w:p w14:paraId="49851797">
            <w:pPr>
              <w:keepNext w:val="0"/>
              <w:keepLines w:val="0"/>
              <w:suppressLineNumbers w:val="0"/>
              <w:spacing w:before="0" w:beforeAutospacing="0" w:after="0" w:afterAutospacing="0" w:line="360" w:lineRule="exact"/>
              <w:ind w:left="0" w:right="0" w:firstLine="435"/>
              <w:jc w:val="center"/>
              <w:rPr>
                <w:rFonts w:hint="default"/>
                <w:color w:val="auto"/>
                <w:highlight w:val="none"/>
              </w:rPr>
            </w:pPr>
          </w:p>
          <w:p w14:paraId="19898380">
            <w:pPr>
              <w:keepNext w:val="0"/>
              <w:keepLines w:val="0"/>
              <w:suppressLineNumbers w:val="0"/>
              <w:spacing w:before="0" w:beforeAutospacing="0" w:after="0" w:afterAutospacing="0" w:line="360" w:lineRule="exact"/>
              <w:ind w:left="0" w:right="0" w:firstLine="435"/>
              <w:jc w:val="center"/>
              <w:rPr>
                <w:rFonts w:hint="default"/>
                <w:color w:val="auto"/>
                <w:highlight w:val="none"/>
              </w:rPr>
            </w:pPr>
          </w:p>
          <w:p w14:paraId="3E3444D8">
            <w:pPr>
              <w:keepNext w:val="0"/>
              <w:keepLines w:val="0"/>
              <w:suppressLineNumbers w:val="0"/>
              <w:spacing w:before="0" w:beforeAutospacing="0" w:after="0" w:afterAutospacing="0" w:line="360" w:lineRule="exact"/>
              <w:ind w:left="0" w:right="0" w:firstLine="435"/>
              <w:jc w:val="center"/>
              <w:rPr>
                <w:rFonts w:hint="default"/>
                <w:color w:val="auto"/>
                <w:highlight w:val="none"/>
              </w:rPr>
            </w:pPr>
            <w:r>
              <w:rPr>
                <w:rFonts w:hint="eastAsia" w:ascii="宋体" w:hAnsi="宋体"/>
                <w:color w:val="auto"/>
                <w:highlight w:val="none"/>
              </w:rPr>
              <w:t>造价工程师</w:t>
            </w:r>
            <w:r>
              <w:rPr>
                <w:rFonts w:hint="default"/>
                <w:color w:val="auto"/>
                <w:highlight w:val="none"/>
                <w:u w:val="single"/>
              </w:rPr>
              <w:t xml:space="preserve">           </w:t>
            </w:r>
            <w:r>
              <w:rPr>
                <w:rFonts w:hint="default"/>
                <w:color w:val="auto"/>
                <w:highlight w:val="none"/>
              </w:rPr>
              <w:t xml:space="preserve">                               </w:t>
            </w:r>
          </w:p>
          <w:p w14:paraId="6AF7DE6B">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r w14:paraId="1D13E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1"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0FF49B24">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审核意见：</w:t>
            </w:r>
          </w:p>
          <w:p w14:paraId="2A40060F">
            <w:pPr>
              <w:keepNext w:val="0"/>
              <w:keepLines w:val="0"/>
              <w:suppressLineNumbers w:val="0"/>
              <w:spacing w:before="0" w:beforeAutospacing="0" w:after="0" w:afterAutospacing="0" w:line="340" w:lineRule="exact"/>
              <w:ind w:left="0" w:right="0" w:firstLine="435"/>
              <w:rPr>
                <w:rFonts w:hint="default"/>
                <w:color w:val="auto"/>
                <w:highlight w:val="none"/>
              </w:rPr>
            </w:pPr>
            <w:r>
              <w:rPr>
                <w:rFonts w:hint="eastAsia" w:ascii="宋体" w:hAnsi="宋体"/>
                <w:color w:val="auto"/>
                <w:highlight w:val="none"/>
              </w:rPr>
              <w:t>□不同意此项索赔。</w:t>
            </w:r>
          </w:p>
          <w:p w14:paraId="697ED374">
            <w:pPr>
              <w:keepNext w:val="0"/>
              <w:keepLines w:val="0"/>
              <w:suppressLineNumbers w:val="0"/>
              <w:spacing w:before="0" w:beforeAutospacing="0" w:after="0" w:afterAutospacing="0" w:line="340" w:lineRule="exact"/>
              <w:ind w:left="0" w:right="0" w:firstLine="420" w:firstLineChars="200"/>
              <w:rPr>
                <w:rFonts w:hint="default"/>
                <w:color w:val="auto"/>
                <w:highlight w:val="none"/>
              </w:rPr>
            </w:pPr>
            <w:r>
              <w:rPr>
                <w:rFonts w:hint="eastAsia" w:ascii="宋体" w:hAnsi="宋体"/>
                <w:color w:val="auto"/>
                <w:highlight w:val="none"/>
              </w:rPr>
              <w:t>□同意此项索赔</w:t>
            </w:r>
            <w:r>
              <w:rPr>
                <w:rFonts w:hint="eastAsia" w:ascii="宋体" w:hAnsi="宋体"/>
                <w:color w:val="auto"/>
                <w:highlight w:val="none"/>
                <w:lang w:eastAsia="zh-CN"/>
              </w:rPr>
              <w:t>，</w:t>
            </w:r>
            <w:r>
              <w:rPr>
                <w:rFonts w:hint="eastAsia" w:ascii="宋体" w:hAnsi="宋体"/>
                <w:color w:val="auto"/>
                <w:highlight w:val="none"/>
              </w:rPr>
              <w:t>与本期进度款同期支付。</w:t>
            </w:r>
          </w:p>
          <w:p w14:paraId="45B6170D">
            <w:pPr>
              <w:keepNext w:val="0"/>
              <w:keepLines w:val="0"/>
              <w:suppressLineNumbers w:val="0"/>
              <w:spacing w:before="0" w:beforeAutospacing="0" w:after="0" w:afterAutospacing="0" w:line="340" w:lineRule="exact"/>
              <w:ind w:left="0" w:right="0" w:firstLine="0" w:firstLineChars="0"/>
              <w:jc w:val="both"/>
              <w:rPr>
                <w:rFonts w:hint="default"/>
                <w:color w:val="auto"/>
                <w:highlight w:val="none"/>
              </w:rPr>
            </w:pPr>
          </w:p>
          <w:p w14:paraId="2E028F53">
            <w:pPr>
              <w:keepNext w:val="0"/>
              <w:keepLines w:val="0"/>
              <w:suppressLineNumbers w:val="0"/>
              <w:spacing w:before="0" w:beforeAutospacing="0" w:after="0" w:afterAutospacing="0" w:line="340" w:lineRule="exact"/>
              <w:ind w:left="0" w:right="0" w:firstLine="420" w:firstLineChars="200"/>
              <w:jc w:val="center"/>
              <w:rPr>
                <w:rFonts w:hint="default"/>
                <w:color w:val="auto"/>
                <w:highlight w:val="none"/>
              </w:rPr>
            </w:pPr>
          </w:p>
          <w:p w14:paraId="12237BFB">
            <w:pPr>
              <w:keepNext w:val="0"/>
              <w:keepLines w:val="0"/>
              <w:suppressLineNumbers w:val="0"/>
              <w:spacing w:before="0" w:beforeAutospacing="0" w:after="0" w:afterLines="50" w:afterAutospacing="0" w:line="340" w:lineRule="exact"/>
              <w:ind w:left="0" w:right="0" w:firstLine="420" w:firstLineChars="200"/>
              <w:jc w:val="center"/>
              <w:rPr>
                <w:rFonts w:hint="default"/>
                <w:color w:val="auto"/>
                <w:highlight w:val="none"/>
                <w:u w:val="single"/>
              </w:rPr>
            </w:pPr>
            <w:r>
              <w:rPr>
                <w:rFonts w:hint="eastAsia" w:ascii="宋体" w:hAnsi="宋体"/>
                <w:color w:val="auto"/>
                <w:highlight w:val="none"/>
              </w:rPr>
              <w:t xml:space="preserve">发包人（章） </w:t>
            </w:r>
            <w:r>
              <w:rPr>
                <w:rFonts w:hint="default"/>
                <w:color w:val="auto"/>
                <w:highlight w:val="none"/>
              </w:rPr>
              <w:t xml:space="preserve">                                                                                                     </w:t>
            </w:r>
            <w:r>
              <w:rPr>
                <w:rFonts w:hint="eastAsia"/>
                <w:color w:val="auto"/>
                <w:highlight w:val="none"/>
                <w:lang w:val="en-US" w:eastAsia="zh-CN"/>
              </w:rPr>
              <w:t xml:space="preserve"> </w:t>
            </w:r>
            <w:r>
              <w:rPr>
                <w:rFonts w:hint="eastAsia" w:ascii="宋体" w:hAnsi="宋体"/>
                <w:color w:val="auto"/>
                <w:highlight w:val="none"/>
              </w:rPr>
              <w:t>发包人代表</w:t>
            </w:r>
            <w:r>
              <w:rPr>
                <w:rFonts w:hint="default"/>
                <w:color w:val="auto"/>
                <w:highlight w:val="none"/>
                <w:u w:val="single"/>
              </w:rPr>
              <w:t xml:space="preserve">             </w:t>
            </w: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bl>
    <w:p w14:paraId="31381B44">
      <w:pPr>
        <w:ind w:firstLine="360" w:firstLineChars="200"/>
        <w:rPr>
          <w:color w:val="auto"/>
          <w:sz w:val="18"/>
          <w:szCs w:val="18"/>
          <w:highlight w:val="none"/>
        </w:rPr>
      </w:pPr>
      <w:r>
        <w:rPr>
          <w:rFonts w:hint="eastAsia" w:ascii="宋体" w:hAnsi="宋体"/>
          <w:color w:val="auto"/>
          <w:sz w:val="18"/>
          <w:szCs w:val="18"/>
          <w:highlight w:val="none"/>
        </w:rPr>
        <w:t>注：</w:t>
      </w:r>
      <w:r>
        <w:rPr>
          <w:rFonts w:hint="eastAsia"/>
          <w:color w:val="auto"/>
          <w:sz w:val="18"/>
          <w:szCs w:val="18"/>
          <w:highlight w:val="none"/>
        </w:rPr>
        <w:t>1</w:t>
      </w:r>
      <w:r>
        <w:rPr>
          <w:rFonts w:hint="eastAsia"/>
          <w:color w:val="auto"/>
          <w:sz w:val="18"/>
          <w:szCs w:val="18"/>
          <w:highlight w:val="none"/>
          <w:lang w:val="en-US" w:eastAsia="zh-CN"/>
        </w:rPr>
        <w:t>.</w:t>
      </w:r>
      <w:r>
        <w:rPr>
          <w:rFonts w:hint="eastAsia" w:ascii="宋体" w:hAnsi="宋体"/>
          <w:color w:val="auto"/>
          <w:sz w:val="18"/>
          <w:szCs w:val="18"/>
          <w:highlight w:val="none"/>
        </w:rPr>
        <w:t xml:space="preserve">在选择栏中的“□”内作标识“√”。 </w:t>
      </w:r>
    </w:p>
    <w:p w14:paraId="006C1ACC">
      <w:pPr>
        <w:numPr>
          <w:ilvl w:val="0"/>
          <w:numId w:val="0"/>
        </w:numPr>
        <w:ind w:left="720"/>
        <w:rPr>
          <w:rFonts w:hint="eastAsia" w:ascii="宋体" w:hAnsi="宋体"/>
          <w:color w:val="auto"/>
          <w:sz w:val="18"/>
          <w:szCs w:val="18"/>
          <w:highlight w:val="none"/>
        </w:rPr>
      </w:pPr>
      <w:r>
        <w:rPr>
          <w:rFonts w:hint="eastAsia" w:ascii="宋体" w:hAnsi="宋体"/>
          <w:color w:val="auto"/>
          <w:sz w:val="18"/>
          <w:szCs w:val="18"/>
          <w:highlight w:val="none"/>
          <w:lang w:val="en-US" w:eastAsia="zh-CN"/>
        </w:rPr>
        <w:t>2.</w:t>
      </w:r>
      <w:r>
        <w:rPr>
          <w:rFonts w:hint="eastAsia" w:ascii="宋体" w:hAnsi="宋体"/>
          <w:color w:val="auto"/>
          <w:sz w:val="18"/>
          <w:szCs w:val="18"/>
          <w:highlight w:val="none"/>
        </w:rPr>
        <w:t>本表一式四份</w:t>
      </w:r>
      <w:r>
        <w:rPr>
          <w:rFonts w:hint="eastAsia" w:ascii="宋体" w:hAnsi="宋体"/>
          <w:color w:val="auto"/>
          <w:sz w:val="18"/>
          <w:szCs w:val="18"/>
          <w:highlight w:val="none"/>
          <w:lang w:eastAsia="zh-CN"/>
        </w:rPr>
        <w:t>，</w:t>
      </w:r>
      <w:r>
        <w:rPr>
          <w:rFonts w:hint="eastAsia" w:ascii="宋体" w:hAnsi="宋体"/>
          <w:color w:val="auto"/>
          <w:sz w:val="18"/>
          <w:szCs w:val="18"/>
          <w:highlight w:val="none"/>
        </w:rPr>
        <w:t>由承包人填报</w:t>
      </w:r>
      <w:r>
        <w:rPr>
          <w:rFonts w:hint="eastAsia" w:ascii="宋体" w:hAnsi="宋体"/>
          <w:color w:val="auto"/>
          <w:sz w:val="18"/>
          <w:szCs w:val="18"/>
          <w:highlight w:val="none"/>
          <w:lang w:eastAsia="zh-CN"/>
        </w:rPr>
        <w:t>，</w:t>
      </w:r>
      <w:r>
        <w:rPr>
          <w:rFonts w:hint="eastAsia" w:ascii="宋体" w:hAnsi="宋体"/>
          <w:color w:val="auto"/>
          <w:sz w:val="18"/>
          <w:szCs w:val="18"/>
          <w:highlight w:val="none"/>
        </w:rPr>
        <w:t>发包人、监理人、造价咨询人、承包人各存一份。</w:t>
      </w:r>
    </w:p>
    <w:p w14:paraId="1C9F7E06">
      <w:pPr>
        <w:pStyle w:val="40"/>
        <w:ind w:leftChars="0" w:firstLine="0" w:firstLineChars="0"/>
        <w:rPr>
          <w:rFonts w:hint="eastAsia"/>
          <w:color w:val="auto"/>
          <w:highlight w:val="none"/>
        </w:rPr>
        <w:sectPr>
          <w:pgSz w:w="11907" w:h="16840"/>
          <w:pgMar w:top="1440" w:right="1440" w:bottom="1440" w:left="1797" w:header="851" w:footer="851" w:gutter="0"/>
          <w:cols w:space="720" w:num="1"/>
          <w:docGrid w:linePitch="312" w:charSpace="0"/>
        </w:sectPr>
      </w:pPr>
    </w:p>
    <w:p w14:paraId="70E8B41B">
      <w:pPr>
        <w:wordWrap/>
        <w:spacing w:before="120" w:beforeLines="50" w:after="120" w:afterLines="50" w:line="440" w:lineRule="exact"/>
        <w:jc w:val="left"/>
        <w:outlineLvl w:val="9"/>
        <w:rPr>
          <w:rFonts w:hint="eastAsia" w:ascii="仿宋_GB2312" w:hAnsi="Times New Roman" w:eastAsia="仿宋_GB2312" w:cs="仿宋_GB2312"/>
          <w:b w:val="0"/>
          <w:color w:val="auto"/>
          <w:sz w:val="30"/>
          <w:szCs w:val="30"/>
          <w:highlight w:val="none"/>
          <w:lang w:val="en-US" w:eastAsia="zh-CN"/>
        </w:rPr>
      </w:pPr>
      <w:r>
        <w:rPr>
          <w:rFonts w:hint="eastAsia" w:ascii="仿宋_GB2312" w:hAnsi="Times New Roman" w:eastAsia="仿宋_GB2312" w:cs="仿宋_GB2312"/>
          <w:b w:val="0"/>
          <w:color w:val="auto"/>
          <w:sz w:val="30"/>
          <w:szCs w:val="30"/>
          <w:highlight w:val="none"/>
          <w:lang w:val="en-US" w:eastAsia="zh-CN"/>
        </w:rPr>
        <w:t>附件18：</w:t>
      </w:r>
      <w:r>
        <w:rPr>
          <w:rFonts w:hint="eastAsia" w:ascii="仿宋_GB2312" w:hAnsi="Times New Roman" w:eastAsia="仿宋_GB2312" w:cs="仿宋_GB2312"/>
          <w:b w:val="0"/>
          <w:color w:val="auto"/>
          <w:sz w:val="30"/>
          <w:szCs w:val="30"/>
          <w:highlight w:val="none"/>
          <w:lang w:val="en-US"/>
        </w:rPr>
        <w:t>安全生产费支付申请（核准）表</w:t>
      </w:r>
    </w:p>
    <w:p w14:paraId="645D0756">
      <w:pPr>
        <w:jc w:val="center"/>
        <w:outlineLvl w:val="9"/>
        <w:rPr>
          <w:b/>
          <w:color w:val="auto"/>
          <w:sz w:val="36"/>
          <w:szCs w:val="36"/>
          <w:highlight w:val="none"/>
        </w:rPr>
      </w:pPr>
      <w:r>
        <w:rPr>
          <w:rFonts w:hint="default" w:ascii="宋体" w:hAnsi="宋体"/>
          <w:b/>
          <w:color w:val="auto"/>
          <w:sz w:val="30"/>
          <w:szCs w:val="30"/>
          <w:highlight w:val="none"/>
          <w:lang w:val="en"/>
        </w:rPr>
        <w:t>安全生产费</w:t>
      </w:r>
      <w:r>
        <w:rPr>
          <w:rFonts w:hint="eastAsia" w:ascii="宋体" w:hAnsi="宋体"/>
          <w:b/>
          <w:color w:val="auto"/>
          <w:sz w:val="30"/>
          <w:szCs w:val="30"/>
          <w:highlight w:val="none"/>
        </w:rPr>
        <w:t>支付申请（核准）表</w:t>
      </w:r>
    </w:p>
    <w:p w14:paraId="3AFFAA9B">
      <w:pPr>
        <w:spacing w:line="360" w:lineRule="auto"/>
        <w:ind w:firstLine="214" w:firstLineChars="100"/>
        <w:rPr>
          <w:color w:val="auto"/>
          <w:sz w:val="21"/>
          <w:szCs w:val="21"/>
          <w:highlight w:val="none"/>
        </w:rPr>
      </w:pPr>
      <w:r>
        <w:rPr>
          <w:rFonts w:hint="eastAsia" w:ascii="宋体" w:hAnsi="宋体"/>
          <w:color w:val="auto"/>
          <w:sz w:val="21"/>
          <w:szCs w:val="21"/>
          <w:highlight w:val="none"/>
        </w:rPr>
        <w:t xml:space="preserve">工程名称：                                   </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rPr>
        <w:t xml:space="preserve">          编号：</w:t>
      </w:r>
    </w:p>
    <w:tbl>
      <w:tblPr>
        <w:tblStyle w:val="4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52"/>
      </w:tblGrid>
      <w:tr w14:paraId="6807A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5C796FE2">
            <w:pPr>
              <w:keepNext w:val="0"/>
              <w:keepLines w:val="0"/>
              <w:suppressLineNumbers w:val="0"/>
              <w:spacing w:before="0" w:beforeAutospacing="0" w:after="0" w:afterAutospacing="0" w:line="480" w:lineRule="exact"/>
              <w:ind w:left="534" w:leftChars="149" w:right="0" w:hanging="216" w:hangingChars="101"/>
              <w:rPr>
                <w:rFonts w:hint="default"/>
                <w:color w:val="auto"/>
                <w:highlight w:val="none"/>
                <w:u w:val="single"/>
              </w:rPr>
            </w:pPr>
            <w:r>
              <w:rPr>
                <w:rFonts w:hint="eastAsia" w:ascii="宋体" w:hAnsi="宋体"/>
                <w:color w:val="auto"/>
                <w:highlight w:val="none"/>
              </w:rPr>
              <w:t>致：</w:t>
            </w:r>
            <w:r>
              <w:rPr>
                <w:rFonts w:hint="default"/>
                <w:color w:val="auto"/>
                <w:highlight w:val="none"/>
                <w:u w:val="single"/>
              </w:rPr>
              <w:t xml:space="preserve">                                   </w:t>
            </w:r>
            <w:r>
              <w:rPr>
                <w:rFonts w:hint="eastAsia" w:ascii="宋体" w:hAnsi="宋体"/>
                <w:color w:val="auto"/>
                <w:highlight w:val="none"/>
                <w:u w:val="single"/>
              </w:rPr>
              <w:t>（发包人全称）</w:t>
            </w:r>
          </w:p>
          <w:p w14:paraId="7D8924F6">
            <w:pPr>
              <w:keepNext w:val="0"/>
              <w:keepLines w:val="0"/>
              <w:suppressLineNumbers w:val="0"/>
              <w:spacing w:before="0" w:beforeAutospacing="0" w:after="0" w:afterAutospacing="0" w:line="400" w:lineRule="exact"/>
              <w:ind w:left="-4" w:leftChars="-2" w:right="0" w:firstLine="321" w:firstLineChars="150"/>
              <w:rPr>
                <w:rFonts w:hint="eastAsia" w:eastAsia="宋体"/>
                <w:color w:val="auto"/>
                <w:highlight w:val="none"/>
                <w:lang w:eastAsia="zh-CN"/>
              </w:rPr>
            </w:pPr>
            <w:r>
              <w:rPr>
                <w:rFonts w:hint="eastAsia" w:ascii="宋体" w:hAnsi="宋体"/>
                <w:color w:val="auto"/>
                <w:highlight w:val="none"/>
              </w:rPr>
              <w:t>我方根据施工合同的约定</w:t>
            </w:r>
            <w:r>
              <w:rPr>
                <w:rFonts w:hint="eastAsia" w:ascii="宋体" w:hAnsi="宋体"/>
                <w:color w:val="auto"/>
                <w:highlight w:val="none"/>
                <w:lang w:eastAsia="zh-CN"/>
              </w:rPr>
              <w:t>，</w:t>
            </w:r>
            <w:r>
              <w:rPr>
                <w:rFonts w:hint="eastAsia" w:ascii="宋体" w:hAnsi="宋体"/>
                <w:color w:val="auto"/>
                <w:highlight w:val="none"/>
              </w:rPr>
              <w:t>现申请支付</w:t>
            </w:r>
            <w:r>
              <w:rPr>
                <w:rFonts w:hint="default" w:ascii="宋体" w:hAnsi="宋体"/>
                <w:color w:val="auto"/>
                <w:highlight w:val="none"/>
                <w:lang w:val="en"/>
              </w:rPr>
              <w:t>安全生产费</w:t>
            </w:r>
            <w:r>
              <w:rPr>
                <w:rFonts w:hint="eastAsia" w:ascii="宋体" w:hAnsi="宋体"/>
                <w:color w:val="auto"/>
                <w:highlight w:val="none"/>
              </w:rPr>
              <w:t>为</w:t>
            </w:r>
            <w:r>
              <w:rPr>
                <w:rFonts w:hint="eastAsia"/>
                <w:color w:val="auto"/>
                <w:highlight w:val="none"/>
                <w:lang w:eastAsia="zh-CN"/>
              </w:rPr>
              <w:t>（</w:t>
            </w:r>
            <w:r>
              <w:rPr>
                <w:rFonts w:hint="eastAsia" w:ascii="宋体" w:hAnsi="宋体"/>
                <w:color w:val="auto"/>
                <w:highlight w:val="none"/>
              </w:rPr>
              <w:t>大写</w:t>
            </w:r>
            <w:r>
              <w:rPr>
                <w:rFonts w:hint="eastAsia"/>
                <w:color w:val="auto"/>
                <w:highlight w:val="none"/>
                <w:lang w:eastAsia="zh-CN"/>
              </w:rPr>
              <w:t>）</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color w:val="auto"/>
                <w:highlight w:val="none"/>
                <w:lang w:eastAsia="zh-CN"/>
              </w:rPr>
              <w:t>（</w:t>
            </w:r>
            <w:r>
              <w:rPr>
                <w:rFonts w:hint="eastAsia" w:ascii="宋体" w:hAnsi="宋体"/>
                <w:color w:val="auto"/>
                <w:highlight w:val="none"/>
              </w:rPr>
              <w:t>小写</w:t>
            </w:r>
            <w:r>
              <w:rPr>
                <w:rFonts w:hint="eastAsia"/>
                <w:color w:val="auto"/>
                <w:highlight w:val="none"/>
                <w:lang w:eastAsia="zh-CN"/>
              </w:rPr>
              <w:t>）</w:t>
            </w:r>
          </w:p>
          <w:p w14:paraId="2A83B97C">
            <w:pPr>
              <w:keepNext w:val="0"/>
              <w:keepLines w:val="0"/>
              <w:suppressLineNumbers w:val="0"/>
              <w:spacing w:before="0" w:beforeAutospacing="0" w:after="0" w:afterAutospacing="0" w:line="400" w:lineRule="exact"/>
              <w:ind w:left="0" w:right="0"/>
              <w:rPr>
                <w:rFonts w:hint="default"/>
                <w:color w:val="auto"/>
                <w:highlight w:val="none"/>
              </w:rPr>
            </w:pP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请予核准。</w:t>
            </w:r>
          </w:p>
          <w:tbl>
            <w:tblPr>
              <w:tblStyle w:val="41"/>
              <w:tblW w:w="885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3286"/>
              <w:gridCol w:w="1571"/>
              <w:gridCol w:w="1671"/>
              <w:gridCol w:w="1500"/>
            </w:tblGrid>
            <w:tr w14:paraId="31D2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14:paraId="4D9F531A">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序号</w:t>
                  </w:r>
                </w:p>
              </w:tc>
              <w:tc>
                <w:tcPr>
                  <w:tcW w:w="3286" w:type="dxa"/>
                  <w:tcBorders>
                    <w:top w:val="single" w:color="auto" w:sz="4" w:space="0"/>
                    <w:left w:val="single" w:color="auto" w:sz="4" w:space="0"/>
                    <w:bottom w:val="single" w:color="auto" w:sz="4" w:space="0"/>
                    <w:right w:val="single" w:color="auto" w:sz="4" w:space="0"/>
                  </w:tcBorders>
                  <w:noWrap w:val="0"/>
                  <w:vAlign w:val="center"/>
                </w:tcPr>
                <w:p w14:paraId="137C2437">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 xml:space="preserve">名 </w:t>
                  </w:r>
                  <w:r>
                    <w:rPr>
                      <w:rFonts w:hint="default"/>
                      <w:color w:val="auto"/>
                      <w:highlight w:val="none"/>
                    </w:rPr>
                    <w:t xml:space="preserve">     </w:t>
                  </w:r>
                  <w:r>
                    <w:rPr>
                      <w:rFonts w:hint="eastAsia" w:ascii="宋体" w:hAnsi="宋体"/>
                      <w:color w:val="auto"/>
                      <w:highlight w:val="none"/>
                    </w:rPr>
                    <w:t>称</w:t>
                  </w:r>
                </w:p>
              </w:tc>
              <w:tc>
                <w:tcPr>
                  <w:tcW w:w="1571" w:type="dxa"/>
                  <w:tcBorders>
                    <w:top w:val="single" w:color="auto" w:sz="4" w:space="0"/>
                    <w:left w:val="single" w:color="auto" w:sz="4" w:space="0"/>
                    <w:bottom w:val="single" w:color="auto" w:sz="4" w:space="0"/>
                    <w:right w:val="single" w:color="auto" w:sz="4" w:space="0"/>
                  </w:tcBorders>
                  <w:noWrap w:val="0"/>
                  <w:vAlign w:val="center"/>
                </w:tcPr>
                <w:p w14:paraId="75FB76C9">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申请金额（元）</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3F7A95E2">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复核金额（元）</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F14B0C1">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备注</w:t>
                  </w:r>
                </w:p>
              </w:tc>
            </w:tr>
            <w:tr w14:paraId="0D7F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74263AC0">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1</w:t>
                  </w:r>
                </w:p>
              </w:tc>
              <w:tc>
                <w:tcPr>
                  <w:tcW w:w="3286" w:type="dxa"/>
                  <w:tcBorders>
                    <w:top w:val="single" w:color="auto" w:sz="4" w:space="0"/>
                    <w:left w:val="single" w:color="auto" w:sz="4" w:space="0"/>
                    <w:bottom w:val="single" w:color="auto" w:sz="4" w:space="0"/>
                    <w:right w:val="single" w:color="auto" w:sz="4" w:space="0"/>
                  </w:tcBorders>
                  <w:noWrap w:val="0"/>
                  <w:vAlign w:val="top"/>
                </w:tcPr>
                <w:p w14:paraId="2121BD06">
                  <w:pPr>
                    <w:keepNext w:val="0"/>
                    <w:keepLines w:val="0"/>
                    <w:suppressLineNumbers w:val="0"/>
                    <w:spacing w:before="0" w:beforeAutospacing="0" w:after="0" w:afterAutospacing="0" w:line="280" w:lineRule="exact"/>
                    <w:ind w:left="0" w:right="0"/>
                    <w:rPr>
                      <w:rFonts w:hint="default"/>
                      <w:color w:val="auto"/>
                      <w:highlight w:val="none"/>
                      <w:lang w:val="en"/>
                    </w:rPr>
                  </w:pPr>
                  <w:r>
                    <w:rPr>
                      <w:rFonts w:hint="eastAsia" w:ascii="宋体" w:hAnsi="宋体"/>
                      <w:color w:val="auto"/>
                      <w:highlight w:val="none"/>
                    </w:rPr>
                    <w:t>签约合同价中的</w:t>
                  </w:r>
                  <w:r>
                    <w:rPr>
                      <w:rFonts w:hint="default" w:ascii="宋体" w:hAnsi="宋体"/>
                      <w:color w:val="auto"/>
                      <w:highlight w:val="none"/>
                      <w:lang w:val="en"/>
                    </w:rPr>
                    <w:t>安全生产费</w:t>
                  </w:r>
                </w:p>
              </w:tc>
              <w:tc>
                <w:tcPr>
                  <w:tcW w:w="1571" w:type="dxa"/>
                  <w:tcBorders>
                    <w:top w:val="single" w:color="auto" w:sz="4" w:space="0"/>
                    <w:left w:val="single" w:color="auto" w:sz="4" w:space="0"/>
                    <w:bottom w:val="single" w:color="auto" w:sz="4" w:space="0"/>
                    <w:right w:val="single" w:color="auto" w:sz="4" w:space="0"/>
                  </w:tcBorders>
                  <w:noWrap w:val="0"/>
                  <w:vAlign w:val="top"/>
                </w:tcPr>
                <w:p w14:paraId="2A003D09">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47510A1A">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7F03864D">
                  <w:pPr>
                    <w:keepNext w:val="0"/>
                    <w:keepLines w:val="0"/>
                    <w:suppressLineNumbers w:val="0"/>
                    <w:spacing w:before="0" w:beforeAutospacing="0" w:after="0" w:afterAutospacing="0" w:line="280" w:lineRule="exact"/>
                    <w:ind w:left="0" w:right="0"/>
                    <w:rPr>
                      <w:rFonts w:hint="default"/>
                      <w:color w:val="auto"/>
                      <w:highlight w:val="none"/>
                    </w:rPr>
                  </w:pPr>
                </w:p>
              </w:tc>
            </w:tr>
            <w:tr w14:paraId="373B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40D4CDA0">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2</w:t>
                  </w:r>
                </w:p>
              </w:tc>
              <w:tc>
                <w:tcPr>
                  <w:tcW w:w="3286" w:type="dxa"/>
                  <w:tcBorders>
                    <w:top w:val="single" w:color="auto" w:sz="4" w:space="0"/>
                    <w:left w:val="single" w:color="auto" w:sz="4" w:space="0"/>
                    <w:bottom w:val="single" w:color="auto" w:sz="4" w:space="0"/>
                    <w:right w:val="single" w:color="auto" w:sz="4" w:space="0"/>
                  </w:tcBorders>
                  <w:noWrap w:val="0"/>
                  <w:vAlign w:val="top"/>
                </w:tcPr>
                <w:p w14:paraId="13A61AB9">
                  <w:pPr>
                    <w:keepNext w:val="0"/>
                    <w:keepLines w:val="0"/>
                    <w:suppressLineNumbers w:val="0"/>
                    <w:spacing w:before="0" w:beforeAutospacing="0" w:after="0" w:afterAutospacing="0" w:line="280" w:lineRule="exact"/>
                    <w:ind w:left="0" w:right="0"/>
                    <w:rPr>
                      <w:rFonts w:hint="default"/>
                      <w:color w:val="auto"/>
                      <w:highlight w:val="none"/>
                      <w:lang w:val="en"/>
                    </w:rPr>
                  </w:pPr>
                  <w:r>
                    <w:rPr>
                      <w:rFonts w:hint="eastAsia" w:ascii="宋体" w:hAnsi="宋体"/>
                      <w:color w:val="auto"/>
                      <w:highlight w:val="none"/>
                    </w:rPr>
                    <w:t>累计已支付的</w:t>
                  </w:r>
                  <w:r>
                    <w:rPr>
                      <w:rFonts w:hint="default" w:ascii="宋体" w:hAnsi="宋体"/>
                      <w:color w:val="auto"/>
                      <w:highlight w:val="none"/>
                      <w:lang w:val="en"/>
                    </w:rPr>
                    <w:t>安全生产费</w:t>
                  </w:r>
                </w:p>
              </w:tc>
              <w:tc>
                <w:tcPr>
                  <w:tcW w:w="1571" w:type="dxa"/>
                  <w:tcBorders>
                    <w:top w:val="single" w:color="auto" w:sz="4" w:space="0"/>
                    <w:left w:val="single" w:color="auto" w:sz="4" w:space="0"/>
                    <w:bottom w:val="single" w:color="auto" w:sz="4" w:space="0"/>
                    <w:right w:val="single" w:color="auto" w:sz="4" w:space="0"/>
                  </w:tcBorders>
                  <w:noWrap w:val="0"/>
                  <w:vAlign w:val="top"/>
                </w:tcPr>
                <w:p w14:paraId="7926CDC3">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6386968A">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2B787D49">
                  <w:pPr>
                    <w:keepNext w:val="0"/>
                    <w:keepLines w:val="0"/>
                    <w:suppressLineNumbers w:val="0"/>
                    <w:spacing w:before="0" w:beforeAutospacing="0" w:after="0" w:afterAutospacing="0" w:line="280" w:lineRule="exact"/>
                    <w:ind w:left="0" w:right="0"/>
                    <w:rPr>
                      <w:rFonts w:hint="default"/>
                      <w:color w:val="auto"/>
                      <w:highlight w:val="none"/>
                    </w:rPr>
                  </w:pPr>
                </w:p>
              </w:tc>
            </w:tr>
            <w:tr w14:paraId="01F7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08353DA6">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r>
                    <w:rPr>
                      <w:rFonts w:hint="eastAsia" w:ascii="Calibri" w:hAnsi="Calibri"/>
                      <w:color w:val="auto"/>
                      <w:highlight w:val="none"/>
                    </w:rPr>
                    <w:t>3</w:t>
                  </w:r>
                </w:p>
              </w:tc>
              <w:tc>
                <w:tcPr>
                  <w:tcW w:w="3286" w:type="dxa"/>
                  <w:tcBorders>
                    <w:top w:val="single" w:color="auto" w:sz="4" w:space="0"/>
                    <w:left w:val="single" w:color="auto" w:sz="4" w:space="0"/>
                    <w:bottom w:val="single" w:color="auto" w:sz="4" w:space="0"/>
                    <w:right w:val="single" w:color="auto" w:sz="4" w:space="0"/>
                  </w:tcBorders>
                  <w:noWrap w:val="0"/>
                  <w:vAlign w:val="top"/>
                </w:tcPr>
                <w:p w14:paraId="7CD85E72">
                  <w:pPr>
                    <w:keepNext w:val="0"/>
                    <w:keepLines w:val="0"/>
                    <w:suppressLineNumbers w:val="0"/>
                    <w:spacing w:before="0" w:beforeAutospacing="0" w:after="0" w:afterAutospacing="0" w:line="280" w:lineRule="exact"/>
                    <w:ind w:left="0" w:right="0"/>
                    <w:rPr>
                      <w:rFonts w:hint="default" w:ascii="Calibri" w:hAnsi="Calibri"/>
                      <w:color w:val="auto"/>
                      <w:highlight w:val="none"/>
                      <w:lang w:val="en"/>
                    </w:rPr>
                  </w:pPr>
                  <w:r>
                    <w:rPr>
                      <w:rFonts w:hint="eastAsia" w:ascii="宋体" w:hAnsi="宋体"/>
                      <w:color w:val="auto"/>
                      <w:highlight w:val="none"/>
                    </w:rPr>
                    <w:t>本期应支付的</w:t>
                  </w:r>
                  <w:r>
                    <w:rPr>
                      <w:rFonts w:hint="default" w:ascii="宋体" w:hAnsi="宋体"/>
                      <w:color w:val="auto"/>
                      <w:highlight w:val="none"/>
                      <w:lang w:val="en"/>
                    </w:rPr>
                    <w:t>安全生产费</w:t>
                  </w:r>
                </w:p>
              </w:tc>
              <w:tc>
                <w:tcPr>
                  <w:tcW w:w="1571" w:type="dxa"/>
                  <w:tcBorders>
                    <w:top w:val="single" w:color="auto" w:sz="4" w:space="0"/>
                    <w:left w:val="single" w:color="auto" w:sz="4" w:space="0"/>
                    <w:bottom w:val="single" w:color="auto" w:sz="4" w:space="0"/>
                    <w:right w:val="single" w:color="auto" w:sz="4" w:space="0"/>
                  </w:tcBorders>
                  <w:noWrap w:val="0"/>
                  <w:vAlign w:val="top"/>
                </w:tcPr>
                <w:p w14:paraId="7026B628">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2D4BF19A">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4AA8F72F">
                  <w:pPr>
                    <w:keepNext w:val="0"/>
                    <w:keepLines w:val="0"/>
                    <w:suppressLineNumbers w:val="0"/>
                    <w:spacing w:before="0" w:beforeAutospacing="0" w:after="0" w:afterAutospacing="0" w:line="280" w:lineRule="exact"/>
                    <w:ind w:left="0" w:right="0"/>
                    <w:rPr>
                      <w:rFonts w:hint="default"/>
                      <w:color w:val="auto"/>
                      <w:highlight w:val="none"/>
                    </w:rPr>
                  </w:pPr>
                </w:p>
              </w:tc>
            </w:tr>
            <w:tr w14:paraId="5B12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19437EE7">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7871D9FB">
                  <w:pPr>
                    <w:keepNext w:val="0"/>
                    <w:keepLines w:val="0"/>
                    <w:suppressLineNumbers w:val="0"/>
                    <w:spacing w:before="0" w:beforeAutospacing="0" w:after="0" w:afterAutospacing="0" w:line="280" w:lineRule="exact"/>
                    <w:ind w:left="0" w:right="0"/>
                    <w:rPr>
                      <w:rFonts w:hint="default" w:ascii="Calibri" w:hAnsi="Calibri"/>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3F9D3547">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1EC2BBF1">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5BF9E7D7">
                  <w:pPr>
                    <w:keepNext w:val="0"/>
                    <w:keepLines w:val="0"/>
                    <w:suppressLineNumbers w:val="0"/>
                    <w:spacing w:before="0" w:beforeAutospacing="0" w:after="0" w:afterAutospacing="0" w:line="280" w:lineRule="exact"/>
                    <w:ind w:left="0" w:right="0"/>
                    <w:rPr>
                      <w:rFonts w:hint="default"/>
                      <w:color w:val="auto"/>
                      <w:highlight w:val="none"/>
                    </w:rPr>
                  </w:pPr>
                </w:p>
              </w:tc>
            </w:tr>
            <w:tr w14:paraId="683A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1AD2B904">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72C2EF69">
                  <w:pPr>
                    <w:keepNext w:val="0"/>
                    <w:keepLines w:val="0"/>
                    <w:suppressLineNumbers w:val="0"/>
                    <w:spacing w:before="0" w:beforeAutospacing="0" w:after="0" w:afterAutospacing="0" w:line="280" w:lineRule="exact"/>
                    <w:ind w:left="0" w:right="0"/>
                    <w:rPr>
                      <w:rFonts w:hint="default" w:ascii="Calibri" w:hAnsi="Calibri"/>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6B52D305">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689D1A69">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58EF3D98">
                  <w:pPr>
                    <w:keepNext w:val="0"/>
                    <w:keepLines w:val="0"/>
                    <w:suppressLineNumbers w:val="0"/>
                    <w:spacing w:before="0" w:beforeAutospacing="0" w:after="0" w:afterAutospacing="0" w:line="280" w:lineRule="exact"/>
                    <w:ind w:left="0" w:right="0"/>
                    <w:rPr>
                      <w:rFonts w:hint="default"/>
                      <w:color w:val="auto"/>
                      <w:highlight w:val="none"/>
                    </w:rPr>
                  </w:pPr>
                </w:p>
              </w:tc>
            </w:tr>
            <w:tr w14:paraId="32CE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45110521">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0D127890">
                  <w:pPr>
                    <w:keepNext w:val="0"/>
                    <w:keepLines w:val="0"/>
                    <w:suppressLineNumbers w:val="0"/>
                    <w:spacing w:before="0" w:beforeAutospacing="0" w:after="0" w:afterAutospacing="0" w:line="280" w:lineRule="exact"/>
                    <w:ind w:left="0" w:right="0"/>
                    <w:rPr>
                      <w:rFonts w:hint="default"/>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56E16544">
                  <w:pPr>
                    <w:keepNext w:val="0"/>
                    <w:keepLines w:val="0"/>
                    <w:suppressLineNumbers w:val="0"/>
                    <w:spacing w:before="0" w:beforeAutospacing="0" w:after="0" w:afterAutospacing="0" w:line="280" w:lineRule="exact"/>
                    <w:ind w:left="0" w:right="0"/>
                    <w:rPr>
                      <w:rFonts w:hint="default"/>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43EACC10">
                  <w:pPr>
                    <w:keepNext w:val="0"/>
                    <w:keepLines w:val="0"/>
                    <w:suppressLineNumbers w:val="0"/>
                    <w:spacing w:before="0" w:beforeAutospacing="0" w:after="0" w:afterAutospacing="0" w:line="280" w:lineRule="exact"/>
                    <w:ind w:left="0" w:right="0"/>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059D205D">
                  <w:pPr>
                    <w:keepNext w:val="0"/>
                    <w:keepLines w:val="0"/>
                    <w:suppressLineNumbers w:val="0"/>
                    <w:spacing w:before="0" w:beforeAutospacing="0" w:after="0" w:afterAutospacing="0" w:line="280" w:lineRule="exact"/>
                    <w:ind w:left="0" w:right="0"/>
                    <w:rPr>
                      <w:rFonts w:hint="default"/>
                      <w:color w:val="auto"/>
                      <w:highlight w:val="none"/>
                    </w:rPr>
                  </w:pPr>
                </w:p>
              </w:tc>
            </w:tr>
            <w:tr w14:paraId="6E33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11939C2C">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0B2D4C8F">
                  <w:pPr>
                    <w:keepNext w:val="0"/>
                    <w:keepLines w:val="0"/>
                    <w:suppressLineNumbers w:val="0"/>
                    <w:spacing w:before="0" w:beforeAutospacing="0" w:after="0" w:afterAutospacing="0" w:line="280" w:lineRule="exact"/>
                    <w:ind w:left="0" w:right="0"/>
                    <w:rPr>
                      <w:rFonts w:hint="default"/>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678D29BD">
                  <w:pPr>
                    <w:keepNext w:val="0"/>
                    <w:keepLines w:val="0"/>
                    <w:suppressLineNumbers w:val="0"/>
                    <w:spacing w:before="0" w:beforeAutospacing="0" w:after="0" w:afterAutospacing="0" w:line="280" w:lineRule="exact"/>
                    <w:ind w:left="0" w:right="0"/>
                    <w:rPr>
                      <w:rFonts w:hint="default"/>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4A330350">
                  <w:pPr>
                    <w:keepNext w:val="0"/>
                    <w:keepLines w:val="0"/>
                    <w:suppressLineNumbers w:val="0"/>
                    <w:spacing w:before="0" w:beforeAutospacing="0" w:after="0" w:afterAutospacing="0" w:line="280" w:lineRule="exact"/>
                    <w:ind w:left="0" w:right="0"/>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21365B4E">
                  <w:pPr>
                    <w:keepNext w:val="0"/>
                    <w:keepLines w:val="0"/>
                    <w:suppressLineNumbers w:val="0"/>
                    <w:spacing w:before="0" w:beforeAutospacing="0" w:after="0" w:afterAutospacing="0" w:line="280" w:lineRule="exact"/>
                    <w:ind w:left="0" w:right="0"/>
                    <w:rPr>
                      <w:rFonts w:hint="default"/>
                      <w:color w:val="auto"/>
                      <w:highlight w:val="none"/>
                    </w:rPr>
                  </w:pPr>
                </w:p>
              </w:tc>
            </w:tr>
            <w:tr w14:paraId="403B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00FF802B">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0092FEA8">
                  <w:pPr>
                    <w:keepNext w:val="0"/>
                    <w:keepLines w:val="0"/>
                    <w:suppressLineNumbers w:val="0"/>
                    <w:spacing w:before="0" w:beforeAutospacing="0" w:after="0" w:afterAutospacing="0" w:line="280" w:lineRule="exact"/>
                    <w:ind w:left="0" w:right="0"/>
                    <w:rPr>
                      <w:rFonts w:hint="default"/>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3DC9AFE8">
                  <w:pPr>
                    <w:keepNext w:val="0"/>
                    <w:keepLines w:val="0"/>
                    <w:suppressLineNumbers w:val="0"/>
                    <w:spacing w:before="0" w:beforeAutospacing="0" w:after="0" w:afterAutospacing="0" w:line="280" w:lineRule="exact"/>
                    <w:ind w:left="0" w:right="0"/>
                    <w:rPr>
                      <w:rFonts w:hint="default"/>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1FB83280">
                  <w:pPr>
                    <w:keepNext w:val="0"/>
                    <w:keepLines w:val="0"/>
                    <w:suppressLineNumbers w:val="0"/>
                    <w:spacing w:before="0" w:beforeAutospacing="0" w:after="0" w:afterAutospacing="0" w:line="280" w:lineRule="exact"/>
                    <w:ind w:left="0" w:right="0"/>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637DF7DE">
                  <w:pPr>
                    <w:keepNext w:val="0"/>
                    <w:keepLines w:val="0"/>
                    <w:suppressLineNumbers w:val="0"/>
                    <w:spacing w:before="0" w:beforeAutospacing="0" w:after="0" w:afterAutospacing="0" w:line="280" w:lineRule="exact"/>
                    <w:ind w:left="0" w:right="0"/>
                    <w:rPr>
                      <w:rFonts w:hint="default"/>
                      <w:color w:val="auto"/>
                      <w:highlight w:val="none"/>
                    </w:rPr>
                  </w:pPr>
                </w:p>
              </w:tc>
            </w:tr>
            <w:tr w14:paraId="24409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36A7E5BE">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21DD3A48">
                  <w:pPr>
                    <w:keepNext w:val="0"/>
                    <w:keepLines w:val="0"/>
                    <w:suppressLineNumbers w:val="0"/>
                    <w:spacing w:before="0" w:beforeAutospacing="0" w:after="0" w:afterAutospacing="0" w:line="280" w:lineRule="exact"/>
                    <w:ind w:left="0" w:right="0"/>
                    <w:rPr>
                      <w:rFonts w:hint="default"/>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5888A212">
                  <w:pPr>
                    <w:keepNext w:val="0"/>
                    <w:keepLines w:val="0"/>
                    <w:suppressLineNumbers w:val="0"/>
                    <w:spacing w:before="0" w:beforeAutospacing="0" w:after="0" w:afterAutospacing="0" w:line="280" w:lineRule="exact"/>
                    <w:ind w:left="0" w:right="0"/>
                    <w:rPr>
                      <w:rFonts w:hint="default"/>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4A28012C">
                  <w:pPr>
                    <w:keepNext w:val="0"/>
                    <w:keepLines w:val="0"/>
                    <w:suppressLineNumbers w:val="0"/>
                    <w:spacing w:before="0" w:beforeAutospacing="0" w:after="0" w:afterAutospacing="0" w:line="280" w:lineRule="exact"/>
                    <w:ind w:left="0" w:right="0"/>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4AF54770">
                  <w:pPr>
                    <w:keepNext w:val="0"/>
                    <w:keepLines w:val="0"/>
                    <w:suppressLineNumbers w:val="0"/>
                    <w:spacing w:before="0" w:beforeAutospacing="0" w:after="0" w:afterAutospacing="0" w:line="280" w:lineRule="exact"/>
                    <w:ind w:left="0" w:right="0"/>
                    <w:rPr>
                      <w:rFonts w:hint="default"/>
                      <w:color w:val="auto"/>
                      <w:highlight w:val="none"/>
                    </w:rPr>
                  </w:pPr>
                </w:p>
              </w:tc>
            </w:tr>
            <w:tr w14:paraId="22F1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0DD5C99A">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43B64518">
                  <w:pPr>
                    <w:keepNext w:val="0"/>
                    <w:keepLines w:val="0"/>
                    <w:suppressLineNumbers w:val="0"/>
                    <w:spacing w:before="0" w:beforeAutospacing="0" w:after="0" w:afterAutospacing="0" w:line="280" w:lineRule="exact"/>
                    <w:ind w:left="0" w:right="0"/>
                    <w:rPr>
                      <w:rFonts w:hint="default"/>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1ACDEFFA">
                  <w:pPr>
                    <w:keepNext w:val="0"/>
                    <w:keepLines w:val="0"/>
                    <w:suppressLineNumbers w:val="0"/>
                    <w:spacing w:before="0" w:beforeAutospacing="0" w:after="0" w:afterAutospacing="0" w:line="280" w:lineRule="exact"/>
                    <w:ind w:left="0" w:right="0"/>
                    <w:rPr>
                      <w:rFonts w:hint="default"/>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2B97E9BA">
                  <w:pPr>
                    <w:keepNext w:val="0"/>
                    <w:keepLines w:val="0"/>
                    <w:suppressLineNumbers w:val="0"/>
                    <w:spacing w:before="0" w:beforeAutospacing="0" w:after="0" w:afterAutospacing="0" w:line="280" w:lineRule="exact"/>
                    <w:ind w:left="0" w:right="0"/>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40625ED8">
                  <w:pPr>
                    <w:keepNext w:val="0"/>
                    <w:keepLines w:val="0"/>
                    <w:suppressLineNumbers w:val="0"/>
                    <w:spacing w:before="0" w:beforeAutospacing="0" w:after="0" w:afterAutospacing="0" w:line="280" w:lineRule="exact"/>
                    <w:ind w:left="0" w:right="0"/>
                    <w:rPr>
                      <w:rFonts w:hint="default"/>
                      <w:color w:val="auto"/>
                      <w:highlight w:val="none"/>
                    </w:rPr>
                  </w:pPr>
                </w:p>
              </w:tc>
            </w:tr>
          </w:tbl>
          <w:p w14:paraId="351E07C6">
            <w:pPr>
              <w:keepNext w:val="0"/>
              <w:keepLines w:val="0"/>
              <w:suppressLineNumbers w:val="0"/>
              <w:wordWrap w:val="0"/>
              <w:spacing w:before="0" w:beforeAutospacing="0" w:after="0" w:afterAutospacing="0" w:line="400" w:lineRule="exact"/>
              <w:ind w:left="0" w:right="420"/>
              <w:rPr>
                <w:rFonts w:hint="default"/>
                <w:color w:val="auto"/>
                <w:highlight w:val="none"/>
              </w:rPr>
            </w:pPr>
          </w:p>
          <w:p w14:paraId="699F7499">
            <w:pPr>
              <w:keepNext w:val="0"/>
              <w:keepLines w:val="0"/>
              <w:suppressLineNumbers w:val="0"/>
              <w:wordWrap w:val="0"/>
              <w:spacing w:before="0" w:beforeAutospacing="0" w:after="0" w:afterAutospacing="0" w:line="400" w:lineRule="exact"/>
              <w:ind w:left="0" w:right="420"/>
              <w:rPr>
                <w:rFonts w:hint="default"/>
                <w:color w:val="auto"/>
                <w:highlight w:val="none"/>
              </w:rPr>
            </w:pPr>
            <w:r>
              <w:rPr>
                <w:rFonts w:hint="default"/>
                <w:color w:val="auto"/>
                <w:highlight w:val="none"/>
              </w:rPr>
              <w:t xml:space="preserve">                                            </w:t>
            </w:r>
            <w:r>
              <w:rPr>
                <w:rFonts w:hint="eastAsia" w:ascii="宋体" w:hAnsi="宋体"/>
                <w:color w:val="auto"/>
                <w:highlight w:val="none"/>
              </w:rPr>
              <w:t xml:space="preserve">承包人（章） </w:t>
            </w:r>
            <w:r>
              <w:rPr>
                <w:rFonts w:hint="default"/>
                <w:color w:val="auto"/>
                <w:highlight w:val="none"/>
              </w:rPr>
              <w:t xml:space="preserve">            </w:t>
            </w:r>
          </w:p>
          <w:p w14:paraId="5E088508">
            <w:pPr>
              <w:keepNext w:val="0"/>
              <w:keepLines w:val="0"/>
              <w:suppressLineNumbers w:val="0"/>
              <w:spacing w:before="0" w:beforeAutospacing="0" w:after="0" w:afterAutospacing="0" w:line="400" w:lineRule="exact"/>
              <w:ind w:left="0" w:right="420" w:firstLine="435"/>
              <w:rPr>
                <w:rFonts w:hint="default"/>
                <w:color w:val="auto"/>
                <w:highlight w:val="none"/>
              </w:rPr>
            </w:pPr>
            <w:r>
              <w:rPr>
                <w:rFonts w:hint="eastAsia" w:ascii="宋体" w:hAnsi="宋体"/>
                <w:color w:val="auto"/>
                <w:highlight w:val="none"/>
              </w:rPr>
              <w:t>造价人员</w:t>
            </w:r>
            <w:r>
              <w:rPr>
                <w:rFonts w:hint="default"/>
                <w:color w:val="auto"/>
                <w:highlight w:val="none"/>
                <w:u w:val="single"/>
              </w:rPr>
              <w:t xml:space="preserve">               </w:t>
            </w:r>
            <w:r>
              <w:rPr>
                <w:rFonts w:hint="eastAsia" w:ascii="宋体" w:hAnsi="宋体"/>
                <w:color w:val="auto"/>
                <w:highlight w:val="none"/>
              </w:rPr>
              <w:t>承包人代表</w:t>
            </w:r>
            <w:r>
              <w:rPr>
                <w:rFonts w:hint="default"/>
                <w:color w:val="auto"/>
                <w:highlight w:val="none"/>
                <w:u w:val="singl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r w14:paraId="7F24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tcBorders>
              <w:top w:val="single" w:color="auto" w:sz="4" w:space="0"/>
              <w:left w:val="single" w:color="auto" w:sz="4" w:space="0"/>
              <w:bottom w:val="single" w:color="auto" w:sz="4" w:space="0"/>
              <w:right w:val="single" w:color="auto" w:sz="4" w:space="0"/>
            </w:tcBorders>
            <w:noWrap w:val="0"/>
            <w:vAlign w:val="top"/>
          </w:tcPr>
          <w:p w14:paraId="4C0FA2A2">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7B7B7DAB">
            <w:pPr>
              <w:keepNext w:val="0"/>
              <w:keepLines w:val="0"/>
              <w:suppressLineNumbers w:val="0"/>
              <w:spacing w:before="0" w:beforeAutospacing="0" w:after="0" w:afterAutospacing="0" w:line="360" w:lineRule="exact"/>
              <w:ind w:left="0" w:right="0" w:firstLine="312"/>
              <w:rPr>
                <w:rFonts w:hint="default"/>
                <w:color w:val="auto"/>
                <w:highlight w:val="none"/>
              </w:rPr>
            </w:pPr>
            <w:r>
              <w:rPr>
                <w:rFonts w:hint="eastAsia" w:ascii="宋体" w:hAnsi="宋体"/>
                <w:color w:val="auto"/>
                <w:highlight w:val="none"/>
              </w:rPr>
              <w:t>□与合同约定不相符</w:t>
            </w:r>
            <w:r>
              <w:rPr>
                <w:rFonts w:hint="eastAsia" w:ascii="宋体" w:hAnsi="宋体"/>
                <w:color w:val="auto"/>
                <w:highlight w:val="none"/>
                <w:lang w:eastAsia="zh-CN"/>
              </w:rPr>
              <w:t>，</w:t>
            </w:r>
            <w:r>
              <w:rPr>
                <w:rFonts w:hint="eastAsia" w:ascii="宋体" w:hAnsi="宋体"/>
                <w:color w:val="auto"/>
                <w:highlight w:val="none"/>
              </w:rPr>
              <w:t>修改意见见附件。</w:t>
            </w:r>
          </w:p>
          <w:p w14:paraId="110DD80F">
            <w:pPr>
              <w:keepNext w:val="0"/>
              <w:keepLines w:val="0"/>
              <w:suppressLineNumbers w:val="0"/>
              <w:spacing w:before="0" w:beforeAutospacing="0" w:after="0" w:afterAutospacing="0" w:line="360" w:lineRule="exact"/>
              <w:ind w:left="0" w:right="0" w:firstLine="312"/>
              <w:rPr>
                <w:rFonts w:hint="default"/>
                <w:color w:val="auto"/>
                <w:highlight w:val="none"/>
              </w:rPr>
            </w:pPr>
            <w:r>
              <w:rPr>
                <w:rFonts w:hint="eastAsia" w:ascii="宋体" w:hAnsi="宋体"/>
                <w:color w:val="auto"/>
                <w:highlight w:val="none"/>
              </w:rPr>
              <w:t>□与合同约定相符</w:t>
            </w:r>
            <w:r>
              <w:rPr>
                <w:rFonts w:hint="eastAsia" w:ascii="宋体" w:hAnsi="宋体"/>
                <w:color w:val="auto"/>
                <w:highlight w:val="none"/>
                <w:lang w:eastAsia="zh-CN"/>
              </w:rPr>
              <w:t>，</w:t>
            </w:r>
            <w:r>
              <w:rPr>
                <w:rFonts w:hint="eastAsia" w:ascii="宋体" w:hAnsi="宋体"/>
                <w:color w:val="auto"/>
                <w:highlight w:val="none"/>
              </w:rPr>
              <w:t>具体金额由造价工程师复核。</w:t>
            </w:r>
          </w:p>
          <w:p w14:paraId="02138F94">
            <w:pPr>
              <w:keepNext w:val="0"/>
              <w:keepLines w:val="0"/>
              <w:suppressLineNumbers w:val="0"/>
              <w:spacing w:before="0" w:beforeAutospacing="0" w:after="0" w:afterAutospacing="0" w:line="360" w:lineRule="exact"/>
              <w:ind w:left="0" w:right="0" w:firstLine="435"/>
              <w:jc w:val="right"/>
              <w:rPr>
                <w:rFonts w:hint="default"/>
                <w:color w:val="auto"/>
                <w:highlight w:val="none"/>
              </w:rPr>
            </w:pPr>
          </w:p>
          <w:p w14:paraId="1054E15B">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监理工程师</w:t>
            </w:r>
            <w:r>
              <w:rPr>
                <w:rFonts w:hint="default"/>
                <w:color w:val="auto"/>
                <w:highlight w:val="none"/>
                <w:u w:val="single"/>
              </w:rPr>
              <w:t xml:space="preserve">           </w:t>
            </w:r>
          </w:p>
          <w:p w14:paraId="6C8EBB49">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c>
          <w:tcPr>
            <w:tcW w:w="4552" w:type="dxa"/>
            <w:tcBorders>
              <w:top w:val="single" w:color="auto" w:sz="4" w:space="0"/>
              <w:left w:val="single" w:color="auto" w:sz="4" w:space="0"/>
              <w:bottom w:val="single" w:color="auto" w:sz="4" w:space="0"/>
              <w:right w:val="single" w:color="auto" w:sz="4" w:space="0"/>
            </w:tcBorders>
            <w:noWrap w:val="0"/>
            <w:vAlign w:val="top"/>
          </w:tcPr>
          <w:p w14:paraId="4BAD9901">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4293C4BD">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你方提出的支付申请经复核</w:t>
            </w:r>
            <w:r>
              <w:rPr>
                <w:rFonts w:hint="eastAsia" w:ascii="宋体" w:hAnsi="宋体"/>
                <w:color w:val="auto"/>
                <w:highlight w:val="none"/>
                <w:lang w:eastAsia="zh-CN"/>
              </w:rPr>
              <w:t>，</w:t>
            </w:r>
            <w:r>
              <w:rPr>
                <w:rFonts w:hint="eastAsia" w:ascii="宋体" w:hAnsi="宋体"/>
                <w:color w:val="auto"/>
                <w:highlight w:val="none"/>
              </w:rPr>
              <w:t>应支付预付款金额为</w:t>
            </w:r>
            <w:r>
              <w:rPr>
                <w:rFonts w:hint="eastAsia"/>
                <w:color w:val="auto"/>
                <w:highlight w:val="none"/>
                <w:lang w:eastAsia="zh-CN"/>
              </w:rPr>
              <w:t>（</w:t>
            </w:r>
            <w:r>
              <w:rPr>
                <w:rFonts w:hint="eastAsia" w:ascii="宋体" w:hAnsi="宋体"/>
                <w:color w:val="auto"/>
                <w:highlight w:val="none"/>
              </w:rPr>
              <w:t>大写</w:t>
            </w:r>
            <w:r>
              <w:rPr>
                <w:rFonts w:hint="eastAsia"/>
                <w:color w:val="auto"/>
                <w:highlight w:val="none"/>
                <w:lang w:eastAsia="zh-CN"/>
              </w:rPr>
              <w:t>）</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（小写）</w:t>
            </w:r>
          </w:p>
          <w:p w14:paraId="00C85599">
            <w:pPr>
              <w:keepNext w:val="0"/>
              <w:keepLines w:val="0"/>
              <w:suppressLineNumbers w:val="0"/>
              <w:spacing w:before="0" w:beforeAutospacing="0" w:after="0" w:afterAutospacing="0" w:line="360" w:lineRule="exact"/>
              <w:ind w:left="0" w:right="0"/>
              <w:rPr>
                <w:rFonts w:hint="default"/>
                <w:color w:val="auto"/>
                <w:highlight w:val="none"/>
              </w:rPr>
            </w:pPr>
            <w:r>
              <w:rPr>
                <w:rFonts w:hint="default"/>
                <w:color w:val="auto"/>
                <w:highlight w:val="none"/>
                <w:u w:val="single"/>
              </w:rPr>
              <w:t xml:space="preserve">          </w:t>
            </w:r>
            <w:r>
              <w:rPr>
                <w:rFonts w:hint="default"/>
                <w:color w:val="auto"/>
                <w:highlight w:val="none"/>
              </w:rPr>
              <w:t xml:space="preserve"> </w:t>
            </w:r>
            <w:r>
              <w:rPr>
                <w:rFonts w:hint="eastAsia" w:ascii="宋体" w:hAnsi="宋体"/>
                <w:color w:val="auto"/>
                <w:highlight w:val="none"/>
              </w:rPr>
              <w:t>元。</w:t>
            </w:r>
          </w:p>
          <w:p w14:paraId="79810D45">
            <w:pPr>
              <w:keepNext w:val="0"/>
              <w:keepLines w:val="0"/>
              <w:suppressLineNumbers w:val="0"/>
              <w:spacing w:before="0" w:beforeAutospacing="0" w:after="0" w:afterAutospacing="0" w:line="360" w:lineRule="exact"/>
              <w:ind w:left="0" w:right="0"/>
              <w:rPr>
                <w:rFonts w:hint="default"/>
                <w:color w:val="auto"/>
                <w:highlight w:val="none"/>
                <w:u w:val="single"/>
              </w:rPr>
            </w:pPr>
          </w:p>
          <w:p w14:paraId="3CAA4F63">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造价工程师</w:t>
            </w:r>
            <w:r>
              <w:rPr>
                <w:rFonts w:hint="default"/>
                <w:color w:val="auto"/>
                <w:highlight w:val="none"/>
                <w:u w:val="single"/>
              </w:rPr>
              <w:t xml:space="preserve">           </w:t>
            </w:r>
          </w:p>
          <w:p w14:paraId="5169E025">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r w14:paraId="0FBA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68C761B4">
            <w:pPr>
              <w:keepNext w:val="0"/>
              <w:keepLines w:val="0"/>
              <w:suppressLineNumbers w:val="0"/>
              <w:spacing w:before="0" w:beforeAutospacing="0" w:after="0" w:afterAutospacing="0" w:line="400" w:lineRule="exact"/>
              <w:ind w:left="0" w:right="0"/>
              <w:rPr>
                <w:rFonts w:hint="default"/>
                <w:color w:val="auto"/>
                <w:highlight w:val="none"/>
              </w:rPr>
            </w:pPr>
            <w:r>
              <w:rPr>
                <w:rFonts w:hint="eastAsia" w:ascii="宋体" w:hAnsi="宋体"/>
                <w:color w:val="auto"/>
                <w:highlight w:val="none"/>
              </w:rPr>
              <w:t>审核意见：</w:t>
            </w:r>
          </w:p>
          <w:p w14:paraId="1000363A">
            <w:pPr>
              <w:keepNext w:val="0"/>
              <w:keepLines w:val="0"/>
              <w:suppressLineNumbers w:val="0"/>
              <w:spacing w:before="0" w:beforeAutospacing="0" w:after="0" w:afterAutospacing="0" w:line="400" w:lineRule="exact"/>
              <w:ind w:left="0" w:right="0" w:firstLine="435"/>
              <w:rPr>
                <w:rFonts w:hint="default"/>
                <w:color w:val="auto"/>
                <w:highlight w:val="none"/>
              </w:rPr>
            </w:pPr>
            <w:r>
              <w:rPr>
                <w:rFonts w:hint="eastAsia" w:ascii="宋体" w:hAnsi="宋体"/>
                <w:color w:val="auto"/>
                <w:highlight w:val="none"/>
              </w:rPr>
              <w:t>□不同意。</w:t>
            </w:r>
          </w:p>
          <w:p w14:paraId="38343743">
            <w:pPr>
              <w:keepNext w:val="0"/>
              <w:keepLines w:val="0"/>
              <w:suppressLineNumbers w:val="0"/>
              <w:spacing w:before="0" w:beforeAutospacing="0" w:after="0" w:afterAutospacing="0" w:line="400" w:lineRule="exact"/>
              <w:ind w:left="0" w:right="0" w:firstLine="428" w:firstLineChars="200"/>
              <w:rPr>
                <w:rFonts w:hint="default"/>
                <w:color w:val="auto"/>
                <w:highlight w:val="none"/>
              </w:rPr>
            </w:pPr>
            <w:r>
              <w:rPr>
                <w:rFonts w:hint="eastAsia" w:ascii="宋体" w:hAnsi="宋体"/>
                <w:color w:val="auto"/>
                <w:highlight w:val="none"/>
              </w:rPr>
              <w:t>□同意</w:t>
            </w:r>
            <w:r>
              <w:rPr>
                <w:rFonts w:hint="eastAsia" w:ascii="宋体" w:hAnsi="宋体"/>
                <w:color w:val="auto"/>
                <w:highlight w:val="none"/>
                <w:lang w:eastAsia="zh-CN"/>
              </w:rPr>
              <w:t>，</w:t>
            </w:r>
            <w:r>
              <w:rPr>
                <w:rFonts w:hint="eastAsia" w:ascii="宋体" w:hAnsi="宋体"/>
                <w:color w:val="auto"/>
                <w:highlight w:val="none"/>
              </w:rPr>
              <w:t>支付时间为本表签发后的</w:t>
            </w:r>
            <w:r>
              <w:rPr>
                <w:rFonts w:hint="eastAsia"/>
                <w:color w:val="auto"/>
                <w:highlight w:val="none"/>
              </w:rPr>
              <w:t>15</w:t>
            </w:r>
            <w:r>
              <w:rPr>
                <w:rFonts w:hint="eastAsia" w:ascii="宋体" w:hAnsi="宋体"/>
                <w:color w:val="auto"/>
                <w:highlight w:val="none"/>
              </w:rPr>
              <w:t>天内。</w:t>
            </w:r>
          </w:p>
          <w:p w14:paraId="69139034">
            <w:pPr>
              <w:keepNext w:val="0"/>
              <w:keepLines w:val="0"/>
              <w:suppressLineNumbers w:val="0"/>
              <w:wordWrap w:val="0"/>
              <w:spacing w:before="0" w:beforeAutospacing="0" w:after="0" w:afterAutospacing="0" w:line="400" w:lineRule="exact"/>
              <w:ind w:left="0" w:right="0" w:firstLine="428" w:firstLineChars="200"/>
              <w:jc w:val="right"/>
              <w:rPr>
                <w:rFonts w:hint="default"/>
                <w:color w:val="auto"/>
                <w:highlight w:val="none"/>
              </w:rPr>
            </w:pPr>
            <w:r>
              <w:rPr>
                <w:rFonts w:hint="eastAsia" w:ascii="宋体" w:hAnsi="宋体"/>
                <w:color w:val="auto"/>
                <w:highlight w:val="none"/>
              </w:rPr>
              <w:t xml:space="preserve">发包人（章） </w:t>
            </w:r>
            <w:r>
              <w:rPr>
                <w:rFonts w:hint="default"/>
                <w:color w:val="auto"/>
                <w:highlight w:val="none"/>
              </w:rPr>
              <w:t xml:space="preserve">          </w:t>
            </w:r>
          </w:p>
          <w:p w14:paraId="77B2004A">
            <w:pPr>
              <w:keepNext w:val="0"/>
              <w:keepLines w:val="0"/>
              <w:suppressLineNumbers w:val="0"/>
              <w:wordWrap w:val="0"/>
              <w:spacing w:before="0" w:beforeAutospacing="0" w:after="0" w:afterAutospacing="0" w:line="400" w:lineRule="exact"/>
              <w:ind w:left="0" w:right="0" w:firstLine="428" w:firstLineChars="200"/>
              <w:jc w:val="right"/>
              <w:rPr>
                <w:rFonts w:hint="default"/>
                <w:color w:val="auto"/>
                <w:highlight w:val="none"/>
                <w:u w:val="single"/>
              </w:rPr>
            </w:pPr>
            <w:r>
              <w:rPr>
                <w:rFonts w:hint="eastAsia" w:ascii="宋体" w:hAnsi="宋体"/>
                <w:color w:val="auto"/>
                <w:highlight w:val="none"/>
              </w:rPr>
              <w:t>发包人代表</w:t>
            </w:r>
            <w:r>
              <w:rPr>
                <w:rFonts w:hint="default"/>
                <w:color w:val="auto"/>
                <w:highlight w:val="none"/>
                <w:u w:val="single"/>
              </w:rPr>
              <w:t xml:space="preserve">             </w:t>
            </w:r>
          </w:p>
          <w:p w14:paraId="4CFC4790">
            <w:pPr>
              <w:keepNext w:val="0"/>
              <w:keepLines w:val="0"/>
              <w:suppressLineNumbers w:val="0"/>
              <w:wordWrap w:val="0"/>
              <w:spacing w:before="0" w:beforeAutospacing="0" w:after="0" w:afterAutospacing="0" w:line="400" w:lineRule="exact"/>
              <w:ind w:left="0" w:right="0" w:firstLine="428" w:firstLineChars="200"/>
              <w:jc w:val="right"/>
              <w:rPr>
                <w:rFonts w:hint="default"/>
                <w:color w:val="auto"/>
                <w:highlight w:val="none"/>
                <w:u w:val="single"/>
              </w:rPr>
            </w:pP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bl>
    <w:p w14:paraId="6FB864C8">
      <w:pPr>
        <w:ind w:firstLine="368" w:firstLineChars="200"/>
        <w:rPr>
          <w:color w:val="auto"/>
          <w:sz w:val="18"/>
          <w:szCs w:val="18"/>
          <w:highlight w:val="none"/>
        </w:rPr>
      </w:pPr>
      <w:r>
        <w:rPr>
          <w:rFonts w:hint="eastAsia" w:ascii="宋体" w:hAnsi="宋体"/>
          <w:color w:val="auto"/>
          <w:sz w:val="18"/>
          <w:szCs w:val="18"/>
          <w:highlight w:val="none"/>
        </w:rPr>
        <w:t>注：</w:t>
      </w:r>
      <w:r>
        <w:rPr>
          <w:rFonts w:hint="eastAsia"/>
          <w:color w:val="auto"/>
          <w:sz w:val="18"/>
          <w:szCs w:val="18"/>
          <w:highlight w:val="none"/>
        </w:rPr>
        <w:t>1.</w:t>
      </w:r>
      <w:r>
        <w:rPr>
          <w:rFonts w:hint="eastAsia" w:ascii="宋体" w:hAnsi="宋体"/>
          <w:color w:val="auto"/>
          <w:sz w:val="18"/>
          <w:szCs w:val="18"/>
          <w:highlight w:val="none"/>
        </w:rPr>
        <w:t xml:space="preserve">在选择栏中的“□”内作标识“√”。 </w:t>
      </w:r>
    </w:p>
    <w:p w14:paraId="6305C83E">
      <w:pPr>
        <w:pStyle w:val="40"/>
        <w:ind w:leftChars="0" w:firstLine="0" w:firstLineChars="0"/>
        <w:rPr>
          <w:rFonts w:hint="eastAsia" w:ascii="宋体" w:hAnsi="宋体"/>
          <w:color w:val="auto"/>
          <w:sz w:val="18"/>
          <w:szCs w:val="18"/>
          <w:highlight w:val="none"/>
        </w:rPr>
      </w:pPr>
      <w:r>
        <w:rPr>
          <w:rFonts w:hint="eastAsia" w:ascii="宋体" w:hAnsi="宋体"/>
          <w:color w:val="auto"/>
          <w:sz w:val="18"/>
          <w:szCs w:val="18"/>
          <w:highlight w:val="none"/>
        </w:rPr>
        <w:t xml:space="preserve">    </w:t>
      </w:r>
      <w:r>
        <w:rPr>
          <w:color w:val="auto"/>
          <w:sz w:val="18"/>
          <w:szCs w:val="18"/>
          <w:highlight w:val="none"/>
        </w:rPr>
        <w:t xml:space="preserve">  </w:t>
      </w:r>
      <w:r>
        <w:rPr>
          <w:rFonts w:hint="eastAsia" w:ascii="宋体" w:hAnsi="宋体"/>
          <w:color w:val="auto"/>
          <w:sz w:val="18"/>
          <w:szCs w:val="18"/>
          <w:highlight w:val="none"/>
        </w:rPr>
        <w:t xml:space="preserve">  </w:t>
      </w:r>
      <w:r>
        <w:rPr>
          <w:rFonts w:hint="eastAsia"/>
          <w:color w:val="auto"/>
          <w:sz w:val="18"/>
          <w:szCs w:val="18"/>
          <w:highlight w:val="none"/>
        </w:rPr>
        <w:t>2.</w:t>
      </w:r>
      <w:r>
        <w:rPr>
          <w:rFonts w:hint="eastAsia" w:ascii="宋体" w:hAnsi="宋体"/>
          <w:color w:val="auto"/>
          <w:sz w:val="18"/>
          <w:szCs w:val="18"/>
          <w:highlight w:val="none"/>
        </w:rPr>
        <w:t>本表一式四份</w:t>
      </w:r>
      <w:r>
        <w:rPr>
          <w:rFonts w:hint="eastAsia" w:ascii="宋体" w:hAnsi="宋体"/>
          <w:color w:val="auto"/>
          <w:sz w:val="18"/>
          <w:szCs w:val="18"/>
          <w:highlight w:val="none"/>
          <w:lang w:eastAsia="zh-CN"/>
        </w:rPr>
        <w:t>，</w:t>
      </w:r>
      <w:r>
        <w:rPr>
          <w:rFonts w:hint="eastAsia" w:ascii="宋体" w:hAnsi="宋体"/>
          <w:color w:val="auto"/>
          <w:sz w:val="18"/>
          <w:szCs w:val="18"/>
          <w:highlight w:val="none"/>
        </w:rPr>
        <w:t>由承包人填报</w:t>
      </w:r>
      <w:r>
        <w:rPr>
          <w:rFonts w:hint="eastAsia" w:ascii="宋体" w:hAnsi="宋体"/>
          <w:color w:val="auto"/>
          <w:sz w:val="18"/>
          <w:szCs w:val="18"/>
          <w:highlight w:val="none"/>
          <w:lang w:eastAsia="zh-CN"/>
        </w:rPr>
        <w:t>，</w:t>
      </w:r>
      <w:r>
        <w:rPr>
          <w:rFonts w:hint="eastAsia" w:ascii="宋体" w:hAnsi="宋体"/>
          <w:color w:val="auto"/>
          <w:sz w:val="18"/>
          <w:szCs w:val="18"/>
          <w:highlight w:val="none"/>
        </w:rPr>
        <w:t xml:space="preserve">发包人、监理人、造价咨询人、承包人各存一份。     </w:t>
      </w:r>
    </w:p>
    <w:p w14:paraId="21E4144D">
      <w:pPr>
        <w:pStyle w:val="40"/>
        <w:ind w:leftChars="0" w:firstLine="0" w:firstLineChars="0"/>
        <w:rPr>
          <w:rFonts w:hint="eastAsia" w:ascii="宋体" w:hAnsi="宋体"/>
          <w:color w:val="auto"/>
          <w:sz w:val="18"/>
          <w:szCs w:val="18"/>
          <w:highlight w:val="none"/>
        </w:rPr>
      </w:pPr>
    </w:p>
    <w:p w14:paraId="1CC056F6">
      <w:pPr>
        <w:widowControl/>
        <w:wordWrap/>
        <w:spacing w:before="120" w:beforeLines="50" w:after="120" w:afterLines="50" w:line="440" w:lineRule="exact"/>
        <w:jc w:val="left"/>
        <w:outlineLvl w:val="9"/>
        <w:rPr>
          <w:rFonts w:hint="eastAsia" w:ascii="仿宋_GB2312" w:hAnsi="Times New Roman" w:eastAsia="仿宋_GB2312" w:cs="仿宋_GB2312"/>
          <w:b w:val="0"/>
          <w:color w:val="auto"/>
          <w:sz w:val="30"/>
          <w:szCs w:val="30"/>
          <w:highlight w:val="none"/>
          <w:lang w:val="en-US" w:eastAsia="zh-CN"/>
        </w:rPr>
      </w:pPr>
      <w:r>
        <w:rPr>
          <w:rFonts w:hint="eastAsia" w:ascii="仿宋_GB2312" w:hAnsi="Times New Roman" w:eastAsia="仿宋_GB2312" w:cs="仿宋_GB2312"/>
          <w:b w:val="0"/>
          <w:color w:val="auto"/>
          <w:sz w:val="30"/>
          <w:szCs w:val="30"/>
          <w:highlight w:val="none"/>
          <w:lang w:val="en-US" w:eastAsia="zh-CN"/>
        </w:rPr>
        <w:t xml:space="preserve">附件19 </w:t>
      </w:r>
      <w:r>
        <w:rPr>
          <w:rFonts w:hint="eastAsia" w:ascii="仿宋_GB2312" w:hAnsi="Times New Roman" w:eastAsia="仿宋_GB2312" w:cs="仿宋_GB2312"/>
          <w:b w:val="0"/>
          <w:color w:val="auto"/>
          <w:sz w:val="30"/>
          <w:szCs w:val="30"/>
          <w:highlight w:val="none"/>
          <w:lang w:val="en-US"/>
        </w:rPr>
        <w:t>发包人提供材料一览表</w:t>
      </w:r>
    </w:p>
    <w:p w14:paraId="71A83592">
      <w:pPr>
        <w:widowControl/>
        <w:jc w:val="center"/>
        <w:rPr>
          <w:b/>
          <w:color w:val="auto"/>
          <w:sz w:val="36"/>
          <w:szCs w:val="36"/>
          <w:highlight w:val="none"/>
        </w:rPr>
      </w:pPr>
      <w:r>
        <w:rPr>
          <w:rFonts w:hint="eastAsia" w:ascii="宋体" w:hAnsi="宋体" w:cs="Times New Roman"/>
          <w:b/>
          <w:color w:val="auto"/>
          <w:sz w:val="36"/>
          <w:szCs w:val="36"/>
          <w:highlight w:val="none"/>
        </w:rPr>
        <w:t>发包人提供材料一览表</w:t>
      </w:r>
    </w:p>
    <w:p w14:paraId="502B8231">
      <w:pPr>
        <w:rPr>
          <w:color w:val="auto"/>
          <w:highlight w:val="none"/>
        </w:rPr>
      </w:pPr>
      <w:r>
        <w:rPr>
          <w:color w:val="auto"/>
          <w:highlight w:val="none"/>
        </w:rPr>
        <w:t xml:space="preserve"> </w:t>
      </w:r>
    </w:p>
    <w:p w14:paraId="5CB21B22">
      <w:pPr>
        <w:ind w:firstLine="428" w:firstLineChars="200"/>
        <w:rPr>
          <w:color w:val="auto"/>
          <w:highlight w:val="none"/>
        </w:rPr>
      </w:pPr>
      <w:r>
        <w:rPr>
          <w:rFonts w:hint="eastAsia" w:ascii="宋体" w:hAnsi="宋体"/>
          <w:color w:val="auto"/>
          <w:highlight w:val="none"/>
        </w:rPr>
        <w:t xml:space="preserve">工程名称：                                                  </w:t>
      </w:r>
      <w:r>
        <w:rPr>
          <w:rFonts w:hint="eastAsia" w:ascii="宋体" w:hAnsi="宋体"/>
          <w:color w:val="auto"/>
          <w:highlight w:val="none"/>
          <w:lang w:val="en-US" w:eastAsia="zh-CN"/>
        </w:rPr>
        <w:t xml:space="preserve">       </w:t>
      </w:r>
      <w:r>
        <w:rPr>
          <w:rFonts w:hint="eastAsia" w:ascii="宋体" w:hAnsi="宋体"/>
          <w:color w:val="auto"/>
          <w:highlight w:val="none"/>
        </w:rPr>
        <w:t xml:space="preserve"> 第  页  共  页</w:t>
      </w:r>
    </w:p>
    <w:tbl>
      <w:tblPr>
        <w:tblStyle w:val="41"/>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1976"/>
        <w:gridCol w:w="744"/>
        <w:gridCol w:w="743"/>
        <w:gridCol w:w="979"/>
        <w:gridCol w:w="979"/>
        <w:gridCol w:w="1118"/>
        <w:gridCol w:w="805"/>
        <w:gridCol w:w="853"/>
      </w:tblGrid>
      <w:tr w14:paraId="23B0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7801A096">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ascii="宋体" w:hAnsi="宋体"/>
                <w:color w:val="auto"/>
                <w:szCs w:val="21"/>
                <w:highlight w:val="none"/>
              </w:rPr>
              <w:t>序号</w:t>
            </w:r>
          </w:p>
        </w:tc>
        <w:tc>
          <w:tcPr>
            <w:tcW w:w="1976" w:type="dxa"/>
            <w:tcBorders>
              <w:top w:val="single" w:color="auto" w:sz="4" w:space="0"/>
              <w:left w:val="single" w:color="auto" w:sz="4" w:space="0"/>
              <w:bottom w:val="single" w:color="auto" w:sz="4" w:space="0"/>
              <w:right w:val="single" w:color="auto" w:sz="4" w:space="0"/>
            </w:tcBorders>
            <w:noWrap w:val="0"/>
            <w:vAlign w:val="center"/>
          </w:tcPr>
          <w:p w14:paraId="0E9DF31C">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ascii="宋体" w:hAnsi="宋体"/>
                <w:color w:val="auto"/>
                <w:szCs w:val="21"/>
                <w:highlight w:val="none"/>
              </w:rPr>
              <w:t>名称、规格、型号</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4B2266F1">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ascii="宋体" w:hAnsi="宋体"/>
                <w:color w:val="auto"/>
                <w:szCs w:val="21"/>
                <w:highlight w:val="none"/>
              </w:rPr>
              <w:t>单位</w:t>
            </w:r>
          </w:p>
        </w:tc>
        <w:tc>
          <w:tcPr>
            <w:tcW w:w="743" w:type="dxa"/>
            <w:tcBorders>
              <w:top w:val="single" w:color="auto" w:sz="4" w:space="0"/>
              <w:left w:val="single" w:color="auto" w:sz="4" w:space="0"/>
              <w:bottom w:val="single" w:color="auto" w:sz="4" w:space="0"/>
              <w:right w:val="single" w:color="auto" w:sz="4" w:space="0"/>
            </w:tcBorders>
            <w:noWrap w:val="0"/>
            <w:vAlign w:val="center"/>
          </w:tcPr>
          <w:p w14:paraId="5EC735AD">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ascii="宋体" w:hAnsi="宋体"/>
                <w:color w:val="auto"/>
                <w:szCs w:val="21"/>
                <w:highlight w:val="none"/>
              </w:rPr>
              <w:t>数量</w:t>
            </w:r>
          </w:p>
        </w:tc>
        <w:tc>
          <w:tcPr>
            <w:tcW w:w="979" w:type="dxa"/>
            <w:tcBorders>
              <w:top w:val="single" w:color="auto" w:sz="4" w:space="0"/>
              <w:left w:val="single" w:color="auto" w:sz="4" w:space="0"/>
              <w:bottom w:val="single" w:color="auto" w:sz="4" w:space="0"/>
              <w:right w:val="single" w:color="auto" w:sz="4" w:space="0"/>
            </w:tcBorders>
            <w:noWrap w:val="0"/>
            <w:vAlign w:val="center"/>
          </w:tcPr>
          <w:p w14:paraId="05855EA9">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ascii="宋体" w:hAnsi="宋体"/>
                <w:color w:val="auto"/>
                <w:szCs w:val="21"/>
                <w:highlight w:val="none"/>
              </w:rPr>
              <w:t>单价（元）</w:t>
            </w:r>
          </w:p>
        </w:tc>
        <w:tc>
          <w:tcPr>
            <w:tcW w:w="979" w:type="dxa"/>
            <w:tcBorders>
              <w:top w:val="single" w:color="auto" w:sz="4" w:space="0"/>
              <w:left w:val="single" w:color="auto" w:sz="4" w:space="0"/>
              <w:bottom w:val="single" w:color="auto" w:sz="4" w:space="0"/>
              <w:right w:val="single" w:color="auto" w:sz="4" w:space="0"/>
            </w:tcBorders>
            <w:noWrap w:val="0"/>
            <w:vAlign w:val="center"/>
          </w:tcPr>
          <w:p w14:paraId="1CC2EF60">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ascii="宋体" w:hAnsi="宋体"/>
                <w:color w:val="auto"/>
                <w:szCs w:val="21"/>
                <w:highlight w:val="none"/>
              </w:rPr>
              <w:t>合价（元）</w:t>
            </w:r>
          </w:p>
        </w:tc>
        <w:tc>
          <w:tcPr>
            <w:tcW w:w="1118" w:type="dxa"/>
            <w:tcBorders>
              <w:top w:val="single" w:color="auto" w:sz="4" w:space="0"/>
              <w:left w:val="single" w:color="auto" w:sz="4" w:space="0"/>
              <w:bottom w:val="single" w:color="auto" w:sz="4" w:space="0"/>
              <w:right w:val="single" w:color="auto" w:sz="4" w:space="0"/>
            </w:tcBorders>
            <w:noWrap w:val="0"/>
            <w:vAlign w:val="center"/>
          </w:tcPr>
          <w:p w14:paraId="4979EFBC">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ascii="宋体" w:hAnsi="宋体"/>
                <w:color w:val="auto"/>
                <w:szCs w:val="21"/>
                <w:highlight w:val="none"/>
              </w:rPr>
              <w:t>有效损耗率（%）</w:t>
            </w:r>
          </w:p>
        </w:tc>
        <w:tc>
          <w:tcPr>
            <w:tcW w:w="805" w:type="dxa"/>
            <w:tcBorders>
              <w:top w:val="single" w:color="auto" w:sz="4" w:space="0"/>
              <w:left w:val="single" w:color="auto" w:sz="4" w:space="0"/>
              <w:bottom w:val="single" w:color="auto" w:sz="4" w:space="0"/>
              <w:right w:val="single" w:color="auto" w:sz="4" w:space="0"/>
            </w:tcBorders>
            <w:noWrap w:val="0"/>
            <w:vAlign w:val="center"/>
          </w:tcPr>
          <w:p w14:paraId="56D14C9B">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ascii="宋体" w:hAnsi="宋体"/>
                <w:color w:val="auto"/>
                <w:szCs w:val="21"/>
                <w:highlight w:val="none"/>
                <w:lang w:eastAsia="zh-CN"/>
              </w:rPr>
              <w:t>交货地点</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764FFBC9">
            <w:pPr>
              <w:keepNext w:val="0"/>
              <w:keepLines w:val="0"/>
              <w:suppressLineNumbers w:val="0"/>
              <w:spacing w:before="0" w:beforeAutospacing="0" w:after="0" w:afterAutospacing="0"/>
              <w:ind w:left="0" w:right="0"/>
              <w:jc w:val="center"/>
              <w:rPr>
                <w:rFonts w:hint="eastAsia" w:ascii="宋体" w:hAnsi="宋体"/>
                <w:color w:val="auto"/>
                <w:szCs w:val="21"/>
                <w:highlight w:val="none"/>
              </w:rPr>
            </w:pPr>
            <w:r>
              <w:rPr>
                <w:rFonts w:hint="eastAsia" w:ascii="宋体" w:hAnsi="宋体"/>
                <w:color w:val="auto"/>
                <w:szCs w:val="21"/>
                <w:highlight w:val="none"/>
              </w:rPr>
              <w:t>备注</w:t>
            </w:r>
          </w:p>
        </w:tc>
      </w:tr>
      <w:tr w14:paraId="76FF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6789B6B7">
            <w:pPr>
              <w:keepNext w:val="0"/>
              <w:keepLines w:val="0"/>
              <w:suppressLineNumbers w:val="0"/>
              <w:spacing w:before="0" w:beforeAutospacing="0" w:after="0" w:afterAutospacing="0"/>
              <w:ind w:left="0" w:leftChars="0" w:right="0" w:rightChars="0"/>
              <w:jc w:val="center"/>
              <w:rPr>
                <w:rFonts w:hint="default" w:ascii="宋体" w:hAnsi="宋体"/>
                <w:b/>
                <w:bCs/>
                <w:color w:val="auto"/>
                <w:szCs w:val="21"/>
                <w:highlight w:val="none"/>
              </w:rPr>
            </w:pPr>
            <w:r>
              <w:rPr>
                <w:rFonts w:hint="eastAsia" w:ascii="宋体" w:hAnsi="宋体"/>
                <w:b/>
                <w:bCs/>
                <w:color w:val="auto"/>
                <w:szCs w:val="21"/>
                <w:highlight w:val="none"/>
                <w:lang w:val="en-US" w:eastAsia="zh-CN"/>
              </w:rPr>
              <w:t>一</w:t>
            </w:r>
          </w:p>
        </w:tc>
        <w:tc>
          <w:tcPr>
            <w:tcW w:w="1976" w:type="dxa"/>
            <w:tcBorders>
              <w:top w:val="single" w:color="auto" w:sz="4" w:space="0"/>
              <w:left w:val="single" w:color="auto" w:sz="4" w:space="0"/>
              <w:bottom w:val="single" w:color="auto" w:sz="4" w:space="0"/>
              <w:right w:val="single" w:color="auto" w:sz="4" w:space="0"/>
            </w:tcBorders>
            <w:noWrap w:val="0"/>
            <w:vAlign w:val="center"/>
          </w:tcPr>
          <w:p w14:paraId="269EA921">
            <w:pPr>
              <w:keepNext w:val="0"/>
              <w:keepLines w:val="0"/>
              <w:suppressLineNumbers w:val="0"/>
              <w:spacing w:before="0" w:beforeAutospacing="0" w:after="0" w:afterAutospacing="0"/>
              <w:ind w:left="0" w:leftChars="0" w:right="0" w:rightChars="0"/>
              <w:jc w:val="left"/>
              <w:rPr>
                <w:rFonts w:hint="eastAsia" w:ascii="宋体" w:hAnsi="宋体" w:eastAsia="宋体"/>
                <w:b/>
                <w:bCs/>
                <w:color w:val="auto"/>
                <w:szCs w:val="21"/>
                <w:highlight w:val="none"/>
              </w:rPr>
            </w:pPr>
            <w:r>
              <w:rPr>
                <w:rFonts w:hint="eastAsia" w:ascii="宋体" w:hAnsi="宋体"/>
                <w:b/>
                <w:bCs/>
                <w:color w:val="auto"/>
                <w:szCs w:val="21"/>
                <w:highlight w:val="none"/>
                <w:lang w:eastAsia="zh-CN"/>
              </w:rPr>
              <w:t>单项工程</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478B14F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5818F2E3">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2BC5C6A4">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04D2C2D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4CD6A30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23B7DC23">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5080F2FA">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3E97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58EDFB69">
            <w:pPr>
              <w:keepNext w:val="0"/>
              <w:keepLines w:val="0"/>
              <w:suppressLineNumbers w:val="0"/>
              <w:spacing w:before="0" w:beforeAutospacing="0" w:after="0" w:afterAutospacing="0"/>
              <w:ind w:left="0" w:leftChars="0" w:right="0" w:rightChars="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b w:val="0"/>
                <w:bCs w:val="0"/>
                <w:color w:val="auto"/>
                <w:szCs w:val="21"/>
                <w:highlight w:val="none"/>
                <w:lang w:eastAsia="zh-CN"/>
              </w:rPr>
              <w:t>（一）</w:t>
            </w:r>
          </w:p>
        </w:tc>
        <w:tc>
          <w:tcPr>
            <w:tcW w:w="1976" w:type="dxa"/>
            <w:tcBorders>
              <w:top w:val="single" w:color="auto" w:sz="4" w:space="0"/>
              <w:left w:val="single" w:color="auto" w:sz="4" w:space="0"/>
              <w:bottom w:val="single" w:color="auto" w:sz="4" w:space="0"/>
              <w:right w:val="single" w:color="auto" w:sz="4" w:space="0"/>
            </w:tcBorders>
            <w:noWrap w:val="0"/>
            <w:vAlign w:val="center"/>
          </w:tcPr>
          <w:p w14:paraId="3EC185C3">
            <w:pPr>
              <w:keepNext w:val="0"/>
              <w:keepLines w:val="0"/>
              <w:suppressLineNumbers w:val="0"/>
              <w:spacing w:before="0" w:beforeAutospacing="0" w:after="0" w:afterAutospacing="0"/>
              <w:ind w:left="0" w:leftChars="0" w:right="0" w:rightChars="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b w:val="0"/>
                <w:bCs w:val="0"/>
                <w:color w:val="auto"/>
                <w:szCs w:val="21"/>
                <w:highlight w:val="none"/>
                <w:lang w:eastAsia="zh-CN"/>
              </w:rPr>
              <w:t>单位</w:t>
            </w:r>
            <w:r>
              <w:rPr>
                <w:rFonts w:hint="eastAsia" w:ascii="宋体" w:hAnsi="宋体"/>
                <w:b w:val="0"/>
                <w:bCs w:val="0"/>
                <w:color w:val="auto"/>
                <w:szCs w:val="21"/>
                <w:highlight w:val="none"/>
              </w:rPr>
              <w:t>工程</w:t>
            </w:r>
            <w:r>
              <w:rPr>
                <w:rFonts w:hint="eastAsia" w:ascii="宋体" w:hAnsi="宋体"/>
                <w:b w:val="0"/>
                <w:bCs w:val="0"/>
                <w:color w:val="auto"/>
                <w:szCs w:val="21"/>
                <w:highlight w:val="none"/>
                <w:lang w:val="en-US" w:eastAsia="zh-CN"/>
              </w:rPr>
              <w:t>1</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62F18B63">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32B0BB25">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17F3A88E">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41FF3C99">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6DCAA745">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1743130E">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1CD7EB97">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73E5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4D4E57ED">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14E2653C">
            <w:pPr>
              <w:keepNext w:val="0"/>
              <w:keepLines w:val="0"/>
              <w:suppressLineNumbers w:val="0"/>
              <w:spacing w:before="0" w:beforeAutospacing="0" w:after="0" w:afterAutospacing="0"/>
              <w:ind w:left="0" w:right="0"/>
              <w:jc w:val="both"/>
              <w:rPr>
                <w:rFonts w:hint="default" w:ascii="宋体" w:hAnsi="宋体"/>
                <w:color w:val="auto"/>
                <w:szCs w:val="21"/>
                <w:highlight w:val="none"/>
              </w:rPr>
            </w:pPr>
            <w:r>
              <w:rPr>
                <w:rFonts w:hint="default" w:ascii="宋体" w:hAnsi="宋体"/>
                <w:color w:val="auto"/>
                <w:szCs w:val="21"/>
                <w:highlight w:val="none"/>
              </w:rPr>
              <w:t>……</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26DE295B">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7CE1F2F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4D93C98B">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15491F78">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63A64F9D">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106A5CB7">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771946FC">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7263B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55C96069">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2AE9CC3A">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3D288AA9">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759523BE">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169B2616">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50988C85">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11C6897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24E9A9E4">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25FE34EC">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4CE9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26616FCC">
            <w:pPr>
              <w:keepNext w:val="0"/>
              <w:keepLines w:val="0"/>
              <w:suppressLineNumbers w:val="0"/>
              <w:spacing w:before="0" w:beforeAutospacing="0" w:after="0" w:afterAutospacing="0"/>
              <w:ind w:left="0" w:leftChars="0" w:right="0" w:rightChars="0"/>
              <w:jc w:val="center"/>
              <w:rPr>
                <w:rFonts w:hint="eastAsia" w:ascii="宋体" w:hAnsi="宋体" w:eastAsia="宋体"/>
                <w:color w:val="auto"/>
                <w:szCs w:val="21"/>
                <w:highlight w:val="none"/>
              </w:rPr>
            </w:pPr>
            <w:r>
              <w:rPr>
                <w:rFonts w:hint="eastAsia" w:ascii="宋体" w:hAnsi="宋体"/>
                <w:b w:val="0"/>
                <w:bCs w:val="0"/>
                <w:color w:val="auto"/>
                <w:szCs w:val="21"/>
                <w:highlight w:val="none"/>
                <w:lang w:eastAsia="zh-CN"/>
              </w:rPr>
              <w:t>（二）</w:t>
            </w:r>
          </w:p>
        </w:tc>
        <w:tc>
          <w:tcPr>
            <w:tcW w:w="1976" w:type="dxa"/>
            <w:tcBorders>
              <w:top w:val="single" w:color="auto" w:sz="4" w:space="0"/>
              <w:left w:val="single" w:color="auto" w:sz="4" w:space="0"/>
              <w:bottom w:val="single" w:color="auto" w:sz="4" w:space="0"/>
              <w:right w:val="single" w:color="auto" w:sz="4" w:space="0"/>
            </w:tcBorders>
            <w:noWrap w:val="0"/>
            <w:vAlign w:val="center"/>
          </w:tcPr>
          <w:p w14:paraId="30AA7571">
            <w:pPr>
              <w:keepNext w:val="0"/>
              <w:keepLines w:val="0"/>
              <w:suppressLineNumbers w:val="0"/>
              <w:spacing w:before="0" w:beforeAutospacing="0" w:after="0" w:afterAutospacing="0"/>
              <w:ind w:left="0" w:leftChars="0" w:right="0" w:rightChars="0"/>
              <w:jc w:val="left"/>
              <w:rPr>
                <w:rFonts w:hint="eastAsia" w:ascii="宋体" w:hAnsi="宋体" w:eastAsia="宋体"/>
                <w:color w:val="auto"/>
                <w:szCs w:val="21"/>
                <w:highlight w:val="none"/>
              </w:rPr>
            </w:pPr>
            <w:r>
              <w:rPr>
                <w:rFonts w:hint="eastAsia" w:ascii="宋体" w:hAnsi="宋体"/>
                <w:b w:val="0"/>
                <w:bCs w:val="0"/>
                <w:color w:val="auto"/>
                <w:kern w:val="0"/>
                <w:sz w:val="21"/>
                <w:szCs w:val="21"/>
                <w:highlight w:val="none"/>
                <w:lang w:eastAsia="zh-CN"/>
              </w:rPr>
              <w:t>单位</w:t>
            </w:r>
            <w:r>
              <w:rPr>
                <w:rFonts w:hint="eastAsia" w:ascii="宋体" w:hAnsi="宋体"/>
                <w:b w:val="0"/>
                <w:bCs w:val="0"/>
                <w:color w:val="auto"/>
                <w:kern w:val="0"/>
                <w:sz w:val="21"/>
                <w:szCs w:val="21"/>
                <w:highlight w:val="none"/>
              </w:rPr>
              <w:t>工程</w:t>
            </w:r>
            <w:r>
              <w:rPr>
                <w:rFonts w:hint="eastAsia" w:ascii="宋体" w:hAnsi="宋体"/>
                <w:b w:val="0"/>
                <w:bCs w:val="0"/>
                <w:color w:val="auto"/>
                <w:kern w:val="0"/>
                <w:sz w:val="21"/>
                <w:szCs w:val="21"/>
                <w:highlight w:val="none"/>
                <w:lang w:val="en-US" w:eastAsia="zh-CN"/>
              </w:rPr>
              <w:t>2</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441297E6">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799C5AF9">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4E9F015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44D14966">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75910FE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61D8BFBE">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63736D9B">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10BC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72BACF81">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0561F8B9">
            <w:pPr>
              <w:keepNext w:val="0"/>
              <w:keepLines w:val="0"/>
              <w:suppressLineNumbers w:val="0"/>
              <w:spacing w:before="0" w:beforeAutospacing="0" w:after="0" w:afterAutospacing="0"/>
              <w:ind w:left="0" w:right="0"/>
              <w:jc w:val="left"/>
              <w:rPr>
                <w:rFonts w:hint="default" w:ascii="宋体" w:hAnsi="宋体"/>
                <w:color w:val="auto"/>
                <w:szCs w:val="21"/>
                <w:highlight w:val="none"/>
              </w:rPr>
            </w:pPr>
            <w:r>
              <w:rPr>
                <w:rFonts w:hint="default" w:ascii="宋体" w:hAnsi="宋体"/>
                <w:color w:val="auto"/>
                <w:szCs w:val="21"/>
                <w:highlight w:val="none"/>
              </w:rPr>
              <w:t>……</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135759C1">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444BD4CD">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66557EF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1E29A0E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3EB946A4">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0A3CE374">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118F2693">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0A629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2C4540C9">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2A81E38B">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3C0ED0AB">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3CF54627">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7BDB108C">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724AB5FC">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4E75D638">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47305246">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25A5F046">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4C92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577BB394">
            <w:pPr>
              <w:keepNext w:val="0"/>
              <w:keepLines w:val="0"/>
              <w:suppressLineNumbers w:val="0"/>
              <w:spacing w:before="0" w:beforeAutospacing="0" w:after="0" w:afterAutospacing="0"/>
              <w:ind w:left="0" w:leftChars="0" w:right="0" w:rightChars="0"/>
              <w:jc w:val="center"/>
              <w:rPr>
                <w:rFonts w:hint="eastAsia" w:ascii="宋体" w:hAnsi="宋体" w:eastAsia="宋体"/>
                <w:b/>
                <w:color w:val="auto"/>
                <w:szCs w:val="21"/>
                <w:highlight w:val="none"/>
              </w:rPr>
            </w:pPr>
            <w:r>
              <w:rPr>
                <w:rFonts w:hint="eastAsia" w:ascii="宋体" w:hAnsi="宋体"/>
                <w:b/>
                <w:color w:val="auto"/>
                <w:szCs w:val="21"/>
                <w:highlight w:val="none"/>
                <w:lang w:eastAsia="zh-CN"/>
              </w:rPr>
              <w:t>二</w:t>
            </w:r>
          </w:p>
        </w:tc>
        <w:tc>
          <w:tcPr>
            <w:tcW w:w="1976" w:type="dxa"/>
            <w:tcBorders>
              <w:top w:val="single" w:color="auto" w:sz="4" w:space="0"/>
              <w:left w:val="single" w:color="auto" w:sz="4" w:space="0"/>
              <w:bottom w:val="single" w:color="auto" w:sz="4" w:space="0"/>
              <w:right w:val="single" w:color="auto" w:sz="4" w:space="0"/>
            </w:tcBorders>
            <w:noWrap w:val="0"/>
            <w:vAlign w:val="center"/>
          </w:tcPr>
          <w:p w14:paraId="6ACC7CF5">
            <w:pPr>
              <w:keepNext w:val="0"/>
              <w:keepLines w:val="0"/>
              <w:suppressLineNumbers w:val="0"/>
              <w:spacing w:before="0" w:beforeAutospacing="0" w:after="0" w:afterAutospacing="0"/>
              <w:ind w:left="0" w:leftChars="0" w:right="0" w:rightChars="0"/>
              <w:jc w:val="left"/>
              <w:rPr>
                <w:rFonts w:hint="eastAsia" w:ascii="Times New Roman" w:hAnsi="Times New Roman" w:eastAsia="宋体"/>
                <w:b w:val="0"/>
                <w:bCs w:val="0"/>
                <w:color w:val="auto"/>
                <w:kern w:val="2"/>
                <w:sz w:val="21"/>
                <w:szCs w:val="21"/>
                <w:highlight w:val="none"/>
              </w:rPr>
            </w:pPr>
            <w:r>
              <w:rPr>
                <w:rFonts w:hint="eastAsia" w:ascii="宋体" w:hAnsi="宋体"/>
                <w:b/>
                <w:bCs/>
                <w:color w:val="auto"/>
                <w:kern w:val="0"/>
                <w:sz w:val="21"/>
                <w:szCs w:val="21"/>
                <w:highlight w:val="none"/>
                <w:lang w:eastAsia="zh-CN"/>
              </w:rPr>
              <w:t>单项</w:t>
            </w:r>
            <w:r>
              <w:rPr>
                <w:rFonts w:hint="eastAsia" w:ascii="宋体" w:hAnsi="宋体"/>
                <w:b/>
                <w:bCs/>
                <w:color w:val="auto"/>
                <w:kern w:val="0"/>
                <w:sz w:val="21"/>
                <w:szCs w:val="21"/>
                <w:highlight w:val="none"/>
              </w:rPr>
              <w:t>工程</w:t>
            </w:r>
            <w:r>
              <w:rPr>
                <w:rFonts w:hint="eastAsia" w:ascii="宋体" w:hAnsi="宋体"/>
                <w:b/>
                <w:bCs/>
                <w:color w:val="auto"/>
                <w:kern w:val="0"/>
                <w:sz w:val="21"/>
                <w:szCs w:val="21"/>
                <w:highlight w:val="none"/>
                <w:lang w:val="en-US" w:eastAsia="zh-CN"/>
              </w:rPr>
              <w:t>2</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060B24CC">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0AD2D1A1">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7F0D818E">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2DFBAE74">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7A8B846B">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22988D56">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36334419">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59B81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2BC4CBAD">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1A2BBC19">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r>
              <w:rPr>
                <w:rFonts w:hint="default" w:ascii="宋体" w:hAnsi="宋体"/>
                <w:color w:val="auto"/>
                <w:szCs w:val="21"/>
                <w:highlight w:val="none"/>
              </w:rPr>
              <w:t>……</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197F61A8">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3C84D0F2">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74345D93">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610F71E7">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03D1584A">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6B6D371A">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06EBF4FF">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3D58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3A6B9A77">
            <w:pPr>
              <w:keepNext w:val="0"/>
              <w:keepLines w:val="0"/>
              <w:suppressLineNumbers w:val="0"/>
              <w:spacing w:before="0" w:beforeAutospacing="0" w:after="0" w:afterAutospacing="0"/>
              <w:ind w:left="0" w:right="0"/>
              <w:jc w:val="center"/>
              <w:rPr>
                <w:rFonts w:hint="default" w:ascii="宋体" w:hAnsi="宋体"/>
                <w:b/>
                <w:color w:val="auto"/>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1360A8C5">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6F4126F3">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1A5979D4">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162D55E0">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24068B13">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66EFDF8C">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4B0D45F3">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750A7261">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70D8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4E7D177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1A8727CB">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230DA7BD">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309EB769">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108681D0">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2E140B53">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5FAA1327">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253628C8">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266681B8">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203F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4700BDEE">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7A36BE22">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1583741F">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1F4F720A">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06764C0C">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10FAB415">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1883518E">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506191AA">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27379F9C">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46CAD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5D80F7AD">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59A74103">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1E30FFBF">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4B9F2E40">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179910A3">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492716EA">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6C9EE676">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0E7CB9C0">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389A1F5D">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2BA9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01BD86D5">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775C8D99">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26867D1A">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79F0C39B">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735C4B7C">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5B6125A9">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6AE34BC7">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17F5A267">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535D14A9">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53EA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1E2BF4DC">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79F4938C">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1166E1B4">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0B1D9FA9">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23C3E787">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7855EFDD">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0346B0C4">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24E90618">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311C4F5F">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08C81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1CFCD387">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4BE8C2F4">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5554630D">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053B6AF1">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2C4CA1B7">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7CF54CBF">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466FAE42">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192B215B">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61AE38D5">
            <w:pPr>
              <w:keepNext w:val="0"/>
              <w:keepLines w:val="0"/>
              <w:suppressLineNumbers w:val="0"/>
              <w:spacing w:before="0" w:beforeAutospacing="0" w:after="0" w:afterAutospacing="0"/>
              <w:ind w:left="0" w:right="0"/>
              <w:jc w:val="center"/>
              <w:rPr>
                <w:rFonts w:hint="default"/>
                <w:color w:val="auto"/>
                <w:sz w:val="21"/>
                <w:szCs w:val="21"/>
                <w:highlight w:val="none"/>
              </w:rPr>
            </w:pPr>
          </w:p>
        </w:tc>
      </w:tr>
      <w:tr w14:paraId="2EE4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7796F69C">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4F89D563">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ascii="宋体" w:hAnsi="宋体"/>
                <w:color w:val="auto"/>
                <w:szCs w:val="21"/>
                <w:highlight w:val="none"/>
              </w:rPr>
              <w:t>合计</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730D284D">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1851A648">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23BC2B61">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3A977BCB">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76E65AB9">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565F9E3C">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6ABC322C">
            <w:pPr>
              <w:keepNext w:val="0"/>
              <w:keepLines w:val="0"/>
              <w:suppressLineNumbers w:val="0"/>
              <w:spacing w:before="0" w:beforeAutospacing="0" w:after="0" w:afterAutospacing="0"/>
              <w:ind w:left="0" w:right="0"/>
              <w:jc w:val="center"/>
              <w:rPr>
                <w:rFonts w:hint="default"/>
                <w:color w:val="auto"/>
                <w:sz w:val="21"/>
                <w:szCs w:val="21"/>
                <w:highlight w:val="none"/>
              </w:rPr>
            </w:pPr>
          </w:p>
        </w:tc>
      </w:tr>
    </w:tbl>
    <w:p w14:paraId="5DE1E2D6">
      <w:pPr>
        <w:rPr>
          <w:rFonts w:hint="eastAsia" w:ascii="宋体" w:hAnsi="宋体"/>
          <w:color w:val="auto"/>
          <w:sz w:val="20"/>
          <w:szCs w:val="20"/>
          <w:highlight w:val="none"/>
        </w:rPr>
      </w:pPr>
      <w:r>
        <w:rPr>
          <w:rFonts w:hint="eastAsia" w:ascii="宋体" w:hAnsi="宋体"/>
          <w:color w:val="auto"/>
          <w:sz w:val="20"/>
          <w:szCs w:val="20"/>
          <w:highlight w:val="none"/>
        </w:rPr>
        <w:t>注：</w:t>
      </w:r>
      <w:r>
        <w:rPr>
          <w:rFonts w:hint="eastAsia" w:ascii="宋体" w:hAnsi="宋体"/>
          <w:color w:val="auto"/>
          <w:sz w:val="20"/>
          <w:szCs w:val="20"/>
          <w:highlight w:val="none"/>
          <w:lang w:val="en-US" w:eastAsia="zh-CN"/>
        </w:rPr>
        <w:t>1.</w:t>
      </w:r>
      <w:r>
        <w:rPr>
          <w:rFonts w:hint="eastAsia" w:ascii="宋体" w:hAnsi="宋体"/>
          <w:color w:val="auto"/>
          <w:sz w:val="20"/>
          <w:szCs w:val="20"/>
          <w:highlight w:val="none"/>
        </w:rPr>
        <w:t>此表由招标人填写</w:t>
      </w:r>
      <w:r>
        <w:rPr>
          <w:rFonts w:hint="eastAsia" w:ascii="宋体" w:hAnsi="宋体"/>
          <w:color w:val="auto"/>
          <w:sz w:val="20"/>
          <w:szCs w:val="20"/>
          <w:highlight w:val="none"/>
          <w:lang w:eastAsia="zh-CN"/>
        </w:rPr>
        <w:t>，</w:t>
      </w:r>
      <w:r>
        <w:rPr>
          <w:rFonts w:hint="eastAsia" w:ascii="宋体" w:hAnsi="宋体"/>
          <w:color w:val="auto"/>
          <w:sz w:val="20"/>
          <w:szCs w:val="20"/>
          <w:highlight w:val="none"/>
        </w:rPr>
        <w:t>供投标人在投标报价、确定总承包服务费时参考。</w:t>
      </w:r>
    </w:p>
    <w:p w14:paraId="0B9A0404">
      <w:pPr>
        <w:rPr>
          <w:rFonts w:hint="default" w:ascii="宋体" w:hAnsi="宋体" w:eastAsia="宋体"/>
          <w:color w:val="auto"/>
          <w:sz w:val="20"/>
          <w:szCs w:val="20"/>
          <w:highlight w:val="none"/>
          <w:lang w:val="en-US" w:eastAsia="zh-CN"/>
        </w:rPr>
      </w:pPr>
      <w:r>
        <w:rPr>
          <w:rFonts w:hint="eastAsia" w:ascii="宋体" w:hAnsi="宋体"/>
          <w:color w:val="auto"/>
          <w:sz w:val="20"/>
          <w:szCs w:val="20"/>
          <w:highlight w:val="none"/>
          <w:lang w:val="en-US" w:eastAsia="zh-CN"/>
        </w:rPr>
        <w:t xml:space="preserve">    2.应用于一般计税法为除税价，应用于简易计税法为含税价。</w:t>
      </w:r>
    </w:p>
    <w:p w14:paraId="32CA86C9">
      <w:pPr>
        <w:rPr>
          <w:color w:val="auto"/>
          <w:sz w:val="32"/>
          <w:szCs w:val="32"/>
          <w:highlight w:val="none"/>
        </w:rPr>
      </w:pPr>
      <w:r>
        <w:rPr>
          <w:color w:val="auto"/>
          <w:sz w:val="32"/>
          <w:szCs w:val="32"/>
          <w:highlight w:val="none"/>
        </w:rPr>
        <w:t xml:space="preserve"> </w:t>
      </w:r>
    </w:p>
    <w:p w14:paraId="571B44DF">
      <w:pPr>
        <w:rPr>
          <w:color w:val="auto"/>
          <w:sz w:val="18"/>
          <w:szCs w:val="18"/>
          <w:highlight w:val="none"/>
        </w:rPr>
      </w:pPr>
      <w:r>
        <w:rPr>
          <w:color w:val="auto"/>
          <w:sz w:val="18"/>
          <w:szCs w:val="18"/>
          <w:highlight w:val="none"/>
        </w:rPr>
        <w:t xml:space="preserve"> </w:t>
      </w:r>
    </w:p>
    <w:p w14:paraId="2599D941">
      <w:pPr>
        <w:jc w:val="right"/>
        <w:rPr>
          <w:rFonts w:hint="eastAsia" w:ascii="宋体" w:hAnsi="宋体"/>
          <w:color w:val="auto"/>
          <w:sz w:val="32"/>
          <w:szCs w:val="32"/>
          <w:highlight w:val="none"/>
        </w:rPr>
        <w:sectPr>
          <w:pgSz w:w="11905" w:h="16838"/>
          <w:pgMar w:top="850" w:right="1134" w:bottom="850" w:left="1134" w:header="850" w:footer="992" w:gutter="0"/>
          <w:pgNumType w:fmt="decimal"/>
          <w:cols w:space="720" w:num="1"/>
          <w:rtlGutter w:val="0"/>
          <w:docGrid w:type="linesAndChars" w:linePitch="321" w:charSpace="851"/>
        </w:sectPr>
      </w:pPr>
      <w:r>
        <w:rPr>
          <w:rFonts w:hint="eastAsia" w:ascii="宋体" w:hAnsi="宋体"/>
          <w:color w:val="auto"/>
          <w:sz w:val="24"/>
          <w:szCs w:val="24"/>
          <w:highlight w:val="none"/>
        </w:rPr>
        <w:t xml:space="preserve"> </w:t>
      </w:r>
      <w:r>
        <w:rPr>
          <w:rFonts w:hint="eastAsia" w:ascii="宋体" w:hAnsi="宋体"/>
          <w:color w:val="auto"/>
          <w:sz w:val="21"/>
          <w:szCs w:val="21"/>
          <w:highlight w:val="none"/>
        </w:rPr>
        <w:t>表-1</w:t>
      </w:r>
      <w:r>
        <w:rPr>
          <w:rFonts w:hint="eastAsia" w:ascii="宋体" w:hAnsi="宋体"/>
          <w:color w:val="auto"/>
          <w:sz w:val="21"/>
          <w:szCs w:val="21"/>
          <w:highlight w:val="none"/>
          <w:lang w:val="en-US" w:eastAsia="zh-CN"/>
        </w:rPr>
        <w:t>5</w:t>
      </w:r>
    </w:p>
    <w:p w14:paraId="5551A2BC">
      <w:pPr>
        <w:jc w:val="center"/>
        <w:rPr>
          <w:rFonts w:hint="eastAsia" w:ascii="宋体" w:hAnsi="宋体"/>
          <w:b/>
          <w:color w:val="auto"/>
          <w:sz w:val="36"/>
          <w:szCs w:val="36"/>
          <w:highlight w:val="none"/>
        </w:rPr>
      </w:pPr>
    </w:p>
    <w:p w14:paraId="55E3A265">
      <w:pPr>
        <w:jc w:val="center"/>
        <w:rPr>
          <w:rFonts w:hint="eastAsia" w:ascii="宋体" w:hAnsi="宋体"/>
          <w:b/>
          <w:color w:val="auto"/>
          <w:sz w:val="36"/>
          <w:szCs w:val="36"/>
          <w:highlight w:val="none"/>
        </w:rPr>
      </w:pPr>
    </w:p>
    <w:p w14:paraId="0126CAF6">
      <w:pPr>
        <w:jc w:val="center"/>
        <w:rPr>
          <w:rFonts w:hint="eastAsia" w:ascii="宋体" w:hAnsi="宋体"/>
          <w:b/>
          <w:color w:val="auto"/>
          <w:sz w:val="36"/>
          <w:szCs w:val="36"/>
          <w:highlight w:val="none"/>
        </w:rPr>
      </w:pPr>
    </w:p>
    <w:p w14:paraId="6FDC93A8">
      <w:pPr>
        <w:jc w:val="center"/>
        <w:rPr>
          <w:rFonts w:hint="eastAsia" w:ascii="宋体" w:hAnsi="宋体"/>
          <w:b/>
          <w:color w:val="auto"/>
          <w:sz w:val="36"/>
          <w:szCs w:val="36"/>
          <w:highlight w:val="none"/>
        </w:rPr>
      </w:pPr>
    </w:p>
    <w:p w14:paraId="394DB4C2">
      <w:pPr>
        <w:widowControl/>
        <w:wordWrap/>
        <w:spacing w:before="120" w:beforeLines="50" w:after="120" w:afterLines="50" w:line="440" w:lineRule="exact"/>
        <w:jc w:val="left"/>
        <w:outlineLvl w:val="9"/>
        <w:rPr>
          <w:rFonts w:hint="eastAsia" w:ascii="仿宋_GB2312" w:hAnsi="Times New Roman" w:eastAsia="仿宋_GB2312" w:cs="仿宋_GB2312"/>
          <w:b w:val="0"/>
          <w:color w:val="auto"/>
          <w:sz w:val="30"/>
          <w:szCs w:val="30"/>
          <w:highlight w:val="none"/>
          <w:lang w:val="en-US" w:eastAsia="zh-CN"/>
        </w:rPr>
      </w:pPr>
      <w:r>
        <w:rPr>
          <w:rFonts w:hint="eastAsia" w:ascii="仿宋_GB2312" w:hAnsi="Times New Roman" w:eastAsia="仿宋_GB2312" w:cs="仿宋_GB2312"/>
          <w:b w:val="0"/>
          <w:color w:val="auto"/>
          <w:sz w:val="30"/>
          <w:szCs w:val="30"/>
          <w:highlight w:val="none"/>
          <w:lang w:val="en-US" w:eastAsia="zh-CN"/>
        </w:rPr>
        <w:t xml:space="preserve">附件20 </w:t>
      </w:r>
      <w:r>
        <w:rPr>
          <w:rFonts w:hint="eastAsia" w:ascii="仿宋_GB2312" w:hAnsi="Times New Roman" w:eastAsia="仿宋_GB2312" w:cs="仿宋_GB2312"/>
          <w:b w:val="0"/>
          <w:color w:val="auto"/>
          <w:sz w:val="30"/>
          <w:szCs w:val="30"/>
          <w:highlight w:val="none"/>
          <w:lang w:val="en-US"/>
        </w:rPr>
        <w:t>允许调整价格的主要材料一览表</w:t>
      </w:r>
    </w:p>
    <w:p w14:paraId="77F8719D">
      <w:pPr>
        <w:jc w:val="center"/>
        <w:rPr>
          <w:b/>
          <w:color w:val="auto"/>
          <w:sz w:val="36"/>
          <w:szCs w:val="36"/>
          <w:highlight w:val="none"/>
        </w:rPr>
      </w:pPr>
      <w:r>
        <w:rPr>
          <w:rFonts w:hint="eastAsia" w:ascii="宋体" w:hAnsi="宋体"/>
          <w:b/>
          <w:color w:val="auto"/>
          <w:sz w:val="36"/>
          <w:szCs w:val="36"/>
          <w:highlight w:val="none"/>
        </w:rPr>
        <w:t>允许调整价格的主要材料一览表</w:t>
      </w:r>
    </w:p>
    <w:p w14:paraId="5F12F31A">
      <w:pPr>
        <w:jc w:val="center"/>
        <w:rPr>
          <w:b/>
          <w:bCs/>
          <w:color w:val="auto"/>
          <w:sz w:val="28"/>
          <w:szCs w:val="28"/>
          <w:highlight w:val="none"/>
        </w:rPr>
      </w:pPr>
      <w:r>
        <w:rPr>
          <w:rFonts w:hint="eastAsia" w:ascii="宋体" w:hAnsi="宋体"/>
          <w:b/>
          <w:bCs/>
          <w:color w:val="auto"/>
          <w:sz w:val="28"/>
          <w:szCs w:val="28"/>
          <w:highlight w:val="none"/>
        </w:rPr>
        <w:t>（适用于</w:t>
      </w:r>
      <w:r>
        <w:rPr>
          <w:rFonts w:hint="eastAsia" w:ascii="宋体" w:hAnsi="宋体"/>
          <w:b/>
          <w:bCs/>
          <w:color w:val="auto"/>
          <w:sz w:val="28"/>
          <w:szCs w:val="28"/>
          <w:highlight w:val="none"/>
          <w:lang w:eastAsia="zh-CN"/>
        </w:rPr>
        <w:t>单价合同</w:t>
      </w:r>
      <w:r>
        <w:rPr>
          <w:rFonts w:hint="eastAsia" w:ascii="宋体" w:hAnsi="宋体"/>
          <w:b/>
          <w:bCs/>
          <w:color w:val="auto"/>
          <w:sz w:val="28"/>
          <w:szCs w:val="28"/>
          <w:highlight w:val="none"/>
        </w:rPr>
        <w:t>）</w:t>
      </w:r>
    </w:p>
    <w:p w14:paraId="3B1F3BCD">
      <w:pPr>
        <w:jc w:val="left"/>
        <w:rPr>
          <w:rFonts w:ascii="宋体" w:hAnsi="宋体"/>
          <w:color w:val="auto"/>
          <w:highlight w:val="none"/>
        </w:rPr>
      </w:pPr>
      <w:r>
        <w:rPr>
          <w:rFonts w:hint="eastAsia" w:ascii="宋体" w:hAnsi="宋体"/>
          <w:color w:val="auto"/>
          <w:highlight w:val="none"/>
        </w:rPr>
        <w:t xml:space="preserve"> 工程名称：          </w:t>
      </w:r>
      <w:r>
        <w:rPr>
          <w:rFonts w:hint="eastAsia" w:ascii="宋体" w:hAnsi="宋体"/>
          <w:color w:val="auto"/>
          <w:highlight w:val="none"/>
          <w:lang w:val="en-US" w:eastAsia="zh-CN"/>
        </w:rPr>
        <w:t xml:space="preserve">                                                        </w:t>
      </w:r>
      <w:r>
        <w:rPr>
          <w:rFonts w:hint="eastAsia" w:ascii="宋体" w:hAnsi="宋体"/>
          <w:color w:val="auto"/>
          <w:highlight w:val="none"/>
        </w:rPr>
        <w:t>第  页  共  页</w:t>
      </w:r>
    </w:p>
    <w:tbl>
      <w:tblPr>
        <w:tblStyle w:val="41"/>
        <w:tblW w:w="9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4602"/>
        <w:gridCol w:w="851"/>
        <w:gridCol w:w="1075"/>
        <w:gridCol w:w="1225"/>
        <w:gridCol w:w="1257"/>
      </w:tblGrid>
      <w:tr w14:paraId="74E2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6E7A5E44">
            <w:pPr>
              <w:keepNext w:val="0"/>
              <w:keepLines w:val="0"/>
              <w:suppressLineNumbers w:val="0"/>
              <w:spacing w:before="0" w:beforeAutospacing="0" w:after="0" w:afterAutospacing="0"/>
              <w:ind w:left="0" w:right="0"/>
              <w:jc w:val="center"/>
              <w:rPr>
                <w:rFonts w:hint="default"/>
                <w:color w:val="auto"/>
                <w:highlight w:val="none"/>
              </w:rPr>
            </w:pPr>
            <w:r>
              <w:rPr>
                <w:rFonts w:hint="eastAsia" w:ascii="宋体" w:hAnsi="宋体"/>
                <w:color w:val="auto"/>
                <w:highlight w:val="none"/>
              </w:rPr>
              <w:t>序号</w:t>
            </w:r>
          </w:p>
        </w:tc>
        <w:tc>
          <w:tcPr>
            <w:tcW w:w="4602" w:type="dxa"/>
            <w:noWrap w:val="0"/>
            <w:vAlign w:val="center"/>
          </w:tcPr>
          <w:p w14:paraId="297926FB">
            <w:pPr>
              <w:keepNext w:val="0"/>
              <w:keepLines w:val="0"/>
              <w:suppressLineNumbers w:val="0"/>
              <w:spacing w:before="0" w:beforeAutospacing="0" w:after="0" w:afterAutospacing="0"/>
              <w:ind w:left="0" w:right="0"/>
              <w:jc w:val="center"/>
              <w:rPr>
                <w:rFonts w:hint="default"/>
                <w:color w:val="auto"/>
                <w:highlight w:val="none"/>
              </w:rPr>
            </w:pPr>
            <w:r>
              <w:rPr>
                <w:rFonts w:hint="eastAsia" w:ascii="宋体" w:hAnsi="宋体"/>
                <w:color w:val="auto"/>
                <w:highlight w:val="none"/>
              </w:rPr>
              <w:t>名称、规格、型号</w:t>
            </w:r>
          </w:p>
        </w:tc>
        <w:tc>
          <w:tcPr>
            <w:tcW w:w="851" w:type="dxa"/>
            <w:noWrap w:val="0"/>
            <w:vAlign w:val="center"/>
          </w:tcPr>
          <w:p w14:paraId="1584A420">
            <w:pPr>
              <w:keepNext w:val="0"/>
              <w:keepLines w:val="0"/>
              <w:suppressLineNumbers w:val="0"/>
              <w:spacing w:before="0" w:beforeAutospacing="0" w:after="0" w:afterAutospacing="0"/>
              <w:ind w:left="0" w:right="0"/>
              <w:jc w:val="center"/>
              <w:rPr>
                <w:rFonts w:hint="default"/>
                <w:color w:val="auto"/>
                <w:highlight w:val="none"/>
              </w:rPr>
            </w:pPr>
            <w:r>
              <w:rPr>
                <w:rFonts w:hint="eastAsia" w:ascii="宋体" w:hAnsi="宋体"/>
                <w:color w:val="auto"/>
                <w:highlight w:val="none"/>
              </w:rPr>
              <w:t>单位</w:t>
            </w:r>
          </w:p>
        </w:tc>
        <w:tc>
          <w:tcPr>
            <w:tcW w:w="1075" w:type="dxa"/>
            <w:noWrap w:val="0"/>
            <w:vAlign w:val="center"/>
          </w:tcPr>
          <w:p w14:paraId="09875D13">
            <w:pPr>
              <w:keepNext w:val="0"/>
              <w:keepLines w:val="0"/>
              <w:widowControl/>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基准单价（元）</w:t>
            </w:r>
          </w:p>
        </w:tc>
        <w:tc>
          <w:tcPr>
            <w:tcW w:w="1225" w:type="dxa"/>
            <w:noWrap w:val="0"/>
            <w:vAlign w:val="center"/>
          </w:tcPr>
          <w:p w14:paraId="46D13909">
            <w:pPr>
              <w:keepNext w:val="0"/>
              <w:keepLines w:val="0"/>
              <w:widowControl/>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投标单价（元）</w:t>
            </w:r>
          </w:p>
        </w:tc>
        <w:tc>
          <w:tcPr>
            <w:tcW w:w="1257" w:type="dxa"/>
            <w:noWrap w:val="0"/>
            <w:vAlign w:val="center"/>
          </w:tcPr>
          <w:p w14:paraId="54D23342">
            <w:pPr>
              <w:keepNext w:val="0"/>
              <w:keepLines w:val="0"/>
              <w:suppressLineNumbers w:val="0"/>
              <w:spacing w:before="0" w:beforeAutospacing="0" w:after="0" w:afterAutospacing="0"/>
              <w:ind w:left="0" w:right="0"/>
              <w:jc w:val="center"/>
              <w:rPr>
                <w:rFonts w:hint="default"/>
                <w:color w:val="auto"/>
                <w:highlight w:val="none"/>
              </w:rPr>
            </w:pPr>
            <w:r>
              <w:rPr>
                <w:rFonts w:hint="eastAsia" w:ascii="宋体" w:hAnsi="宋体"/>
                <w:color w:val="auto"/>
                <w:highlight w:val="none"/>
              </w:rPr>
              <w:t>风险幅度（</w:t>
            </w:r>
            <w:r>
              <w:rPr>
                <w:rFonts w:hint="eastAsia"/>
                <w:color w:val="auto"/>
                <w:highlight w:val="none"/>
              </w:rPr>
              <w:t>%</w:t>
            </w:r>
            <w:r>
              <w:rPr>
                <w:rFonts w:hint="eastAsia" w:ascii="宋体" w:hAnsi="宋体"/>
                <w:color w:val="auto"/>
                <w:highlight w:val="none"/>
              </w:rPr>
              <w:t>）</w:t>
            </w:r>
          </w:p>
        </w:tc>
      </w:tr>
      <w:tr w14:paraId="0D00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4F7FB28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olor w:val="auto"/>
                <w:szCs w:val="21"/>
                <w:highlight w:val="none"/>
              </w:rPr>
            </w:pPr>
            <w:r>
              <w:rPr>
                <w:rFonts w:hint="eastAsia"/>
                <w:b/>
                <w:bCs/>
                <w:color w:val="auto"/>
                <w:szCs w:val="21"/>
                <w:highlight w:val="none"/>
                <w:lang w:eastAsia="zh-CN"/>
              </w:rPr>
              <w:t>一</w:t>
            </w:r>
          </w:p>
        </w:tc>
        <w:tc>
          <w:tcPr>
            <w:tcW w:w="4602" w:type="dxa"/>
            <w:noWrap w:val="0"/>
            <w:vAlign w:val="center"/>
          </w:tcPr>
          <w:p w14:paraId="38FF354A">
            <w:pPr>
              <w:keepNext w:val="0"/>
              <w:keepLines w:val="0"/>
              <w:widowControl/>
              <w:suppressLineNumbers w:val="0"/>
              <w:spacing w:before="0" w:beforeAutospacing="0" w:after="0" w:afterAutospacing="0"/>
              <w:ind w:left="0" w:leftChars="0" w:right="0" w:rightChars="0"/>
              <w:jc w:val="left"/>
              <w:rPr>
                <w:rFonts w:hint="default" w:ascii="宋体" w:hAnsi="宋体"/>
                <w:color w:val="auto"/>
                <w:szCs w:val="21"/>
                <w:highlight w:val="none"/>
              </w:rPr>
            </w:pPr>
            <w:r>
              <w:rPr>
                <w:rFonts w:hint="eastAsia" w:ascii="宋体" w:hAnsi="宋体"/>
                <w:b/>
                <w:bCs w:val="0"/>
                <w:color w:val="auto"/>
                <w:szCs w:val="21"/>
                <w:highlight w:val="none"/>
                <w:lang w:eastAsia="zh-CN"/>
              </w:rPr>
              <w:t>单项工程</w:t>
            </w:r>
            <w:r>
              <w:rPr>
                <w:rFonts w:hint="eastAsia" w:ascii="宋体" w:hAnsi="宋体"/>
                <w:b/>
                <w:bCs w:val="0"/>
                <w:color w:val="auto"/>
                <w:szCs w:val="21"/>
                <w:highlight w:val="none"/>
                <w:lang w:val="en-US" w:eastAsia="zh-CN"/>
              </w:rPr>
              <w:t>1</w:t>
            </w:r>
          </w:p>
        </w:tc>
        <w:tc>
          <w:tcPr>
            <w:tcW w:w="851" w:type="dxa"/>
            <w:noWrap w:val="0"/>
            <w:vAlign w:val="center"/>
          </w:tcPr>
          <w:p w14:paraId="170907B5">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4483924C">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43377F9E">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73A06989">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25BB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22C07F25">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color w:val="auto"/>
                <w:kern w:val="2"/>
                <w:sz w:val="21"/>
                <w:szCs w:val="21"/>
                <w:highlight w:val="none"/>
                <w:lang w:val="en-US" w:eastAsia="zh-CN" w:bidi="ar-SA"/>
              </w:rPr>
            </w:pPr>
            <w:r>
              <w:rPr>
                <w:rFonts w:hint="eastAsia"/>
                <w:color w:val="auto"/>
                <w:szCs w:val="21"/>
                <w:highlight w:val="none"/>
              </w:rPr>
              <w:t>（一）</w:t>
            </w:r>
          </w:p>
        </w:tc>
        <w:tc>
          <w:tcPr>
            <w:tcW w:w="4602" w:type="dxa"/>
            <w:noWrap w:val="0"/>
            <w:vAlign w:val="center"/>
          </w:tcPr>
          <w:p w14:paraId="45C8C539">
            <w:pPr>
              <w:keepNext w:val="0"/>
              <w:keepLines w:val="0"/>
              <w:suppressLineNumbers w:val="0"/>
              <w:spacing w:before="0" w:beforeAutospacing="0" w:after="0" w:afterAutospacing="0"/>
              <w:ind w:left="0" w:leftChars="0" w:right="0" w:rightChars="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bCs/>
                <w:color w:val="auto"/>
                <w:szCs w:val="21"/>
                <w:highlight w:val="none"/>
                <w:lang w:eastAsia="zh-CN"/>
              </w:rPr>
              <w:t>单位工程</w:t>
            </w:r>
            <w:r>
              <w:rPr>
                <w:rFonts w:hint="eastAsia" w:ascii="宋体" w:hAnsi="宋体"/>
                <w:bCs/>
                <w:color w:val="auto"/>
                <w:szCs w:val="21"/>
                <w:highlight w:val="none"/>
                <w:lang w:val="en-US" w:eastAsia="zh-CN"/>
              </w:rPr>
              <w:t>1</w:t>
            </w:r>
          </w:p>
        </w:tc>
        <w:tc>
          <w:tcPr>
            <w:tcW w:w="851" w:type="dxa"/>
            <w:noWrap w:val="0"/>
            <w:vAlign w:val="center"/>
          </w:tcPr>
          <w:p w14:paraId="73FBA652">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6A4C40E5">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441ABC9B">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73327F86">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25F0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2851D576">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602" w:type="dxa"/>
            <w:noWrap w:val="0"/>
            <w:vAlign w:val="center"/>
          </w:tcPr>
          <w:p w14:paraId="407E1764">
            <w:pPr>
              <w:keepNext w:val="0"/>
              <w:keepLines w:val="0"/>
              <w:suppressLineNumbers w:val="0"/>
              <w:spacing w:before="0" w:beforeAutospacing="0" w:after="0" w:afterAutospacing="0"/>
              <w:ind w:left="0" w:right="0"/>
              <w:jc w:val="left"/>
              <w:rPr>
                <w:rFonts w:hint="default" w:ascii="宋体" w:hAnsi="宋体"/>
                <w:color w:val="auto"/>
                <w:szCs w:val="21"/>
                <w:highlight w:val="none"/>
              </w:rPr>
            </w:pPr>
            <w:r>
              <w:rPr>
                <w:rFonts w:hint="default" w:ascii="宋体" w:hAnsi="宋体"/>
                <w:b w:val="0"/>
                <w:bCs w:val="0"/>
                <w:color w:val="auto"/>
                <w:kern w:val="0"/>
                <w:sz w:val="21"/>
                <w:szCs w:val="21"/>
                <w:highlight w:val="none"/>
              </w:rPr>
              <w:t>……</w:t>
            </w:r>
          </w:p>
        </w:tc>
        <w:tc>
          <w:tcPr>
            <w:tcW w:w="851" w:type="dxa"/>
            <w:noWrap w:val="0"/>
            <w:vAlign w:val="center"/>
          </w:tcPr>
          <w:p w14:paraId="3C2820E3">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07E27DF8">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0636140F">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4E140144">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1E69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6918B651">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602" w:type="dxa"/>
            <w:noWrap w:val="0"/>
            <w:vAlign w:val="center"/>
          </w:tcPr>
          <w:p w14:paraId="32D5302E">
            <w:pPr>
              <w:keepNext w:val="0"/>
              <w:keepLines w:val="0"/>
              <w:suppressLineNumbers w:val="0"/>
              <w:spacing w:before="0" w:beforeAutospacing="0" w:after="0" w:afterAutospacing="0"/>
              <w:ind w:left="0" w:right="0"/>
              <w:jc w:val="left"/>
              <w:rPr>
                <w:rFonts w:hint="default" w:ascii="宋体" w:hAnsi="宋体"/>
                <w:color w:val="auto"/>
                <w:szCs w:val="21"/>
                <w:highlight w:val="none"/>
              </w:rPr>
            </w:pPr>
          </w:p>
        </w:tc>
        <w:tc>
          <w:tcPr>
            <w:tcW w:w="851" w:type="dxa"/>
            <w:noWrap w:val="0"/>
            <w:vAlign w:val="center"/>
          </w:tcPr>
          <w:p w14:paraId="4AC46A6E">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13E733DA">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59D806A7">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772D4D51">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5EDB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728ED1F9">
            <w:pPr>
              <w:keepNext w:val="0"/>
              <w:keepLines w:val="0"/>
              <w:suppressLineNumbers w:val="0"/>
              <w:spacing w:before="0" w:beforeAutospacing="0" w:after="0" w:afterAutospacing="0"/>
              <w:ind w:left="0" w:leftChars="0" w:right="0" w:rightChars="0"/>
              <w:jc w:val="center"/>
              <w:rPr>
                <w:rFonts w:hint="default" w:ascii="宋体" w:hAnsi="宋体"/>
                <w:b w:val="0"/>
                <w:color w:val="auto"/>
                <w:szCs w:val="21"/>
                <w:highlight w:val="none"/>
              </w:rPr>
            </w:pPr>
            <w:r>
              <w:rPr>
                <w:rFonts w:hint="eastAsia" w:ascii="宋体" w:hAnsi="宋体"/>
                <w:b/>
                <w:color w:val="auto"/>
                <w:szCs w:val="21"/>
                <w:highlight w:val="none"/>
              </w:rPr>
              <w:t>二</w:t>
            </w:r>
          </w:p>
        </w:tc>
        <w:tc>
          <w:tcPr>
            <w:tcW w:w="4602" w:type="dxa"/>
            <w:noWrap w:val="0"/>
            <w:vAlign w:val="center"/>
          </w:tcPr>
          <w:p w14:paraId="73798CEB">
            <w:pPr>
              <w:keepNext w:val="0"/>
              <w:keepLines w:val="0"/>
              <w:widowControl/>
              <w:suppressLineNumbers w:val="0"/>
              <w:spacing w:before="0" w:beforeAutospacing="0" w:after="0" w:afterAutospacing="0"/>
              <w:ind w:left="0" w:leftChars="0" w:right="0" w:rightChars="0"/>
              <w:jc w:val="left"/>
              <w:rPr>
                <w:rFonts w:hint="default" w:ascii="宋体" w:hAnsi="宋体"/>
                <w:b w:val="0"/>
                <w:bCs w:val="0"/>
                <w:color w:val="auto"/>
                <w:kern w:val="2"/>
                <w:sz w:val="21"/>
                <w:szCs w:val="21"/>
                <w:highlight w:val="none"/>
              </w:rPr>
            </w:pPr>
            <w:r>
              <w:rPr>
                <w:rFonts w:hint="eastAsia" w:ascii="宋体" w:hAnsi="宋体"/>
                <w:b/>
                <w:bCs/>
                <w:color w:val="auto"/>
                <w:kern w:val="0"/>
                <w:sz w:val="21"/>
                <w:szCs w:val="21"/>
                <w:highlight w:val="none"/>
                <w:lang w:eastAsia="zh-CN"/>
              </w:rPr>
              <w:t>单项</w:t>
            </w:r>
            <w:r>
              <w:rPr>
                <w:rFonts w:hint="eastAsia" w:ascii="宋体" w:hAnsi="宋体"/>
                <w:b/>
                <w:bCs/>
                <w:color w:val="auto"/>
                <w:kern w:val="0"/>
                <w:sz w:val="21"/>
                <w:szCs w:val="21"/>
                <w:highlight w:val="none"/>
              </w:rPr>
              <w:t>工程</w:t>
            </w:r>
            <w:r>
              <w:rPr>
                <w:rFonts w:hint="eastAsia" w:ascii="宋体" w:hAnsi="宋体"/>
                <w:b/>
                <w:bCs/>
                <w:color w:val="auto"/>
                <w:kern w:val="0"/>
                <w:sz w:val="21"/>
                <w:szCs w:val="21"/>
                <w:highlight w:val="none"/>
                <w:lang w:val="en-US" w:eastAsia="zh-CN"/>
              </w:rPr>
              <w:t>2</w:t>
            </w:r>
          </w:p>
        </w:tc>
        <w:tc>
          <w:tcPr>
            <w:tcW w:w="851" w:type="dxa"/>
            <w:noWrap w:val="0"/>
            <w:vAlign w:val="center"/>
          </w:tcPr>
          <w:p w14:paraId="2E28730D">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64A408F6">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3E395548">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207C37C9">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1133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308B9FC6">
            <w:pPr>
              <w:keepNext w:val="0"/>
              <w:keepLines w:val="0"/>
              <w:suppressLineNumbers w:val="0"/>
              <w:spacing w:before="0" w:beforeAutospacing="0" w:after="0" w:afterAutospacing="0"/>
              <w:ind w:left="0" w:right="0"/>
              <w:jc w:val="center"/>
              <w:rPr>
                <w:rFonts w:hint="default" w:ascii="宋体" w:hAnsi="宋体"/>
                <w:b/>
                <w:color w:val="auto"/>
                <w:szCs w:val="21"/>
                <w:highlight w:val="none"/>
              </w:rPr>
            </w:pPr>
          </w:p>
        </w:tc>
        <w:tc>
          <w:tcPr>
            <w:tcW w:w="4602" w:type="dxa"/>
            <w:noWrap w:val="0"/>
            <w:vAlign w:val="center"/>
          </w:tcPr>
          <w:p w14:paraId="7FA2F44D">
            <w:pPr>
              <w:keepNext w:val="0"/>
              <w:keepLines w:val="0"/>
              <w:suppressLineNumbers w:val="0"/>
              <w:spacing w:before="0" w:beforeAutospacing="0" w:after="0" w:afterAutospacing="0"/>
              <w:ind w:left="0" w:right="0"/>
              <w:jc w:val="left"/>
              <w:rPr>
                <w:rFonts w:hint="default" w:ascii="宋体" w:hAnsi="宋体"/>
                <w:b/>
                <w:bCs/>
                <w:color w:val="auto"/>
                <w:kern w:val="0"/>
                <w:sz w:val="21"/>
                <w:szCs w:val="21"/>
                <w:highlight w:val="none"/>
              </w:rPr>
            </w:pPr>
            <w:r>
              <w:rPr>
                <w:rFonts w:hint="default" w:ascii="宋体" w:hAnsi="宋体"/>
                <w:b w:val="0"/>
                <w:bCs w:val="0"/>
                <w:color w:val="auto"/>
                <w:kern w:val="0"/>
                <w:sz w:val="21"/>
                <w:szCs w:val="21"/>
                <w:highlight w:val="none"/>
              </w:rPr>
              <w:t>……</w:t>
            </w:r>
          </w:p>
        </w:tc>
        <w:tc>
          <w:tcPr>
            <w:tcW w:w="851" w:type="dxa"/>
            <w:noWrap w:val="0"/>
            <w:vAlign w:val="center"/>
          </w:tcPr>
          <w:p w14:paraId="4EA6879B">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77D9B60F">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3AC606C3">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07670374">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36DA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5B0F21AA">
            <w:pPr>
              <w:keepNext w:val="0"/>
              <w:keepLines w:val="0"/>
              <w:suppressLineNumbers w:val="0"/>
              <w:spacing w:before="0" w:beforeAutospacing="0" w:after="0" w:afterAutospacing="0"/>
              <w:ind w:left="0" w:right="0"/>
              <w:jc w:val="center"/>
              <w:rPr>
                <w:rFonts w:hint="default" w:ascii="宋体" w:hAnsi="宋体"/>
                <w:b/>
                <w:color w:val="auto"/>
                <w:szCs w:val="21"/>
                <w:highlight w:val="none"/>
              </w:rPr>
            </w:pPr>
            <w:r>
              <w:rPr>
                <w:rFonts w:hint="eastAsia" w:ascii="宋体" w:hAnsi="宋体"/>
                <w:b/>
                <w:color w:val="auto"/>
                <w:szCs w:val="21"/>
                <w:highlight w:val="none"/>
              </w:rPr>
              <w:t>三</w:t>
            </w:r>
          </w:p>
        </w:tc>
        <w:tc>
          <w:tcPr>
            <w:tcW w:w="4602" w:type="dxa"/>
            <w:noWrap w:val="0"/>
            <w:vAlign w:val="center"/>
          </w:tcPr>
          <w:p w14:paraId="4B389024">
            <w:pPr>
              <w:keepNext w:val="0"/>
              <w:keepLines w:val="0"/>
              <w:suppressLineNumbers w:val="0"/>
              <w:spacing w:before="0" w:beforeAutospacing="0" w:after="0" w:afterAutospacing="0"/>
              <w:ind w:left="0" w:right="0"/>
              <w:jc w:val="left"/>
              <w:rPr>
                <w:rFonts w:hint="default" w:ascii="宋体" w:hAnsi="宋体"/>
                <w:color w:val="auto"/>
                <w:szCs w:val="21"/>
                <w:highlight w:val="none"/>
              </w:rPr>
            </w:pPr>
            <w:r>
              <w:rPr>
                <w:rFonts w:hint="eastAsia" w:ascii="宋体" w:hAnsi="宋体"/>
                <w:b/>
                <w:bCs/>
                <w:color w:val="auto"/>
                <w:kern w:val="0"/>
                <w:sz w:val="21"/>
                <w:szCs w:val="21"/>
                <w:highlight w:val="none"/>
                <w:lang w:eastAsia="zh-CN"/>
              </w:rPr>
              <w:t>单项</w:t>
            </w:r>
            <w:r>
              <w:rPr>
                <w:rFonts w:hint="eastAsia" w:ascii="宋体" w:hAnsi="宋体"/>
                <w:b/>
                <w:bCs/>
                <w:color w:val="auto"/>
                <w:kern w:val="0"/>
                <w:sz w:val="21"/>
                <w:szCs w:val="21"/>
                <w:highlight w:val="none"/>
              </w:rPr>
              <w:t>工程</w:t>
            </w:r>
            <w:r>
              <w:rPr>
                <w:rFonts w:hint="eastAsia" w:ascii="宋体" w:hAnsi="宋体"/>
                <w:b/>
                <w:bCs/>
                <w:color w:val="auto"/>
                <w:kern w:val="0"/>
                <w:sz w:val="21"/>
                <w:szCs w:val="21"/>
                <w:highlight w:val="none"/>
                <w:lang w:val="en-US" w:eastAsia="zh-CN"/>
              </w:rPr>
              <w:t>3</w:t>
            </w:r>
          </w:p>
        </w:tc>
        <w:tc>
          <w:tcPr>
            <w:tcW w:w="851" w:type="dxa"/>
            <w:noWrap w:val="0"/>
            <w:vAlign w:val="center"/>
          </w:tcPr>
          <w:p w14:paraId="2C272A64">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222486D5">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00A90E1E">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3B3162EF">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1166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17DA04C0">
            <w:pPr>
              <w:keepNext w:val="0"/>
              <w:keepLines w:val="0"/>
              <w:suppressLineNumbers w:val="0"/>
              <w:spacing w:before="0" w:beforeAutospacing="0" w:after="0" w:afterAutospacing="0"/>
              <w:ind w:left="0" w:right="0"/>
              <w:jc w:val="center"/>
              <w:rPr>
                <w:rFonts w:hint="default" w:ascii="宋体" w:hAnsi="宋体"/>
                <w:b/>
                <w:color w:val="auto"/>
                <w:szCs w:val="21"/>
                <w:highlight w:val="none"/>
              </w:rPr>
            </w:pPr>
          </w:p>
        </w:tc>
        <w:tc>
          <w:tcPr>
            <w:tcW w:w="4602" w:type="dxa"/>
            <w:noWrap w:val="0"/>
            <w:vAlign w:val="center"/>
          </w:tcPr>
          <w:p w14:paraId="717DE5E1">
            <w:pPr>
              <w:keepNext w:val="0"/>
              <w:keepLines w:val="0"/>
              <w:suppressLineNumbers w:val="0"/>
              <w:spacing w:before="0" w:beforeAutospacing="0" w:after="0" w:afterAutospacing="0"/>
              <w:ind w:left="0" w:right="0"/>
              <w:jc w:val="left"/>
              <w:rPr>
                <w:rFonts w:hint="default" w:ascii="宋体" w:hAnsi="宋体"/>
                <w:b/>
                <w:bCs/>
                <w:color w:val="auto"/>
                <w:kern w:val="0"/>
                <w:sz w:val="21"/>
                <w:szCs w:val="21"/>
                <w:highlight w:val="none"/>
              </w:rPr>
            </w:pPr>
            <w:r>
              <w:rPr>
                <w:rFonts w:hint="default" w:ascii="宋体" w:hAnsi="宋体"/>
                <w:b w:val="0"/>
                <w:bCs w:val="0"/>
                <w:color w:val="auto"/>
                <w:kern w:val="0"/>
                <w:sz w:val="21"/>
                <w:szCs w:val="21"/>
                <w:highlight w:val="none"/>
              </w:rPr>
              <w:t>……</w:t>
            </w:r>
          </w:p>
        </w:tc>
        <w:tc>
          <w:tcPr>
            <w:tcW w:w="851" w:type="dxa"/>
            <w:noWrap w:val="0"/>
            <w:vAlign w:val="center"/>
          </w:tcPr>
          <w:p w14:paraId="114F686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6C9B562B">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3F083044">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1952BBFF">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1C5E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3B6258E8">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602" w:type="dxa"/>
            <w:noWrap w:val="0"/>
            <w:vAlign w:val="center"/>
          </w:tcPr>
          <w:p w14:paraId="095B88CA">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p>
        </w:tc>
        <w:tc>
          <w:tcPr>
            <w:tcW w:w="851" w:type="dxa"/>
            <w:noWrap w:val="0"/>
            <w:vAlign w:val="center"/>
          </w:tcPr>
          <w:p w14:paraId="5C016F3A">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42FCB114">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213643E2">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077AE8A8">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15E9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65707F73">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602" w:type="dxa"/>
            <w:noWrap w:val="0"/>
            <w:vAlign w:val="center"/>
          </w:tcPr>
          <w:p w14:paraId="58ACEFF2">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p>
        </w:tc>
        <w:tc>
          <w:tcPr>
            <w:tcW w:w="851" w:type="dxa"/>
            <w:noWrap w:val="0"/>
            <w:vAlign w:val="center"/>
          </w:tcPr>
          <w:p w14:paraId="65E802A1">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2A166947">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563992C8">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30EA369D">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5808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1694F71D">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602" w:type="dxa"/>
            <w:noWrap w:val="0"/>
            <w:vAlign w:val="center"/>
          </w:tcPr>
          <w:p w14:paraId="51B67BDD">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p>
        </w:tc>
        <w:tc>
          <w:tcPr>
            <w:tcW w:w="851" w:type="dxa"/>
            <w:noWrap w:val="0"/>
            <w:vAlign w:val="center"/>
          </w:tcPr>
          <w:p w14:paraId="54FBB164">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771B669C">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19470D75">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057E32C1">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03CB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50FB29FE">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602" w:type="dxa"/>
            <w:noWrap w:val="0"/>
            <w:vAlign w:val="center"/>
          </w:tcPr>
          <w:p w14:paraId="02FACA41">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p>
        </w:tc>
        <w:tc>
          <w:tcPr>
            <w:tcW w:w="851" w:type="dxa"/>
            <w:noWrap w:val="0"/>
            <w:vAlign w:val="center"/>
          </w:tcPr>
          <w:p w14:paraId="4D1FFA96">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0D0D9448">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7EC416AE">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50123B85">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0FE5E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076B5D1E">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602" w:type="dxa"/>
            <w:noWrap w:val="0"/>
            <w:vAlign w:val="center"/>
          </w:tcPr>
          <w:p w14:paraId="0153E22C">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p>
        </w:tc>
        <w:tc>
          <w:tcPr>
            <w:tcW w:w="851" w:type="dxa"/>
            <w:noWrap w:val="0"/>
            <w:vAlign w:val="center"/>
          </w:tcPr>
          <w:p w14:paraId="5E262814">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42A0E51D">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063C167C">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1B834D91">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7272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5F070A6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602" w:type="dxa"/>
            <w:noWrap w:val="0"/>
            <w:vAlign w:val="center"/>
          </w:tcPr>
          <w:p w14:paraId="2148D2E7">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p>
        </w:tc>
        <w:tc>
          <w:tcPr>
            <w:tcW w:w="851" w:type="dxa"/>
            <w:noWrap w:val="0"/>
            <w:vAlign w:val="center"/>
          </w:tcPr>
          <w:p w14:paraId="67B91B26">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5A7C0B07">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46F86A5E">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51D675BF">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r w14:paraId="6A58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44" w:type="dxa"/>
            <w:noWrap w:val="0"/>
            <w:vAlign w:val="center"/>
          </w:tcPr>
          <w:p w14:paraId="0D394C3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602" w:type="dxa"/>
            <w:noWrap w:val="0"/>
            <w:vAlign w:val="center"/>
          </w:tcPr>
          <w:p w14:paraId="53123000">
            <w:pPr>
              <w:keepNext w:val="0"/>
              <w:keepLines w:val="0"/>
              <w:suppressLineNumbers w:val="0"/>
              <w:spacing w:before="0" w:beforeAutospacing="0" w:after="0" w:afterAutospacing="0"/>
              <w:ind w:left="0" w:right="0"/>
              <w:jc w:val="left"/>
              <w:textAlignment w:val="center"/>
              <w:rPr>
                <w:rFonts w:hint="default" w:ascii="宋体" w:hAnsi="宋体"/>
                <w:color w:val="auto"/>
                <w:szCs w:val="21"/>
                <w:highlight w:val="none"/>
              </w:rPr>
            </w:pPr>
          </w:p>
        </w:tc>
        <w:tc>
          <w:tcPr>
            <w:tcW w:w="851" w:type="dxa"/>
            <w:noWrap w:val="0"/>
            <w:vAlign w:val="center"/>
          </w:tcPr>
          <w:p w14:paraId="5514EDC2">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75" w:type="dxa"/>
            <w:noWrap w:val="0"/>
            <w:vAlign w:val="center"/>
          </w:tcPr>
          <w:p w14:paraId="5C13C79B">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25" w:type="dxa"/>
            <w:noWrap w:val="0"/>
            <w:vAlign w:val="center"/>
          </w:tcPr>
          <w:p w14:paraId="5818E4C9">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c>
          <w:tcPr>
            <w:tcW w:w="1257" w:type="dxa"/>
            <w:noWrap w:val="0"/>
            <w:vAlign w:val="center"/>
          </w:tcPr>
          <w:p w14:paraId="33F84431">
            <w:pPr>
              <w:keepNext w:val="0"/>
              <w:keepLines w:val="0"/>
              <w:widowControl/>
              <w:suppressLineNumbers w:val="0"/>
              <w:spacing w:before="0" w:beforeAutospacing="0" w:after="0" w:afterAutospacing="0"/>
              <w:ind w:left="0" w:right="0"/>
              <w:jc w:val="center"/>
              <w:rPr>
                <w:rFonts w:hint="default" w:ascii="宋体" w:hAnsi="宋体"/>
                <w:color w:val="auto"/>
                <w:szCs w:val="21"/>
                <w:highlight w:val="none"/>
              </w:rPr>
            </w:pPr>
          </w:p>
        </w:tc>
      </w:tr>
    </w:tbl>
    <w:p w14:paraId="0297BE44">
      <w:pPr>
        <w:ind w:left="360" w:hanging="408" w:hangingChars="200"/>
        <w:rPr>
          <w:rFonts w:hint="eastAsia" w:ascii="宋体" w:hAnsi="宋体"/>
          <w:color w:val="auto"/>
          <w:sz w:val="20"/>
          <w:szCs w:val="20"/>
          <w:highlight w:val="none"/>
        </w:rPr>
      </w:pPr>
      <w:r>
        <w:rPr>
          <w:rFonts w:hint="eastAsia" w:ascii="宋体" w:hAnsi="宋体"/>
          <w:color w:val="auto"/>
          <w:sz w:val="20"/>
          <w:szCs w:val="20"/>
          <w:highlight w:val="none"/>
        </w:rPr>
        <w:t>注：</w:t>
      </w:r>
      <w:r>
        <w:rPr>
          <w:rFonts w:hint="eastAsia" w:ascii="宋体" w:hAnsi="宋体"/>
          <w:color w:val="auto"/>
          <w:sz w:val="20"/>
          <w:szCs w:val="20"/>
          <w:highlight w:val="none"/>
          <w:lang w:val="en-US" w:eastAsia="zh-CN"/>
        </w:rPr>
        <w:t>1.</w:t>
      </w:r>
      <w:r>
        <w:rPr>
          <w:rFonts w:hint="eastAsia" w:ascii="宋体" w:hAnsi="宋体"/>
          <w:color w:val="auto"/>
          <w:sz w:val="20"/>
          <w:szCs w:val="20"/>
          <w:highlight w:val="none"/>
        </w:rPr>
        <w:t>此表由招标人填写除“投标单价”栏的内容</w:t>
      </w:r>
      <w:r>
        <w:rPr>
          <w:rFonts w:hint="eastAsia" w:ascii="宋体" w:hAnsi="宋体"/>
          <w:color w:val="auto"/>
          <w:sz w:val="20"/>
          <w:szCs w:val="20"/>
          <w:highlight w:val="none"/>
          <w:lang w:eastAsia="zh-CN"/>
        </w:rPr>
        <w:t>，</w:t>
      </w:r>
      <w:r>
        <w:rPr>
          <w:rFonts w:hint="eastAsia" w:ascii="宋体" w:hAnsi="宋体"/>
          <w:color w:val="auto"/>
          <w:sz w:val="20"/>
          <w:szCs w:val="20"/>
          <w:highlight w:val="none"/>
        </w:rPr>
        <w:t>投标人在投标时自主确定投标单价。</w:t>
      </w:r>
    </w:p>
    <w:p w14:paraId="51120A36">
      <w:pPr>
        <w:ind w:left="363" w:leftChars="170" w:firstLine="0" w:firstLineChars="0"/>
        <w:rPr>
          <w:color w:val="auto"/>
          <w:sz w:val="20"/>
          <w:szCs w:val="20"/>
          <w:highlight w:val="none"/>
        </w:rPr>
      </w:pPr>
      <w:r>
        <w:rPr>
          <w:rFonts w:hint="eastAsia" w:ascii="宋体" w:hAnsi="宋体"/>
          <w:color w:val="auto"/>
          <w:sz w:val="20"/>
          <w:szCs w:val="20"/>
          <w:highlight w:val="none"/>
          <w:lang w:val="en-US" w:eastAsia="zh-CN"/>
        </w:rPr>
        <w:t>2.应用于一般计税法为除税价，应用于简易计税法为含税价。</w:t>
      </w:r>
    </w:p>
    <w:p w14:paraId="7DF09AA2">
      <w:pPr>
        <w:jc w:val="left"/>
        <w:rPr>
          <w:color w:val="auto"/>
          <w:highlight w:val="none"/>
        </w:rPr>
      </w:pPr>
      <w:r>
        <w:rPr>
          <w:color w:val="auto"/>
          <w:highlight w:val="none"/>
        </w:rPr>
        <w:t xml:space="preserve"> </w:t>
      </w:r>
    </w:p>
    <w:p w14:paraId="1C69FDC2">
      <w:pPr>
        <w:jc w:val="right"/>
        <w:rPr>
          <w:rFonts w:hint="default" w:eastAsia="宋体"/>
          <w:color w:val="auto"/>
          <w:sz w:val="24"/>
          <w:highlight w:val="none"/>
          <w:lang w:val="en-US" w:eastAsia="zh-CN"/>
        </w:rPr>
      </w:pPr>
      <w:r>
        <w:rPr>
          <w:rFonts w:hint="eastAsia" w:ascii="宋体" w:hAnsi="宋体"/>
          <w:color w:val="auto"/>
          <w:sz w:val="21"/>
          <w:szCs w:val="21"/>
          <w:highlight w:val="none"/>
        </w:rPr>
        <w:t>表-</w:t>
      </w:r>
      <w:r>
        <w:rPr>
          <w:rFonts w:hint="eastAsia" w:ascii="宋体" w:hAnsi="宋体"/>
          <w:color w:val="auto"/>
          <w:sz w:val="21"/>
          <w:szCs w:val="21"/>
          <w:highlight w:val="none"/>
          <w:lang w:val="en-US" w:eastAsia="zh-CN"/>
        </w:rPr>
        <w:t>16</w:t>
      </w:r>
    </w:p>
    <w:p w14:paraId="01F3720E">
      <w:pPr>
        <w:pStyle w:val="40"/>
        <w:spacing w:after="0"/>
        <w:ind w:firstLine="210"/>
        <w:rPr>
          <w:color w:val="auto"/>
          <w:highlight w:val="none"/>
        </w:rPr>
      </w:pPr>
    </w:p>
    <w:p w14:paraId="4CC7BBEC">
      <w:pPr>
        <w:pStyle w:val="40"/>
        <w:spacing w:after="0"/>
        <w:ind w:firstLine="0" w:firstLineChars="0"/>
        <w:rPr>
          <w:rFonts w:ascii="黑体" w:hAnsi="黑体" w:eastAsia="黑体"/>
          <w:color w:val="auto"/>
          <w:highlight w:val="none"/>
        </w:rPr>
      </w:pPr>
    </w:p>
    <w:p w14:paraId="601E1087">
      <w:pPr>
        <w:pStyle w:val="40"/>
        <w:spacing w:after="0"/>
        <w:ind w:firstLine="210"/>
        <w:rPr>
          <w:color w:val="auto"/>
          <w:highlight w:val="none"/>
        </w:rPr>
      </w:pPr>
    </w:p>
    <w:p w14:paraId="39D2EC8F">
      <w:pPr>
        <w:pStyle w:val="40"/>
        <w:spacing w:after="0"/>
        <w:ind w:firstLine="210"/>
        <w:rPr>
          <w:color w:val="auto"/>
          <w:highlight w:val="none"/>
        </w:rPr>
        <w:sectPr>
          <w:type w:val="continuous"/>
          <w:pgSz w:w="11905" w:h="16838"/>
          <w:pgMar w:top="850" w:right="1134" w:bottom="850" w:left="1134" w:header="850" w:footer="992" w:gutter="0"/>
          <w:pgNumType w:fmt="decimal"/>
          <w:cols w:space="720" w:num="1"/>
          <w:rtlGutter w:val="0"/>
          <w:docGrid w:type="linesAndChars" w:linePitch="321" w:charSpace="851"/>
        </w:sectPr>
      </w:pPr>
    </w:p>
    <w:p w14:paraId="1E6E4EFB">
      <w:pPr>
        <w:jc w:val="center"/>
        <w:rPr>
          <w:rFonts w:hint="eastAsia" w:ascii="宋体" w:hAnsi="宋体" w:eastAsia="宋体" w:cs="Times New Roman"/>
          <w:b/>
          <w:bCs w:val="0"/>
          <w:color w:val="auto"/>
          <w:sz w:val="36"/>
          <w:szCs w:val="36"/>
          <w:highlight w:val="none"/>
        </w:rPr>
      </w:pPr>
      <w:r>
        <w:rPr>
          <w:rFonts w:hint="eastAsia" w:ascii="宋体" w:hAnsi="宋体" w:eastAsia="宋体" w:cs="Times New Roman"/>
          <w:b/>
          <w:bCs w:val="0"/>
          <w:color w:val="auto"/>
          <w:sz w:val="36"/>
          <w:szCs w:val="36"/>
          <w:highlight w:val="none"/>
          <w:lang w:eastAsia="zh-CN"/>
        </w:rPr>
        <w:t>人工及主要材料费可调因子价格指数及</w:t>
      </w:r>
      <w:r>
        <w:rPr>
          <w:rFonts w:hint="eastAsia" w:ascii="宋体" w:hAnsi="宋体" w:eastAsia="宋体" w:cs="Times New Roman"/>
          <w:b/>
          <w:bCs w:val="0"/>
          <w:color w:val="auto"/>
          <w:sz w:val="36"/>
          <w:szCs w:val="36"/>
          <w:highlight w:val="none"/>
        </w:rPr>
        <w:t>权重表</w:t>
      </w:r>
    </w:p>
    <w:p w14:paraId="7F5BBFF2">
      <w:pPr>
        <w:jc w:val="center"/>
        <w:rPr>
          <w:rFonts w:hint="eastAsia" w:ascii="宋体" w:hAnsi="宋体" w:eastAsia="宋体" w:cs="Times New Roman"/>
          <w:b/>
          <w:bCs/>
          <w:color w:val="auto"/>
          <w:sz w:val="28"/>
          <w:szCs w:val="28"/>
          <w:highlight w:val="none"/>
        </w:rPr>
      </w:pPr>
      <w:r>
        <w:rPr>
          <w:rFonts w:hint="eastAsia" w:ascii="宋体" w:hAnsi="宋体" w:eastAsia="宋体" w:cs="Times New Roman"/>
          <w:b/>
          <w:bCs/>
          <w:color w:val="auto"/>
          <w:sz w:val="28"/>
          <w:szCs w:val="28"/>
          <w:highlight w:val="none"/>
          <w:lang w:eastAsia="zh-CN"/>
        </w:rPr>
        <w:t>（适用于总价合同）</w:t>
      </w:r>
    </w:p>
    <w:p w14:paraId="3B525700">
      <w:pPr>
        <w:pStyle w:val="17"/>
        <w:rPr>
          <w:rFonts w:ascii="宋体" w:hAnsi="宋体"/>
          <w:color w:val="auto"/>
          <w:highlight w:val="none"/>
        </w:rPr>
      </w:pPr>
      <w:r>
        <w:rPr>
          <w:rFonts w:hint="eastAsia" w:ascii="宋体" w:hAnsi="宋体"/>
          <w:color w:val="auto"/>
          <w:highlight w:val="none"/>
        </w:rPr>
        <w:t xml:space="preserve"> 工程名称：</w:t>
      </w:r>
      <w:r>
        <w:rPr>
          <w:rFonts w:hint="eastAsia" w:ascii="宋体" w:hAnsi="宋体"/>
          <w:color w:val="auto"/>
          <w:highlight w:val="none"/>
          <w:lang w:val="en-US" w:eastAsia="zh-CN"/>
        </w:rPr>
        <w:t xml:space="preserve">                                                       </w:t>
      </w:r>
      <w:r>
        <w:rPr>
          <w:rFonts w:hint="eastAsia" w:ascii="宋体" w:hAnsi="宋体"/>
          <w:color w:val="auto"/>
          <w:highlight w:val="none"/>
        </w:rPr>
        <w:t>第  页  共  页</w:t>
      </w:r>
    </w:p>
    <w:tbl>
      <w:tblPr>
        <w:tblStyle w:val="160"/>
        <w:tblW w:w="9048" w:type="dxa"/>
        <w:tblInd w:w="1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7"/>
        <w:gridCol w:w="1405"/>
        <w:gridCol w:w="1091"/>
        <w:gridCol w:w="1445"/>
        <w:gridCol w:w="1309"/>
        <w:gridCol w:w="1268"/>
        <w:gridCol w:w="1303"/>
      </w:tblGrid>
      <w:tr w14:paraId="6034C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8" w:hRule="atLeast"/>
        </w:trPr>
        <w:tc>
          <w:tcPr>
            <w:tcW w:w="1227" w:type="dxa"/>
            <w:noWrap w:val="0"/>
            <w:vAlign w:val="center"/>
          </w:tcPr>
          <w:p w14:paraId="277F7958">
            <w:pPr>
              <w:pStyle w:val="161"/>
              <w:spacing w:before="1"/>
              <w:ind w:left="105"/>
              <w:jc w:val="center"/>
              <w:rPr>
                <w:color w:val="auto"/>
                <w:sz w:val="21"/>
                <w:highlight w:val="none"/>
              </w:rPr>
            </w:pPr>
            <w:r>
              <w:rPr>
                <w:rFonts w:hint="eastAsia"/>
                <w:color w:val="auto"/>
                <w:sz w:val="21"/>
                <w:highlight w:val="none"/>
                <w:lang w:eastAsia="zh-CN"/>
              </w:rPr>
              <w:t>可调因子</w:t>
            </w:r>
          </w:p>
        </w:tc>
        <w:tc>
          <w:tcPr>
            <w:tcW w:w="1405" w:type="dxa"/>
            <w:noWrap w:val="0"/>
            <w:vAlign w:val="center"/>
          </w:tcPr>
          <w:p w14:paraId="38A4232C">
            <w:pPr>
              <w:pStyle w:val="161"/>
              <w:spacing w:before="1"/>
              <w:jc w:val="center"/>
              <w:rPr>
                <w:rFonts w:hint="eastAsia" w:ascii="黑体"/>
                <w:color w:val="auto"/>
                <w:sz w:val="20"/>
                <w:highlight w:val="none"/>
                <w:lang w:eastAsia="zh-CN"/>
              </w:rPr>
            </w:pPr>
            <w:r>
              <w:rPr>
                <w:rFonts w:hint="eastAsia" w:ascii="黑体"/>
                <w:color w:val="auto"/>
                <w:sz w:val="20"/>
                <w:highlight w:val="none"/>
                <w:lang w:eastAsia="zh-CN"/>
              </w:rPr>
              <w:t>基准日价格</w:t>
            </w:r>
          </w:p>
          <w:p w14:paraId="6A0EB715">
            <w:pPr>
              <w:pStyle w:val="161"/>
              <w:spacing w:before="1"/>
              <w:jc w:val="center"/>
              <w:rPr>
                <w:rFonts w:hint="eastAsia"/>
                <w:color w:val="auto"/>
                <w:sz w:val="21"/>
                <w:highlight w:val="none"/>
                <w:lang w:val="en-US" w:eastAsia="zh-CN"/>
              </w:rPr>
            </w:pPr>
            <w:r>
              <w:rPr>
                <w:color w:val="auto"/>
                <w:sz w:val="21"/>
                <w:highlight w:val="none"/>
              </w:rPr>
              <w:t>指数</w:t>
            </w:r>
            <w:r>
              <w:rPr>
                <w:rFonts w:hint="eastAsia"/>
                <w:color w:val="auto"/>
                <w:sz w:val="21"/>
                <w:highlight w:val="none"/>
                <w:lang w:eastAsia="zh-CN"/>
              </w:rPr>
              <w:t>或</w:t>
            </w:r>
            <w:r>
              <w:rPr>
                <w:rFonts w:hint="eastAsia"/>
                <w:color w:val="auto"/>
                <w:sz w:val="21"/>
                <w:highlight w:val="none"/>
                <w:lang w:val="en-US" w:eastAsia="zh-CN"/>
              </w:rPr>
              <w:t>单价</w:t>
            </w:r>
          </w:p>
          <w:p w14:paraId="5ED732D3">
            <w:pPr>
              <w:pStyle w:val="161"/>
              <w:spacing w:before="1"/>
              <w:jc w:val="center"/>
              <w:rPr>
                <w:rFonts w:hint="eastAsia"/>
                <w:color w:val="auto"/>
                <w:sz w:val="21"/>
                <w:highlight w:val="none"/>
                <w:lang w:val="en-US" w:eastAsia="zh-CN"/>
              </w:rPr>
            </w:pPr>
            <w:r>
              <w:rPr>
                <w:rFonts w:hint="eastAsia"/>
                <w:color w:val="auto"/>
                <w:sz w:val="21"/>
                <w:highlight w:val="none"/>
                <w:lang w:eastAsia="zh-CN"/>
              </w:rPr>
              <w:t>（元）</w:t>
            </w:r>
          </w:p>
        </w:tc>
        <w:tc>
          <w:tcPr>
            <w:tcW w:w="1091" w:type="dxa"/>
            <w:noWrap w:val="0"/>
            <w:vAlign w:val="center"/>
          </w:tcPr>
          <w:p w14:paraId="1308C3F2">
            <w:pPr>
              <w:pStyle w:val="161"/>
              <w:spacing w:before="1"/>
              <w:ind w:left="108" w:leftChars="0" w:right="0" w:rightChars="0"/>
              <w:jc w:val="both"/>
              <w:rPr>
                <w:rFonts w:hint="default"/>
                <w:color w:val="auto"/>
                <w:sz w:val="21"/>
                <w:highlight w:val="none"/>
                <w:lang w:val="en-US" w:eastAsia="zh-CN"/>
              </w:rPr>
            </w:pPr>
            <w:r>
              <w:rPr>
                <w:rFonts w:hint="eastAsia"/>
                <w:color w:val="auto"/>
                <w:sz w:val="21"/>
                <w:highlight w:val="none"/>
                <w:lang w:val="en-US" w:eastAsia="zh-CN"/>
              </w:rPr>
              <w:t>风险幅度（%）</w:t>
            </w:r>
          </w:p>
        </w:tc>
        <w:tc>
          <w:tcPr>
            <w:tcW w:w="1445" w:type="dxa"/>
            <w:noWrap w:val="0"/>
            <w:vAlign w:val="center"/>
          </w:tcPr>
          <w:p w14:paraId="695ECB45">
            <w:pPr>
              <w:pStyle w:val="161"/>
              <w:spacing w:before="1"/>
              <w:jc w:val="center"/>
              <w:rPr>
                <w:rFonts w:hint="eastAsia"/>
                <w:color w:val="auto"/>
                <w:sz w:val="21"/>
                <w:highlight w:val="none"/>
                <w:lang w:val="en-US" w:eastAsia="zh-CN"/>
              </w:rPr>
            </w:pPr>
            <w:r>
              <w:rPr>
                <w:rFonts w:hint="eastAsia"/>
                <w:color w:val="auto"/>
                <w:sz w:val="21"/>
                <w:highlight w:val="none"/>
                <w:lang w:val="en-US" w:eastAsia="zh-CN"/>
              </w:rPr>
              <w:t>基本价格</w:t>
            </w:r>
          </w:p>
          <w:p w14:paraId="2A09C021">
            <w:pPr>
              <w:pStyle w:val="161"/>
              <w:spacing w:before="1"/>
              <w:jc w:val="center"/>
              <w:rPr>
                <w:rFonts w:hint="eastAsia"/>
                <w:color w:val="auto"/>
                <w:sz w:val="21"/>
                <w:highlight w:val="none"/>
                <w:lang w:val="en-US" w:eastAsia="zh-CN"/>
              </w:rPr>
            </w:pPr>
            <w:r>
              <w:rPr>
                <w:rFonts w:hint="eastAsia"/>
                <w:color w:val="auto"/>
                <w:sz w:val="21"/>
                <w:highlight w:val="none"/>
                <w:lang w:val="en-US" w:eastAsia="zh-CN"/>
              </w:rPr>
              <w:t>指数或单价</w:t>
            </w:r>
          </w:p>
          <w:p w14:paraId="3CFE95C2">
            <w:pPr>
              <w:pStyle w:val="161"/>
              <w:spacing w:before="1"/>
              <w:jc w:val="center"/>
              <w:rPr>
                <w:rFonts w:hint="eastAsia"/>
                <w:color w:val="auto"/>
                <w:sz w:val="21"/>
                <w:highlight w:val="none"/>
                <w:lang w:val="en-US" w:eastAsia="zh-CN"/>
              </w:rPr>
            </w:pPr>
            <w:r>
              <w:rPr>
                <w:rFonts w:hint="eastAsia"/>
                <w:color w:val="auto"/>
                <w:sz w:val="21"/>
                <w:highlight w:val="none"/>
                <w:lang w:val="en-US" w:eastAsia="zh-CN"/>
              </w:rPr>
              <w:t>（元）</w:t>
            </w:r>
          </w:p>
        </w:tc>
        <w:tc>
          <w:tcPr>
            <w:tcW w:w="1309" w:type="dxa"/>
            <w:noWrap w:val="0"/>
            <w:vAlign w:val="center"/>
          </w:tcPr>
          <w:p w14:paraId="0A15A8DA">
            <w:pPr>
              <w:pStyle w:val="161"/>
              <w:spacing w:before="1"/>
              <w:ind w:left="105"/>
              <w:jc w:val="center"/>
              <w:rPr>
                <w:color w:val="auto"/>
                <w:sz w:val="21"/>
                <w:highlight w:val="none"/>
                <w:u w:val="single"/>
              </w:rPr>
            </w:pPr>
            <w:r>
              <w:rPr>
                <w:rFonts w:hint="eastAsia"/>
                <w:color w:val="auto"/>
                <w:sz w:val="21"/>
                <w:highlight w:val="none"/>
                <w:lang w:val="en-US" w:eastAsia="zh-CN"/>
              </w:rPr>
              <w:t>招标</w:t>
            </w:r>
            <w:r>
              <w:rPr>
                <w:rFonts w:hint="eastAsia"/>
                <w:color w:val="auto"/>
                <w:sz w:val="21"/>
                <w:highlight w:val="none"/>
                <w:lang w:eastAsia="zh-CN"/>
              </w:rPr>
              <w:t>人</w:t>
            </w:r>
            <w:r>
              <w:rPr>
                <w:color w:val="auto"/>
                <w:sz w:val="21"/>
                <w:highlight w:val="none"/>
              </w:rPr>
              <w:t>允许</w:t>
            </w:r>
            <w:r>
              <w:rPr>
                <w:rFonts w:hint="eastAsia"/>
                <w:color w:val="auto"/>
                <w:sz w:val="21"/>
                <w:highlight w:val="none"/>
                <w:lang w:eastAsia="zh-CN"/>
              </w:rPr>
              <w:t>权重</w:t>
            </w:r>
            <w:r>
              <w:rPr>
                <w:color w:val="auto"/>
                <w:sz w:val="21"/>
                <w:highlight w:val="none"/>
              </w:rPr>
              <w:t>范围</w:t>
            </w:r>
          </w:p>
        </w:tc>
        <w:tc>
          <w:tcPr>
            <w:tcW w:w="1268" w:type="dxa"/>
            <w:noWrap w:val="0"/>
            <w:vAlign w:val="center"/>
          </w:tcPr>
          <w:p w14:paraId="50E170F3">
            <w:pPr>
              <w:pStyle w:val="161"/>
              <w:spacing w:before="1"/>
              <w:ind w:left="0"/>
              <w:jc w:val="center"/>
              <w:rPr>
                <w:rFonts w:hint="eastAsia"/>
                <w:color w:val="auto"/>
                <w:sz w:val="21"/>
                <w:highlight w:val="none"/>
                <w:lang w:eastAsia="zh-CN"/>
              </w:rPr>
            </w:pPr>
            <w:r>
              <w:rPr>
                <w:color w:val="auto"/>
                <w:sz w:val="21"/>
                <w:highlight w:val="none"/>
              </w:rPr>
              <w:t>投标人</w:t>
            </w:r>
          </w:p>
          <w:p w14:paraId="2876BA83">
            <w:pPr>
              <w:pStyle w:val="161"/>
              <w:spacing w:before="1"/>
              <w:ind w:left="0"/>
              <w:jc w:val="center"/>
              <w:rPr>
                <w:rFonts w:hint="eastAsia"/>
                <w:color w:val="auto"/>
                <w:sz w:val="21"/>
                <w:highlight w:val="none"/>
                <w:lang w:val="en-US" w:eastAsia="zh-CN"/>
              </w:rPr>
            </w:pPr>
            <w:r>
              <w:rPr>
                <w:rFonts w:hint="eastAsia"/>
                <w:color w:val="auto"/>
                <w:sz w:val="21"/>
                <w:highlight w:val="none"/>
                <w:lang w:eastAsia="zh-CN"/>
              </w:rPr>
              <w:t>填报权重</w:t>
            </w:r>
          </w:p>
        </w:tc>
        <w:tc>
          <w:tcPr>
            <w:tcW w:w="1303" w:type="dxa"/>
            <w:noWrap w:val="0"/>
            <w:vAlign w:val="center"/>
          </w:tcPr>
          <w:p w14:paraId="1B8F83ED">
            <w:pPr>
              <w:pStyle w:val="161"/>
              <w:spacing w:before="1"/>
              <w:ind w:left="0"/>
              <w:jc w:val="center"/>
              <w:rPr>
                <w:rFonts w:hint="eastAsia"/>
                <w:color w:val="auto"/>
                <w:sz w:val="21"/>
                <w:highlight w:val="none"/>
                <w:lang w:val="en-US" w:eastAsia="zh-CN"/>
              </w:rPr>
            </w:pPr>
            <w:r>
              <w:rPr>
                <w:rFonts w:hint="eastAsia"/>
                <w:color w:val="auto"/>
                <w:sz w:val="21"/>
                <w:highlight w:val="none"/>
                <w:lang w:val="en-US" w:eastAsia="zh-CN"/>
              </w:rPr>
              <w:t>价格指数</w:t>
            </w:r>
          </w:p>
          <w:p w14:paraId="0C264D04">
            <w:pPr>
              <w:pStyle w:val="161"/>
              <w:spacing w:before="1"/>
              <w:ind w:left="0"/>
              <w:jc w:val="center"/>
              <w:rPr>
                <w:rFonts w:hint="default" w:eastAsia="宋体"/>
                <w:color w:val="auto"/>
                <w:sz w:val="21"/>
                <w:highlight w:val="none"/>
                <w:lang w:val="en-US" w:eastAsia="zh-CN"/>
              </w:rPr>
            </w:pPr>
            <w:r>
              <w:rPr>
                <w:rFonts w:hint="eastAsia"/>
                <w:color w:val="auto"/>
                <w:sz w:val="21"/>
                <w:highlight w:val="none"/>
                <w:lang w:val="en-US" w:eastAsia="zh-CN"/>
              </w:rPr>
              <w:t>来源</w:t>
            </w:r>
          </w:p>
        </w:tc>
      </w:tr>
      <w:tr w14:paraId="408FC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5C115F6C">
            <w:pPr>
              <w:pStyle w:val="161"/>
              <w:spacing w:before="1"/>
              <w:ind w:left="105"/>
              <w:rPr>
                <w:color w:val="auto"/>
                <w:sz w:val="21"/>
                <w:highlight w:val="none"/>
              </w:rPr>
            </w:pPr>
          </w:p>
        </w:tc>
        <w:tc>
          <w:tcPr>
            <w:tcW w:w="1405" w:type="dxa"/>
            <w:noWrap w:val="0"/>
            <w:vAlign w:val="center"/>
          </w:tcPr>
          <w:p w14:paraId="58A184AF">
            <w:pPr>
              <w:pStyle w:val="161"/>
              <w:spacing w:before="1"/>
              <w:jc w:val="both"/>
              <w:rPr>
                <w:rFonts w:hint="default" w:eastAsia="宋体"/>
                <w:color w:val="auto"/>
                <w:sz w:val="21"/>
                <w:highlight w:val="none"/>
                <w:lang w:val="en-US" w:eastAsia="zh-CN"/>
              </w:rPr>
            </w:pPr>
          </w:p>
        </w:tc>
        <w:tc>
          <w:tcPr>
            <w:tcW w:w="1091" w:type="dxa"/>
            <w:noWrap w:val="0"/>
            <w:vAlign w:val="center"/>
          </w:tcPr>
          <w:p w14:paraId="5D17D707">
            <w:pPr>
              <w:pStyle w:val="161"/>
              <w:spacing w:before="1"/>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12C470F3">
            <w:pPr>
              <w:pStyle w:val="161"/>
              <w:spacing w:before="1"/>
              <w:jc w:val="both"/>
              <w:rPr>
                <w:rFonts w:hint="default"/>
                <w:color w:val="auto"/>
                <w:sz w:val="21"/>
                <w:highlight w:val="none"/>
                <w:lang w:val="en-US" w:eastAsia="zh-CN"/>
              </w:rPr>
            </w:pPr>
          </w:p>
        </w:tc>
        <w:tc>
          <w:tcPr>
            <w:tcW w:w="1309" w:type="dxa"/>
            <w:noWrap w:val="0"/>
            <w:vAlign w:val="top"/>
          </w:tcPr>
          <w:p w14:paraId="1E0E7533">
            <w:pPr>
              <w:pStyle w:val="161"/>
              <w:spacing w:before="1"/>
              <w:ind w:left="105"/>
              <w:rPr>
                <w:color w:val="auto"/>
                <w:sz w:val="21"/>
                <w:highlight w:val="none"/>
              </w:rPr>
            </w:pPr>
          </w:p>
        </w:tc>
        <w:tc>
          <w:tcPr>
            <w:tcW w:w="1268" w:type="dxa"/>
            <w:noWrap w:val="0"/>
            <w:vAlign w:val="top"/>
          </w:tcPr>
          <w:p w14:paraId="62F71559">
            <w:pPr>
              <w:pStyle w:val="161"/>
              <w:spacing w:before="1"/>
              <w:ind w:left="107"/>
              <w:rPr>
                <w:rFonts w:hint="default" w:eastAsia="宋体"/>
                <w:color w:val="auto"/>
                <w:sz w:val="21"/>
                <w:highlight w:val="none"/>
                <w:lang w:val="en-US" w:eastAsia="zh-CN"/>
              </w:rPr>
            </w:pPr>
          </w:p>
        </w:tc>
        <w:tc>
          <w:tcPr>
            <w:tcW w:w="1303" w:type="dxa"/>
            <w:noWrap w:val="0"/>
            <w:vAlign w:val="top"/>
          </w:tcPr>
          <w:p w14:paraId="66C8B63F">
            <w:pPr>
              <w:pStyle w:val="161"/>
              <w:spacing w:before="1"/>
              <w:ind w:left="108"/>
              <w:rPr>
                <w:rFonts w:hint="default" w:eastAsia="宋体"/>
                <w:color w:val="auto"/>
                <w:sz w:val="21"/>
                <w:highlight w:val="none"/>
                <w:lang w:val="en-US" w:eastAsia="zh-CN"/>
              </w:rPr>
            </w:pPr>
          </w:p>
        </w:tc>
      </w:tr>
      <w:tr w14:paraId="2D163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6A3985E1">
            <w:pPr>
              <w:pStyle w:val="161"/>
              <w:ind w:left="105"/>
              <w:rPr>
                <w:rFonts w:hint="default" w:eastAsia="宋体"/>
                <w:color w:val="auto"/>
                <w:sz w:val="21"/>
                <w:highlight w:val="none"/>
                <w:lang w:val="en-US" w:eastAsia="zh-CN"/>
              </w:rPr>
            </w:pPr>
          </w:p>
        </w:tc>
        <w:tc>
          <w:tcPr>
            <w:tcW w:w="1405" w:type="dxa"/>
            <w:noWrap w:val="0"/>
            <w:vAlign w:val="center"/>
          </w:tcPr>
          <w:p w14:paraId="6724C64A">
            <w:pPr>
              <w:pStyle w:val="161"/>
              <w:ind w:left="105"/>
              <w:jc w:val="both"/>
              <w:rPr>
                <w:rFonts w:hint="default" w:eastAsia="宋体"/>
                <w:color w:val="auto"/>
                <w:sz w:val="21"/>
                <w:highlight w:val="none"/>
                <w:lang w:val="en-US" w:eastAsia="zh-CN"/>
              </w:rPr>
            </w:pPr>
          </w:p>
        </w:tc>
        <w:tc>
          <w:tcPr>
            <w:tcW w:w="1091" w:type="dxa"/>
            <w:noWrap w:val="0"/>
            <w:vAlign w:val="center"/>
          </w:tcPr>
          <w:p w14:paraId="2B55B79A">
            <w:pPr>
              <w:pStyle w:val="161"/>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7EAF406D">
            <w:pPr>
              <w:pStyle w:val="161"/>
              <w:ind w:left="105"/>
              <w:jc w:val="both"/>
              <w:rPr>
                <w:rFonts w:hint="default"/>
                <w:color w:val="auto"/>
                <w:sz w:val="21"/>
                <w:highlight w:val="none"/>
                <w:lang w:val="en-US" w:eastAsia="zh-CN"/>
              </w:rPr>
            </w:pPr>
          </w:p>
        </w:tc>
        <w:tc>
          <w:tcPr>
            <w:tcW w:w="1309" w:type="dxa"/>
            <w:noWrap w:val="0"/>
            <w:vAlign w:val="top"/>
          </w:tcPr>
          <w:p w14:paraId="4AAD4D08">
            <w:pPr>
              <w:pStyle w:val="161"/>
              <w:ind w:left="105"/>
              <w:rPr>
                <w:color w:val="auto"/>
                <w:sz w:val="21"/>
                <w:highlight w:val="none"/>
              </w:rPr>
            </w:pPr>
          </w:p>
        </w:tc>
        <w:tc>
          <w:tcPr>
            <w:tcW w:w="1268" w:type="dxa"/>
            <w:noWrap w:val="0"/>
            <w:vAlign w:val="top"/>
          </w:tcPr>
          <w:p w14:paraId="23BB49A4">
            <w:pPr>
              <w:pStyle w:val="161"/>
              <w:ind w:left="107"/>
              <w:rPr>
                <w:rFonts w:hint="default" w:eastAsia="宋体"/>
                <w:color w:val="auto"/>
                <w:sz w:val="21"/>
                <w:highlight w:val="none"/>
                <w:lang w:val="en-US" w:eastAsia="zh-CN"/>
              </w:rPr>
            </w:pPr>
          </w:p>
        </w:tc>
        <w:tc>
          <w:tcPr>
            <w:tcW w:w="1303" w:type="dxa"/>
            <w:noWrap w:val="0"/>
            <w:vAlign w:val="top"/>
          </w:tcPr>
          <w:p w14:paraId="66275C5D">
            <w:pPr>
              <w:pStyle w:val="161"/>
              <w:ind w:left="108"/>
              <w:rPr>
                <w:rFonts w:hint="default" w:eastAsia="宋体"/>
                <w:color w:val="auto"/>
                <w:sz w:val="21"/>
                <w:highlight w:val="none"/>
                <w:lang w:val="en-US" w:eastAsia="zh-CN"/>
              </w:rPr>
            </w:pPr>
          </w:p>
        </w:tc>
      </w:tr>
      <w:tr w14:paraId="58368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3EABD9B6">
            <w:pPr>
              <w:pStyle w:val="161"/>
              <w:ind w:left="105"/>
              <w:rPr>
                <w:rFonts w:hint="default" w:eastAsia="宋体"/>
                <w:color w:val="auto"/>
                <w:sz w:val="21"/>
                <w:highlight w:val="none"/>
                <w:lang w:val="en-US" w:eastAsia="zh-CN"/>
              </w:rPr>
            </w:pPr>
          </w:p>
        </w:tc>
        <w:tc>
          <w:tcPr>
            <w:tcW w:w="1405" w:type="dxa"/>
            <w:noWrap w:val="0"/>
            <w:vAlign w:val="center"/>
          </w:tcPr>
          <w:p w14:paraId="07305089">
            <w:pPr>
              <w:pStyle w:val="161"/>
              <w:ind w:left="105"/>
              <w:jc w:val="both"/>
              <w:rPr>
                <w:rFonts w:hint="default" w:eastAsia="宋体"/>
                <w:color w:val="auto"/>
                <w:sz w:val="21"/>
                <w:highlight w:val="none"/>
                <w:lang w:val="en-US" w:eastAsia="zh-CN"/>
              </w:rPr>
            </w:pPr>
          </w:p>
        </w:tc>
        <w:tc>
          <w:tcPr>
            <w:tcW w:w="1091" w:type="dxa"/>
            <w:noWrap w:val="0"/>
            <w:vAlign w:val="center"/>
          </w:tcPr>
          <w:p w14:paraId="2E2FF535">
            <w:pPr>
              <w:pStyle w:val="161"/>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14E307E3">
            <w:pPr>
              <w:pStyle w:val="161"/>
              <w:ind w:left="105"/>
              <w:jc w:val="both"/>
              <w:rPr>
                <w:rFonts w:hint="default"/>
                <w:color w:val="auto"/>
                <w:sz w:val="21"/>
                <w:highlight w:val="none"/>
                <w:lang w:val="en-US" w:eastAsia="zh-CN"/>
              </w:rPr>
            </w:pPr>
          </w:p>
        </w:tc>
        <w:tc>
          <w:tcPr>
            <w:tcW w:w="1309" w:type="dxa"/>
            <w:noWrap w:val="0"/>
            <w:vAlign w:val="top"/>
          </w:tcPr>
          <w:p w14:paraId="7263C754">
            <w:pPr>
              <w:pStyle w:val="161"/>
              <w:ind w:left="105"/>
              <w:rPr>
                <w:color w:val="auto"/>
                <w:sz w:val="21"/>
                <w:highlight w:val="none"/>
              </w:rPr>
            </w:pPr>
          </w:p>
        </w:tc>
        <w:tc>
          <w:tcPr>
            <w:tcW w:w="1268" w:type="dxa"/>
            <w:noWrap w:val="0"/>
            <w:vAlign w:val="top"/>
          </w:tcPr>
          <w:p w14:paraId="3D70658E">
            <w:pPr>
              <w:pStyle w:val="161"/>
              <w:ind w:left="107"/>
              <w:rPr>
                <w:rFonts w:hint="default" w:eastAsia="宋体"/>
                <w:color w:val="auto"/>
                <w:sz w:val="21"/>
                <w:highlight w:val="none"/>
                <w:lang w:val="en-US" w:eastAsia="zh-CN"/>
              </w:rPr>
            </w:pPr>
          </w:p>
        </w:tc>
        <w:tc>
          <w:tcPr>
            <w:tcW w:w="1303" w:type="dxa"/>
            <w:noWrap w:val="0"/>
            <w:vAlign w:val="top"/>
          </w:tcPr>
          <w:p w14:paraId="68F77482">
            <w:pPr>
              <w:pStyle w:val="161"/>
              <w:ind w:left="108"/>
              <w:rPr>
                <w:rFonts w:hint="default" w:eastAsia="宋体"/>
                <w:color w:val="auto"/>
                <w:sz w:val="21"/>
                <w:highlight w:val="none"/>
                <w:lang w:val="en-US" w:eastAsia="zh-CN"/>
              </w:rPr>
            </w:pPr>
          </w:p>
        </w:tc>
      </w:tr>
      <w:tr w14:paraId="17AEB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741CB70B">
            <w:pPr>
              <w:pStyle w:val="161"/>
              <w:ind w:left="105"/>
              <w:rPr>
                <w:rFonts w:hint="default" w:eastAsia="宋体"/>
                <w:color w:val="auto"/>
                <w:sz w:val="21"/>
                <w:highlight w:val="none"/>
                <w:lang w:val="en-US" w:eastAsia="zh-CN"/>
              </w:rPr>
            </w:pPr>
          </w:p>
        </w:tc>
        <w:tc>
          <w:tcPr>
            <w:tcW w:w="1405" w:type="dxa"/>
            <w:noWrap w:val="0"/>
            <w:vAlign w:val="center"/>
          </w:tcPr>
          <w:p w14:paraId="1BDBEA62">
            <w:pPr>
              <w:pStyle w:val="161"/>
              <w:ind w:left="105"/>
              <w:jc w:val="both"/>
              <w:rPr>
                <w:rFonts w:hint="default" w:eastAsia="宋体"/>
                <w:color w:val="auto"/>
                <w:sz w:val="21"/>
                <w:highlight w:val="none"/>
                <w:lang w:val="en-US" w:eastAsia="zh-CN"/>
              </w:rPr>
            </w:pPr>
          </w:p>
        </w:tc>
        <w:tc>
          <w:tcPr>
            <w:tcW w:w="1091" w:type="dxa"/>
            <w:noWrap w:val="0"/>
            <w:vAlign w:val="center"/>
          </w:tcPr>
          <w:p w14:paraId="5FB7F71D">
            <w:pPr>
              <w:pStyle w:val="161"/>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363B2B10">
            <w:pPr>
              <w:pStyle w:val="161"/>
              <w:ind w:left="105"/>
              <w:jc w:val="both"/>
              <w:rPr>
                <w:rFonts w:hint="default"/>
                <w:color w:val="auto"/>
                <w:sz w:val="21"/>
                <w:highlight w:val="none"/>
                <w:lang w:val="en-US" w:eastAsia="zh-CN"/>
              </w:rPr>
            </w:pPr>
          </w:p>
        </w:tc>
        <w:tc>
          <w:tcPr>
            <w:tcW w:w="1309" w:type="dxa"/>
            <w:noWrap w:val="0"/>
            <w:vAlign w:val="top"/>
          </w:tcPr>
          <w:p w14:paraId="2E8FBF09">
            <w:pPr>
              <w:pStyle w:val="161"/>
              <w:ind w:left="105"/>
              <w:rPr>
                <w:color w:val="auto"/>
                <w:sz w:val="21"/>
                <w:highlight w:val="none"/>
              </w:rPr>
            </w:pPr>
          </w:p>
        </w:tc>
        <w:tc>
          <w:tcPr>
            <w:tcW w:w="1268" w:type="dxa"/>
            <w:noWrap w:val="0"/>
            <w:vAlign w:val="top"/>
          </w:tcPr>
          <w:p w14:paraId="6B7C5D6B">
            <w:pPr>
              <w:pStyle w:val="161"/>
              <w:ind w:left="107"/>
              <w:rPr>
                <w:rFonts w:hint="default" w:eastAsia="宋体"/>
                <w:color w:val="auto"/>
                <w:sz w:val="21"/>
                <w:highlight w:val="none"/>
                <w:lang w:val="en-US" w:eastAsia="zh-CN"/>
              </w:rPr>
            </w:pPr>
          </w:p>
        </w:tc>
        <w:tc>
          <w:tcPr>
            <w:tcW w:w="1303" w:type="dxa"/>
            <w:noWrap w:val="0"/>
            <w:vAlign w:val="top"/>
          </w:tcPr>
          <w:p w14:paraId="0E623C92">
            <w:pPr>
              <w:pStyle w:val="161"/>
              <w:ind w:left="108"/>
              <w:rPr>
                <w:rFonts w:hint="default" w:eastAsia="宋体"/>
                <w:color w:val="auto"/>
                <w:sz w:val="21"/>
                <w:highlight w:val="none"/>
                <w:lang w:val="en-US" w:eastAsia="zh-CN"/>
              </w:rPr>
            </w:pPr>
          </w:p>
        </w:tc>
      </w:tr>
      <w:tr w14:paraId="13359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75084A5A">
            <w:pPr>
              <w:pStyle w:val="161"/>
              <w:ind w:left="105"/>
              <w:rPr>
                <w:rFonts w:hint="default" w:eastAsia="宋体"/>
                <w:color w:val="auto"/>
                <w:sz w:val="21"/>
                <w:highlight w:val="none"/>
                <w:lang w:val="en-US" w:eastAsia="zh-CN"/>
              </w:rPr>
            </w:pPr>
          </w:p>
        </w:tc>
        <w:tc>
          <w:tcPr>
            <w:tcW w:w="1405" w:type="dxa"/>
            <w:noWrap w:val="0"/>
            <w:vAlign w:val="center"/>
          </w:tcPr>
          <w:p w14:paraId="59354CDE">
            <w:pPr>
              <w:pStyle w:val="161"/>
              <w:ind w:left="105"/>
              <w:jc w:val="both"/>
              <w:rPr>
                <w:rFonts w:hint="default" w:eastAsia="宋体"/>
                <w:color w:val="auto"/>
                <w:sz w:val="21"/>
                <w:highlight w:val="none"/>
                <w:lang w:val="en-US" w:eastAsia="zh-CN"/>
              </w:rPr>
            </w:pPr>
          </w:p>
        </w:tc>
        <w:tc>
          <w:tcPr>
            <w:tcW w:w="1091" w:type="dxa"/>
            <w:noWrap w:val="0"/>
            <w:vAlign w:val="center"/>
          </w:tcPr>
          <w:p w14:paraId="1221BF91">
            <w:pPr>
              <w:pStyle w:val="161"/>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10693EB0">
            <w:pPr>
              <w:pStyle w:val="161"/>
              <w:ind w:left="105"/>
              <w:jc w:val="both"/>
              <w:rPr>
                <w:rFonts w:hint="default"/>
                <w:color w:val="auto"/>
                <w:sz w:val="21"/>
                <w:highlight w:val="none"/>
                <w:lang w:val="en-US" w:eastAsia="zh-CN"/>
              </w:rPr>
            </w:pPr>
          </w:p>
        </w:tc>
        <w:tc>
          <w:tcPr>
            <w:tcW w:w="1309" w:type="dxa"/>
            <w:noWrap w:val="0"/>
            <w:vAlign w:val="top"/>
          </w:tcPr>
          <w:p w14:paraId="56A1FC4D">
            <w:pPr>
              <w:pStyle w:val="161"/>
              <w:ind w:left="105"/>
              <w:rPr>
                <w:color w:val="auto"/>
                <w:sz w:val="21"/>
                <w:highlight w:val="none"/>
              </w:rPr>
            </w:pPr>
          </w:p>
        </w:tc>
        <w:tc>
          <w:tcPr>
            <w:tcW w:w="1268" w:type="dxa"/>
            <w:noWrap w:val="0"/>
            <w:vAlign w:val="top"/>
          </w:tcPr>
          <w:p w14:paraId="1F660477">
            <w:pPr>
              <w:pStyle w:val="161"/>
              <w:ind w:left="107"/>
              <w:rPr>
                <w:rFonts w:hint="default" w:eastAsia="宋体"/>
                <w:color w:val="auto"/>
                <w:sz w:val="21"/>
                <w:highlight w:val="none"/>
                <w:lang w:val="en-US" w:eastAsia="zh-CN"/>
              </w:rPr>
            </w:pPr>
          </w:p>
        </w:tc>
        <w:tc>
          <w:tcPr>
            <w:tcW w:w="1303" w:type="dxa"/>
            <w:noWrap w:val="0"/>
            <w:vAlign w:val="top"/>
          </w:tcPr>
          <w:p w14:paraId="4185946F">
            <w:pPr>
              <w:pStyle w:val="161"/>
              <w:ind w:left="108"/>
              <w:rPr>
                <w:rFonts w:hint="default" w:eastAsia="宋体"/>
                <w:color w:val="auto"/>
                <w:sz w:val="21"/>
                <w:highlight w:val="none"/>
                <w:lang w:val="en-US" w:eastAsia="zh-CN"/>
              </w:rPr>
            </w:pPr>
          </w:p>
        </w:tc>
      </w:tr>
      <w:tr w14:paraId="5E75A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60E8B8C8">
            <w:pPr>
              <w:pStyle w:val="161"/>
              <w:ind w:left="105"/>
              <w:rPr>
                <w:rFonts w:hint="default" w:eastAsia="宋体"/>
                <w:color w:val="auto"/>
                <w:sz w:val="21"/>
                <w:highlight w:val="none"/>
                <w:lang w:val="en-US" w:eastAsia="zh-CN"/>
              </w:rPr>
            </w:pPr>
          </w:p>
        </w:tc>
        <w:tc>
          <w:tcPr>
            <w:tcW w:w="1405" w:type="dxa"/>
            <w:noWrap w:val="0"/>
            <w:vAlign w:val="center"/>
          </w:tcPr>
          <w:p w14:paraId="6ADAF36C">
            <w:pPr>
              <w:pStyle w:val="161"/>
              <w:ind w:left="105"/>
              <w:jc w:val="both"/>
              <w:rPr>
                <w:rFonts w:hint="default" w:eastAsia="宋体"/>
                <w:color w:val="auto"/>
                <w:sz w:val="21"/>
                <w:highlight w:val="none"/>
                <w:lang w:val="en-US" w:eastAsia="zh-CN"/>
              </w:rPr>
            </w:pPr>
          </w:p>
        </w:tc>
        <w:tc>
          <w:tcPr>
            <w:tcW w:w="1091" w:type="dxa"/>
            <w:noWrap w:val="0"/>
            <w:vAlign w:val="center"/>
          </w:tcPr>
          <w:p w14:paraId="26ED436F">
            <w:pPr>
              <w:pStyle w:val="161"/>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70B1C3BF">
            <w:pPr>
              <w:pStyle w:val="161"/>
              <w:ind w:left="105"/>
              <w:jc w:val="both"/>
              <w:rPr>
                <w:rFonts w:hint="default"/>
                <w:color w:val="auto"/>
                <w:sz w:val="21"/>
                <w:highlight w:val="none"/>
                <w:lang w:val="en-US" w:eastAsia="zh-CN"/>
              </w:rPr>
            </w:pPr>
          </w:p>
        </w:tc>
        <w:tc>
          <w:tcPr>
            <w:tcW w:w="1309" w:type="dxa"/>
            <w:noWrap w:val="0"/>
            <w:vAlign w:val="top"/>
          </w:tcPr>
          <w:p w14:paraId="7706A10B">
            <w:pPr>
              <w:pStyle w:val="161"/>
              <w:ind w:left="105"/>
              <w:rPr>
                <w:color w:val="auto"/>
                <w:sz w:val="21"/>
                <w:highlight w:val="none"/>
              </w:rPr>
            </w:pPr>
          </w:p>
        </w:tc>
        <w:tc>
          <w:tcPr>
            <w:tcW w:w="1268" w:type="dxa"/>
            <w:noWrap w:val="0"/>
            <w:vAlign w:val="top"/>
          </w:tcPr>
          <w:p w14:paraId="2986A545">
            <w:pPr>
              <w:pStyle w:val="161"/>
              <w:ind w:left="107"/>
              <w:rPr>
                <w:rFonts w:hint="default" w:eastAsia="宋体"/>
                <w:color w:val="auto"/>
                <w:sz w:val="21"/>
                <w:highlight w:val="none"/>
                <w:lang w:val="en-US" w:eastAsia="zh-CN"/>
              </w:rPr>
            </w:pPr>
          </w:p>
        </w:tc>
        <w:tc>
          <w:tcPr>
            <w:tcW w:w="1303" w:type="dxa"/>
            <w:noWrap w:val="0"/>
            <w:vAlign w:val="top"/>
          </w:tcPr>
          <w:p w14:paraId="584A4AAF">
            <w:pPr>
              <w:pStyle w:val="161"/>
              <w:ind w:left="108"/>
              <w:rPr>
                <w:rFonts w:hint="default" w:eastAsia="宋体"/>
                <w:color w:val="auto"/>
                <w:sz w:val="21"/>
                <w:highlight w:val="none"/>
                <w:lang w:val="en-US" w:eastAsia="zh-CN"/>
              </w:rPr>
            </w:pPr>
          </w:p>
        </w:tc>
      </w:tr>
      <w:tr w14:paraId="12A6C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255F020B">
            <w:pPr>
              <w:pStyle w:val="161"/>
              <w:ind w:left="105"/>
              <w:rPr>
                <w:rFonts w:hint="default" w:eastAsia="宋体"/>
                <w:color w:val="auto"/>
                <w:sz w:val="21"/>
                <w:highlight w:val="none"/>
                <w:lang w:val="en-US" w:eastAsia="zh-CN"/>
              </w:rPr>
            </w:pPr>
          </w:p>
        </w:tc>
        <w:tc>
          <w:tcPr>
            <w:tcW w:w="1405" w:type="dxa"/>
            <w:noWrap w:val="0"/>
            <w:vAlign w:val="center"/>
          </w:tcPr>
          <w:p w14:paraId="4A71577D">
            <w:pPr>
              <w:pStyle w:val="161"/>
              <w:ind w:left="105"/>
              <w:jc w:val="both"/>
              <w:rPr>
                <w:rFonts w:hint="default" w:eastAsia="宋体"/>
                <w:color w:val="auto"/>
                <w:sz w:val="21"/>
                <w:highlight w:val="none"/>
                <w:lang w:val="en-US" w:eastAsia="zh-CN"/>
              </w:rPr>
            </w:pPr>
          </w:p>
        </w:tc>
        <w:tc>
          <w:tcPr>
            <w:tcW w:w="1091" w:type="dxa"/>
            <w:noWrap w:val="0"/>
            <w:vAlign w:val="center"/>
          </w:tcPr>
          <w:p w14:paraId="417B28E3">
            <w:pPr>
              <w:pStyle w:val="161"/>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6B23659C">
            <w:pPr>
              <w:pStyle w:val="161"/>
              <w:ind w:left="105"/>
              <w:jc w:val="both"/>
              <w:rPr>
                <w:rFonts w:hint="default"/>
                <w:color w:val="auto"/>
                <w:sz w:val="21"/>
                <w:highlight w:val="none"/>
                <w:lang w:val="en-US" w:eastAsia="zh-CN"/>
              </w:rPr>
            </w:pPr>
          </w:p>
        </w:tc>
        <w:tc>
          <w:tcPr>
            <w:tcW w:w="1309" w:type="dxa"/>
            <w:noWrap w:val="0"/>
            <w:vAlign w:val="top"/>
          </w:tcPr>
          <w:p w14:paraId="592BB9B0">
            <w:pPr>
              <w:pStyle w:val="161"/>
              <w:ind w:left="105"/>
              <w:rPr>
                <w:color w:val="auto"/>
                <w:sz w:val="21"/>
                <w:highlight w:val="none"/>
              </w:rPr>
            </w:pPr>
          </w:p>
        </w:tc>
        <w:tc>
          <w:tcPr>
            <w:tcW w:w="1268" w:type="dxa"/>
            <w:noWrap w:val="0"/>
            <w:vAlign w:val="top"/>
          </w:tcPr>
          <w:p w14:paraId="6ADAFBC2">
            <w:pPr>
              <w:pStyle w:val="161"/>
              <w:ind w:left="107"/>
              <w:rPr>
                <w:rFonts w:hint="default" w:eastAsia="宋体"/>
                <w:color w:val="auto"/>
                <w:sz w:val="21"/>
                <w:highlight w:val="none"/>
                <w:lang w:val="en-US" w:eastAsia="zh-CN"/>
              </w:rPr>
            </w:pPr>
          </w:p>
        </w:tc>
        <w:tc>
          <w:tcPr>
            <w:tcW w:w="1303" w:type="dxa"/>
            <w:noWrap w:val="0"/>
            <w:vAlign w:val="top"/>
          </w:tcPr>
          <w:p w14:paraId="619A66F0">
            <w:pPr>
              <w:pStyle w:val="161"/>
              <w:ind w:left="108"/>
              <w:rPr>
                <w:rFonts w:hint="default" w:eastAsia="宋体"/>
                <w:color w:val="auto"/>
                <w:sz w:val="21"/>
                <w:highlight w:val="none"/>
                <w:lang w:val="en-US" w:eastAsia="zh-CN"/>
              </w:rPr>
            </w:pPr>
          </w:p>
        </w:tc>
      </w:tr>
      <w:tr w14:paraId="7150A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6DC400D4">
            <w:pPr>
              <w:pStyle w:val="161"/>
              <w:ind w:left="105"/>
              <w:rPr>
                <w:rFonts w:hint="default" w:eastAsia="宋体"/>
                <w:color w:val="auto"/>
                <w:sz w:val="21"/>
                <w:highlight w:val="none"/>
                <w:lang w:val="en-US" w:eastAsia="zh-CN"/>
              </w:rPr>
            </w:pPr>
          </w:p>
        </w:tc>
        <w:tc>
          <w:tcPr>
            <w:tcW w:w="1405" w:type="dxa"/>
            <w:noWrap w:val="0"/>
            <w:vAlign w:val="center"/>
          </w:tcPr>
          <w:p w14:paraId="48459A64">
            <w:pPr>
              <w:pStyle w:val="161"/>
              <w:ind w:left="105"/>
              <w:jc w:val="both"/>
              <w:rPr>
                <w:rFonts w:hint="default" w:eastAsia="宋体"/>
                <w:color w:val="auto"/>
                <w:sz w:val="21"/>
                <w:highlight w:val="none"/>
                <w:lang w:val="en-US" w:eastAsia="zh-CN"/>
              </w:rPr>
            </w:pPr>
          </w:p>
        </w:tc>
        <w:tc>
          <w:tcPr>
            <w:tcW w:w="1091" w:type="dxa"/>
            <w:noWrap w:val="0"/>
            <w:vAlign w:val="center"/>
          </w:tcPr>
          <w:p w14:paraId="37DD0554">
            <w:pPr>
              <w:pStyle w:val="161"/>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50D90F3C">
            <w:pPr>
              <w:pStyle w:val="161"/>
              <w:ind w:left="105"/>
              <w:jc w:val="both"/>
              <w:rPr>
                <w:rFonts w:hint="default"/>
                <w:color w:val="auto"/>
                <w:sz w:val="21"/>
                <w:highlight w:val="none"/>
                <w:lang w:val="en-US" w:eastAsia="zh-CN"/>
              </w:rPr>
            </w:pPr>
          </w:p>
        </w:tc>
        <w:tc>
          <w:tcPr>
            <w:tcW w:w="1309" w:type="dxa"/>
            <w:noWrap w:val="0"/>
            <w:vAlign w:val="top"/>
          </w:tcPr>
          <w:p w14:paraId="3B44890E">
            <w:pPr>
              <w:pStyle w:val="161"/>
              <w:ind w:left="105"/>
              <w:rPr>
                <w:color w:val="auto"/>
                <w:sz w:val="21"/>
                <w:highlight w:val="none"/>
              </w:rPr>
            </w:pPr>
          </w:p>
        </w:tc>
        <w:tc>
          <w:tcPr>
            <w:tcW w:w="1268" w:type="dxa"/>
            <w:noWrap w:val="0"/>
            <w:vAlign w:val="top"/>
          </w:tcPr>
          <w:p w14:paraId="7D2EEDC4">
            <w:pPr>
              <w:pStyle w:val="161"/>
              <w:ind w:left="107"/>
              <w:rPr>
                <w:rFonts w:hint="default" w:eastAsia="宋体"/>
                <w:color w:val="auto"/>
                <w:sz w:val="21"/>
                <w:highlight w:val="none"/>
                <w:lang w:val="en-US" w:eastAsia="zh-CN"/>
              </w:rPr>
            </w:pPr>
          </w:p>
        </w:tc>
        <w:tc>
          <w:tcPr>
            <w:tcW w:w="1303" w:type="dxa"/>
            <w:noWrap w:val="0"/>
            <w:vAlign w:val="top"/>
          </w:tcPr>
          <w:p w14:paraId="435A9D98">
            <w:pPr>
              <w:pStyle w:val="161"/>
              <w:ind w:left="108"/>
              <w:rPr>
                <w:rFonts w:hint="default" w:eastAsia="宋体"/>
                <w:color w:val="auto"/>
                <w:sz w:val="21"/>
                <w:highlight w:val="none"/>
                <w:lang w:val="en-US" w:eastAsia="zh-CN"/>
              </w:rPr>
            </w:pPr>
          </w:p>
        </w:tc>
      </w:tr>
      <w:tr w14:paraId="60406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1101B13D">
            <w:pPr>
              <w:pStyle w:val="161"/>
              <w:ind w:left="105"/>
              <w:rPr>
                <w:rFonts w:hint="default" w:eastAsia="宋体"/>
                <w:color w:val="auto"/>
                <w:sz w:val="21"/>
                <w:highlight w:val="none"/>
                <w:lang w:val="en-US" w:eastAsia="zh-CN"/>
              </w:rPr>
            </w:pPr>
          </w:p>
        </w:tc>
        <w:tc>
          <w:tcPr>
            <w:tcW w:w="1405" w:type="dxa"/>
            <w:noWrap w:val="0"/>
            <w:vAlign w:val="center"/>
          </w:tcPr>
          <w:p w14:paraId="57FFAC36">
            <w:pPr>
              <w:pStyle w:val="161"/>
              <w:ind w:left="105"/>
              <w:jc w:val="both"/>
              <w:rPr>
                <w:rFonts w:hint="default" w:eastAsia="宋体"/>
                <w:color w:val="auto"/>
                <w:sz w:val="21"/>
                <w:highlight w:val="none"/>
                <w:lang w:val="en-US" w:eastAsia="zh-CN"/>
              </w:rPr>
            </w:pPr>
          </w:p>
        </w:tc>
        <w:tc>
          <w:tcPr>
            <w:tcW w:w="1091" w:type="dxa"/>
            <w:noWrap w:val="0"/>
            <w:vAlign w:val="center"/>
          </w:tcPr>
          <w:p w14:paraId="46BC90DF">
            <w:pPr>
              <w:pStyle w:val="161"/>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3139F8A7">
            <w:pPr>
              <w:pStyle w:val="161"/>
              <w:ind w:left="105"/>
              <w:jc w:val="both"/>
              <w:rPr>
                <w:rFonts w:hint="default"/>
                <w:color w:val="auto"/>
                <w:sz w:val="21"/>
                <w:highlight w:val="none"/>
                <w:lang w:val="en-US" w:eastAsia="zh-CN"/>
              </w:rPr>
            </w:pPr>
          </w:p>
        </w:tc>
        <w:tc>
          <w:tcPr>
            <w:tcW w:w="1309" w:type="dxa"/>
            <w:noWrap w:val="0"/>
            <w:vAlign w:val="top"/>
          </w:tcPr>
          <w:p w14:paraId="570A5CE3">
            <w:pPr>
              <w:pStyle w:val="161"/>
              <w:ind w:left="105"/>
              <w:rPr>
                <w:color w:val="auto"/>
                <w:sz w:val="21"/>
                <w:highlight w:val="none"/>
              </w:rPr>
            </w:pPr>
          </w:p>
        </w:tc>
        <w:tc>
          <w:tcPr>
            <w:tcW w:w="1268" w:type="dxa"/>
            <w:noWrap w:val="0"/>
            <w:vAlign w:val="top"/>
          </w:tcPr>
          <w:p w14:paraId="60DC9434">
            <w:pPr>
              <w:pStyle w:val="161"/>
              <w:ind w:left="107"/>
              <w:rPr>
                <w:rFonts w:hint="default" w:eastAsia="宋体"/>
                <w:color w:val="auto"/>
                <w:sz w:val="21"/>
                <w:highlight w:val="none"/>
                <w:lang w:val="en-US" w:eastAsia="zh-CN"/>
              </w:rPr>
            </w:pPr>
          </w:p>
        </w:tc>
        <w:tc>
          <w:tcPr>
            <w:tcW w:w="1303" w:type="dxa"/>
            <w:noWrap w:val="0"/>
            <w:vAlign w:val="top"/>
          </w:tcPr>
          <w:p w14:paraId="36CA84CF">
            <w:pPr>
              <w:pStyle w:val="161"/>
              <w:ind w:left="108"/>
              <w:rPr>
                <w:rFonts w:hint="default" w:eastAsia="宋体"/>
                <w:color w:val="auto"/>
                <w:sz w:val="21"/>
                <w:highlight w:val="none"/>
                <w:lang w:val="en-US" w:eastAsia="zh-CN"/>
              </w:rPr>
            </w:pPr>
          </w:p>
        </w:tc>
      </w:tr>
      <w:tr w14:paraId="729A1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13EF0E22">
            <w:pPr>
              <w:pStyle w:val="161"/>
              <w:ind w:left="105"/>
              <w:rPr>
                <w:rFonts w:hint="default" w:eastAsia="宋体"/>
                <w:color w:val="auto"/>
                <w:sz w:val="21"/>
                <w:highlight w:val="none"/>
                <w:lang w:val="en-US" w:eastAsia="zh-CN"/>
              </w:rPr>
            </w:pPr>
          </w:p>
        </w:tc>
        <w:tc>
          <w:tcPr>
            <w:tcW w:w="1405" w:type="dxa"/>
            <w:noWrap w:val="0"/>
            <w:vAlign w:val="center"/>
          </w:tcPr>
          <w:p w14:paraId="56401FF9">
            <w:pPr>
              <w:pStyle w:val="161"/>
              <w:ind w:left="105"/>
              <w:jc w:val="both"/>
              <w:rPr>
                <w:rFonts w:hint="default" w:eastAsia="宋体"/>
                <w:color w:val="auto"/>
                <w:sz w:val="21"/>
                <w:highlight w:val="none"/>
                <w:lang w:val="en-US" w:eastAsia="zh-CN"/>
              </w:rPr>
            </w:pPr>
          </w:p>
        </w:tc>
        <w:tc>
          <w:tcPr>
            <w:tcW w:w="1091" w:type="dxa"/>
            <w:noWrap w:val="0"/>
            <w:vAlign w:val="center"/>
          </w:tcPr>
          <w:p w14:paraId="5F9465A3">
            <w:pPr>
              <w:pStyle w:val="161"/>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2AE4CE12">
            <w:pPr>
              <w:pStyle w:val="161"/>
              <w:ind w:left="105"/>
              <w:jc w:val="both"/>
              <w:rPr>
                <w:rFonts w:hint="default"/>
                <w:color w:val="auto"/>
                <w:sz w:val="21"/>
                <w:highlight w:val="none"/>
                <w:lang w:val="en-US" w:eastAsia="zh-CN"/>
              </w:rPr>
            </w:pPr>
          </w:p>
        </w:tc>
        <w:tc>
          <w:tcPr>
            <w:tcW w:w="1309" w:type="dxa"/>
            <w:noWrap w:val="0"/>
            <w:vAlign w:val="top"/>
          </w:tcPr>
          <w:p w14:paraId="649C4820">
            <w:pPr>
              <w:pStyle w:val="161"/>
              <w:ind w:left="105"/>
              <w:rPr>
                <w:color w:val="auto"/>
                <w:sz w:val="21"/>
                <w:highlight w:val="none"/>
              </w:rPr>
            </w:pPr>
          </w:p>
        </w:tc>
        <w:tc>
          <w:tcPr>
            <w:tcW w:w="1268" w:type="dxa"/>
            <w:noWrap w:val="0"/>
            <w:vAlign w:val="top"/>
          </w:tcPr>
          <w:p w14:paraId="2516C0B5">
            <w:pPr>
              <w:pStyle w:val="161"/>
              <w:ind w:left="107"/>
              <w:rPr>
                <w:rFonts w:hint="default" w:eastAsia="宋体"/>
                <w:color w:val="auto"/>
                <w:sz w:val="21"/>
                <w:highlight w:val="none"/>
                <w:lang w:val="en-US" w:eastAsia="zh-CN"/>
              </w:rPr>
            </w:pPr>
          </w:p>
        </w:tc>
        <w:tc>
          <w:tcPr>
            <w:tcW w:w="1303" w:type="dxa"/>
            <w:noWrap w:val="0"/>
            <w:vAlign w:val="top"/>
          </w:tcPr>
          <w:p w14:paraId="2AA0DC77">
            <w:pPr>
              <w:pStyle w:val="161"/>
              <w:ind w:left="108"/>
              <w:rPr>
                <w:rFonts w:hint="default" w:eastAsia="宋体"/>
                <w:color w:val="auto"/>
                <w:sz w:val="21"/>
                <w:highlight w:val="none"/>
                <w:lang w:val="en-US" w:eastAsia="zh-CN"/>
              </w:rPr>
            </w:pPr>
          </w:p>
        </w:tc>
      </w:tr>
      <w:tr w14:paraId="0D0CA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19EADCE3">
            <w:pPr>
              <w:pStyle w:val="161"/>
              <w:ind w:left="105"/>
              <w:rPr>
                <w:rFonts w:hint="default" w:eastAsia="宋体"/>
                <w:color w:val="auto"/>
                <w:sz w:val="21"/>
                <w:highlight w:val="none"/>
                <w:lang w:val="en-US" w:eastAsia="zh-CN"/>
              </w:rPr>
            </w:pPr>
          </w:p>
        </w:tc>
        <w:tc>
          <w:tcPr>
            <w:tcW w:w="1405" w:type="dxa"/>
            <w:noWrap w:val="0"/>
            <w:vAlign w:val="center"/>
          </w:tcPr>
          <w:p w14:paraId="533B25B2">
            <w:pPr>
              <w:pStyle w:val="161"/>
              <w:ind w:left="105"/>
              <w:jc w:val="both"/>
              <w:rPr>
                <w:rFonts w:hint="default" w:eastAsia="宋体"/>
                <w:color w:val="auto"/>
                <w:sz w:val="21"/>
                <w:highlight w:val="none"/>
                <w:lang w:val="en-US" w:eastAsia="zh-CN"/>
              </w:rPr>
            </w:pPr>
          </w:p>
        </w:tc>
        <w:tc>
          <w:tcPr>
            <w:tcW w:w="1091" w:type="dxa"/>
            <w:noWrap w:val="0"/>
            <w:vAlign w:val="center"/>
          </w:tcPr>
          <w:p w14:paraId="3FB58E96">
            <w:pPr>
              <w:pStyle w:val="161"/>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3580C9BD">
            <w:pPr>
              <w:pStyle w:val="161"/>
              <w:ind w:left="105"/>
              <w:jc w:val="both"/>
              <w:rPr>
                <w:rFonts w:hint="default"/>
                <w:color w:val="auto"/>
                <w:sz w:val="21"/>
                <w:highlight w:val="none"/>
                <w:lang w:val="en-US" w:eastAsia="zh-CN"/>
              </w:rPr>
            </w:pPr>
          </w:p>
        </w:tc>
        <w:tc>
          <w:tcPr>
            <w:tcW w:w="1309" w:type="dxa"/>
            <w:noWrap w:val="0"/>
            <w:vAlign w:val="top"/>
          </w:tcPr>
          <w:p w14:paraId="338BEB4A">
            <w:pPr>
              <w:pStyle w:val="161"/>
              <w:ind w:left="105"/>
              <w:rPr>
                <w:color w:val="auto"/>
                <w:sz w:val="21"/>
                <w:highlight w:val="none"/>
              </w:rPr>
            </w:pPr>
          </w:p>
        </w:tc>
        <w:tc>
          <w:tcPr>
            <w:tcW w:w="1268" w:type="dxa"/>
            <w:noWrap w:val="0"/>
            <w:vAlign w:val="top"/>
          </w:tcPr>
          <w:p w14:paraId="7A589338">
            <w:pPr>
              <w:pStyle w:val="161"/>
              <w:ind w:left="107"/>
              <w:rPr>
                <w:rFonts w:hint="default" w:eastAsia="宋体"/>
                <w:color w:val="auto"/>
                <w:sz w:val="21"/>
                <w:highlight w:val="none"/>
                <w:lang w:val="en-US" w:eastAsia="zh-CN"/>
              </w:rPr>
            </w:pPr>
          </w:p>
        </w:tc>
        <w:tc>
          <w:tcPr>
            <w:tcW w:w="1303" w:type="dxa"/>
            <w:noWrap w:val="0"/>
            <w:vAlign w:val="top"/>
          </w:tcPr>
          <w:p w14:paraId="4D92C922">
            <w:pPr>
              <w:pStyle w:val="161"/>
              <w:ind w:left="108"/>
              <w:rPr>
                <w:rFonts w:hint="default" w:eastAsia="宋体"/>
                <w:color w:val="auto"/>
                <w:sz w:val="21"/>
                <w:highlight w:val="none"/>
                <w:lang w:val="en-US" w:eastAsia="zh-CN"/>
              </w:rPr>
            </w:pPr>
          </w:p>
        </w:tc>
      </w:tr>
      <w:tr w14:paraId="1C64C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65A7688B">
            <w:pPr>
              <w:pStyle w:val="161"/>
              <w:ind w:left="105"/>
              <w:rPr>
                <w:rFonts w:hint="default" w:eastAsia="宋体"/>
                <w:color w:val="auto"/>
                <w:sz w:val="21"/>
                <w:highlight w:val="none"/>
                <w:lang w:val="en-US" w:eastAsia="zh-CN"/>
              </w:rPr>
            </w:pPr>
          </w:p>
        </w:tc>
        <w:tc>
          <w:tcPr>
            <w:tcW w:w="1405" w:type="dxa"/>
            <w:noWrap w:val="0"/>
            <w:vAlign w:val="center"/>
          </w:tcPr>
          <w:p w14:paraId="644ADC6A">
            <w:pPr>
              <w:pStyle w:val="161"/>
              <w:ind w:left="105"/>
              <w:jc w:val="both"/>
              <w:rPr>
                <w:rFonts w:hint="default" w:eastAsia="宋体"/>
                <w:color w:val="auto"/>
                <w:sz w:val="21"/>
                <w:highlight w:val="none"/>
                <w:lang w:val="en-US" w:eastAsia="zh-CN"/>
              </w:rPr>
            </w:pPr>
          </w:p>
        </w:tc>
        <w:tc>
          <w:tcPr>
            <w:tcW w:w="1091" w:type="dxa"/>
            <w:noWrap w:val="0"/>
            <w:vAlign w:val="center"/>
          </w:tcPr>
          <w:p w14:paraId="137E98D6">
            <w:pPr>
              <w:pStyle w:val="161"/>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282D8147">
            <w:pPr>
              <w:pStyle w:val="161"/>
              <w:ind w:left="105"/>
              <w:jc w:val="both"/>
              <w:rPr>
                <w:rFonts w:hint="default"/>
                <w:color w:val="auto"/>
                <w:sz w:val="21"/>
                <w:highlight w:val="none"/>
                <w:lang w:val="en-US" w:eastAsia="zh-CN"/>
              </w:rPr>
            </w:pPr>
          </w:p>
        </w:tc>
        <w:tc>
          <w:tcPr>
            <w:tcW w:w="1309" w:type="dxa"/>
            <w:noWrap w:val="0"/>
            <w:vAlign w:val="top"/>
          </w:tcPr>
          <w:p w14:paraId="0A2BF8E1">
            <w:pPr>
              <w:pStyle w:val="161"/>
              <w:ind w:left="105"/>
              <w:rPr>
                <w:color w:val="auto"/>
                <w:sz w:val="21"/>
                <w:highlight w:val="none"/>
              </w:rPr>
            </w:pPr>
          </w:p>
        </w:tc>
        <w:tc>
          <w:tcPr>
            <w:tcW w:w="1268" w:type="dxa"/>
            <w:noWrap w:val="0"/>
            <w:vAlign w:val="top"/>
          </w:tcPr>
          <w:p w14:paraId="4479DD55">
            <w:pPr>
              <w:pStyle w:val="161"/>
              <w:ind w:left="107"/>
              <w:rPr>
                <w:rFonts w:hint="default" w:eastAsia="宋体"/>
                <w:color w:val="auto"/>
                <w:sz w:val="21"/>
                <w:highlight w:val="none"/>
                <w:lang w:val="en-US" w:eastAsia="zh-CN"/>
              </w:rPr>
            </w:pPr>
          </w:p>
        </w:tc>
        <w:tc>
          <w:tcPr>
            <w:tcW w:w="1303" w:type="dxa"/>
            <w:noWrap w:val="0"/>
            <w:vAlign w:val="top"/>
          </w:tcPr>
          <w:p w14:paraId="1672D063">
            <w:pPr>
              <w:pStyle w:val="161"/>
              <w:ind w:left="108"/>
              <w:rPr>
                <w:rFonts w:hint="default" w:eastAsia="宋体"/>
                <w:color w:val="auto"/>
                <w:sz w:val="21"/>
                <w:highlight w:val="none"/>
                <w:lang w:val="en-US" w:eastAsia="zh-CN"/>
              </w:rPr>
            </w:pPr>
          </w:p>
        </w:tc>
      </w:tr>
      <w:tr w14:paraId="545CF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4F8140AA">
            <w:pPr>
              <w:pStyle w:val="161"/>
              <w:ind w:left="105"/>
              <w:rPr>
                <w:rFonts w:hint="default" w:eastAsia="宋体"/>
                <w:color w:val="auto"/>
                <w:sz w:val="21"/>
                <w:highlight w:val="none"/>
                <w:lang w:val="en-US" w:eastAsia="zh-CN"/>
              </w:rPr>
            </w:pPr>
          </w:p>
        </w:tc>
        <w:tc>
          <w:tcPr>
            <w:tcW w:w="1405" w:type="dxa"/>
            <w:noWrap w:val="0"/>
            <w:vAlign w:val="center"/>
          </w:tcPr>
          <w:p w14:paraId="33FAA8A6">
            <w:pPr>
              <w:pStyle w:val="161"/>
              <w:ind w:left="105"/>
              <w:jc w:val="both"/>
              <w:rPr>
                <w:rFonts w:hint="default" w:eastAsia="宋体"/>
                <w:color w:val="auto"/>
                <w:sz w:val="21"/>
                <w:highlight w:val="none"/>
                <w:lang w:val="en-US" w:eastAsia="zh-CN"/>
              </w:rPr>
            </w:pPr>
          </w:p>
        </w:tc>
        <w:tc>
          <w:tcPr>
            <w:tcW w:w="1091" w:type="dxa"/>
            <w:noWrap w:val="0"/>
            <w:vAlign w:val="center"/>
          </w:tcPr>
          <w:p w14:paraId="10134D86">
            <w:pPr>
              <w:pStyle w:val="161"/>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3B047FAF">
            <w:pPr>
              <w:pStyle w:val="161"/>
              <w:ind w:left="105"/>
              <w:jc w:val="both"/>
              <w:rPr>
                <w:rFonts w:hint="default"/>
                <w:color w:val="auto"/>
                <w:sz w:val="21"/>
                <w:highlight w:val="none"/>
                <w:lang w:val="en-US" w:eastAsia="zh-CN"/>
              </w:rPr>
            </w:pPr>
          </w:p>
        </w:tc>
        <w:tc>
          <w:tcPr>
            <w:tcW w:w="1309" w:type="dxa"/>
            <w:noWrap w:val="0"/>
            <w:vAlign w:val="top"/>
          </w:tcPr>
          <w:p w14:paraId="428ED2A8">
            <w:pPr>
              <w:pStyle w:val="161"/>
              <w:ind w:left="105"/>
              <w:rPr>
                <w:color w:val="auto"/>
                <w:sz w:val="21"/>
                <w:highlight w:val="none"/>
              </w:rPr>
            </w:pPr>
          </w:p>
        </w:tc>
        <w:tc>
          <w:tcPr>
            <w:tcW w:w="1268" w:type="dxa"/>
            <w:noWrap w:val="0"/>
            <w:vAlign w:val="top"/>
          </w:tcPr>
          <w:p w14:paraId="2432EFCD">
            <w:pPr>
              <w:pStyle w:val="161"/>
              <w:ind w:left="107"/>
              <w:rPr>
                <w:rFonts w:hint="default" w:eastAsia="宋体"/>
                <w:color w:val="auto"/>
                <w:sz w:val="21"/>
                <w:highlight w:val="none"/>
                <w:lang w:val="en-US" w:eastAsia="zh-CN"/>
              </w:rPr>
            </w:pPr>
          </w:p>
        </w:tc>
        <w:tc>
          <w:tcPr>
            <w:tcW w:w="1303" w:type="dxa"/>
            <w:noWrap w:val="0"/>
            <w:vAlign w:val="top"/>
          </w:tcPr>
          <w:p w14:paraId="42316CBA">
            <w:pPr>
              <w:pStyle w:val="161"/>
              <w:ind w:left="108"/>
              <w:rPr>
                <w:rFonts w:hint="default" w:eastAsia="宋体"/>
                <w:color w:val="auto"/>
                <w:sz w:val="21"/>
                <w:highlight w:val="none"/>
                <w:lang w:val="en-US" w:eastAsia="zh-CN"/>
              </w:rPr>
            </w:pPr>
          </w:p>
        </w:tc>
      </w:tr>
      <w:tr w14:paraId="25AA2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1536D295">
            <w:pPr>
              <w:pStyle w:val="161"/>
              <w:ind w:left="105"/>
              <w:rPr>
                <w:rFonts w:hint="default" w:eastAsia="宋体"/>
                <w:color w:val="auto"/>
                <w:sz w:val="21"/>
                <w:highlight w:val="none"/>
                <w:lang w:val="en-US" w:eastAsia="zh-CN"/>
              </w:rPr>
            </w:pPr>
          </w:p>
        </w:tc>
        <w:tc>
          <w:tcPr>
            <w:tcW w:w="1405" w:type="dxa"/>
            <w:noWrap w:val="0"/>
            <w:vAlign w:val="center"/>
          </w:tcPr>
          <w:p w14:paraId="1F6E61F8">
            <w:pPr>
              <w:pStyle w:val="161"/>
              <w:ind w:left="105"/>
              <w:jc w:val="both"/>
              <w:rPr>
                <w:rFonts w:hint="default" w:eastAsia="宋体"/>
                <w:color w:val="auto"/>
                <w:sz w:val="21"/>
                <w:highlight w:val="none"/>
                <w:lang w:val="en-US" w:eastAsia="zh-CN"/>
              </w:rPr>
            </w:pPr>
          </w:p>
        </w:tc>
        <w:tc>
          <w:tcPr>
            <w:tcW w:w="1091" w:type="dxa"/>
            <w:noWrap w:val="0"/>
            <w:vAlign w:val="center"/>
          </w:tcPr>
          <w:p w14:paraId="412E757A">
            <w:pPr>
              <w:pStyle w:val="161"/>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5ADBA181">
            <w:pPr>
              <w:pStyle w:val="161"/>
              <w:ind w:left="105"/>
              <w:jc w:val="both"/>
              <w:rPr>
                <w:rFonts w:hint="default"/>
                <w:color w:val="auto"/>
                <w:sz w:val="21"/>
                <w:highlight w:val="none"/>
                <w:lang w:val="en-US" w:eastAsia="zh-CN"/>
              </w:rPr>
            </w:pPr>
          </w:p>
        </w:tc>
        <w:tc>
          <w:tcPr>
            <w:tcW w:w="1309" w:type="dxa"/>
            <w:noWrap w:val="0"/>
            <w:vAlign w:val="top"/>
          </w:tcPr>
          <w:p w14:paraId="7FA9E21E">
            <w:pPr>
              <w:pStyle w:val="161"/>
              <w:ind w:left="105"/>
              <w:rPr>
                <w:color w:val="auto"/>
                <w:sz w:val="21"/>
                <w:highlight w:val="none"/>
              </w:rPr>
            </w:pPr>
          </w:p>
        </w:tc>
        <w:tc>
          <w:tcPr>
            <w:tcW w:w="1268" w:type="dxa"/>
            <w:noWrap w:val="0"/>
            <w:vAlign w:val="top"/>
          </w:tcPr>
          <w:p w14:paraId="79A06E28">
            <w:pPr>
              <w:pStyle w:val="161"/>
              <w:ind w:left="107"/>
              <w:rPr>
                <w:rFonts w:hint="default" w:eastAsia="宋体"/>
                <w:color w:val="auto"/>
                <w:sz w:val="21"/>
                <w:highlight w:val="none"/>
                <w:lang w:val="en-US" w:eastAsia="zh-CN"/>
              </w:rPr>
            </w:pPr>
          </w:p>
        </w:tc>
        <w:tc>
          <w:tcPr>
            <w:tcW w:w="1303" w:type="dxa"/>
            <w:noWrap w:val="0"/>
            <w:vAlign w:val="top"/>
          </w:tcPr>
          <w:p w14:paraId="244E269C">
            <w:pPr>
              <w:pStyle w:val="161"/>
              <w:ind w:left="108"/>
              <w:rPr>
                <w:rFonts w:hint="default" w:eastAsia="宋体"/>
                <w:color w:val="auto"/>
                <w:sz w:val="21"/>
                <w:highlight w:val="none"/>
                <w:lang w:val="en-US" w:eastAsia="zh-CN"/>
              </w:rPr>
            </w:pPr>
          </w:p>
        </w:tc>
      </w:tr>
      <w:tr w14:paraId="45457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501913AC">
            <w:pPr>
              <w:pStyle w:val="161"/>
              <w:spacing w:before="1"/>
              <w:ind w:left="105"/>
              <w:rPr>
                <w:color w:val="auto"/>
                <w:sz w:val="21"/>
                <w:highlight w:val="none"/>
              </w:rPr>
            </w:pPr>
          </w:p>
        </w:tc>
        <w:tc>
          <w:tcPr>
            <w:tcW w:w="1405" w:type="dxa"/>
            <w:noWrap w:val="0"/>
            <w:vAlign w:val="center"/>
          </w:tcPr>
          <w:p w14:paraId="2D46A240">
            <w:pPr>
              <w:pStyle w:val="161"/>
              <w:spacing w:before="1"/>
              <w:ind w:left="105"/>
              <w:jc w:val="both"/>
              <w:rPr>
                <w:rFonts w:hint="default" w:eastAsia="宋体"/>
                <w:color w:val="auto"/>
                <w:sz w:val="21"/>
                <w:highlight w:val="none"/>
                <w:lang w:val="en-US" w:eastAsia="zh-CN"/>
              </w:rPr>
            </w:pPr>
          </w:p>
        </w:tc>
        <w:tc>
          <w:tcPr>
            <w:tcW w:w="1091" w:type="dxa"/>
            <w:noWrap w:val="0"/>
            <w:vAlign w:val="center"/>
          </w:tcPr>
          <w:p w14:paraId="1FD9FDA5">
            <w:pPr>
              <w:pStyle w:val="161"/>
              <w:spacing w:before="1"/>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5E655457">
            <w:pPr>
              <w:pStyle w:val="161"/>
              <w:spacing w:before="1"/>
              <w:ind w:left="105"/>
              <w:jc w:val="both"/>
              <w:rPr>
                <w:rFonts w:hint="default"/>
                <w:color w:val="auto"/>
                <w:sz w:val="21"/>
                <w:highlight w:val="none"/>
                <w:lang w:val="en-US" w:eastAsia="zh-CN"/>
              </w:rPr>
            </w:pPr>
          </w:p>
        </w:tc>
        <w:tc>
          <w:tcPr>
            <w:tcW w:w="1309" w:type="dxa"/>
            <w:noWrap w:val="0"/>
            <w:vAlign w:val="top"/>
          </w:tcPr>
          <w:p w14:paraId="1E5528C7">
            <w:pPr>
              <w:pStyle w:val="161"/>
              <w:spacing w:before="1"/>
              <w:ind w:left="105"/>
              <w:rPr>
                <w:color w:val="auto"/>
                <w:sz w:val="21"/>
                <w:highlight w:val="none"/>
              </w:rPr>
            </w:pPr>
          </w:p>
        </w:tc>
        <w:tc>
          <w:tcPr>
            <w:tcW w:w="1268" w:type="dxa"/>
            <w:noWrap w:val="0"/>
            <w:vAlign w:val="top"/>
          </w:tcPr>
          <w:p w14:paraId="581C1ED6">
            <w:pPr>
              <w:pStyle w:val="161"/>
              <w:spacing w:before="1"/>
              <w:ind w:left="107"/>
              <w:rPr>
                <w:rFonts w:hint="default" w:eastAsia="宋体"/>
                <w:color w:val="auto"/>
                <w:sz w:val="21"/>
                <w:highlight w:val="none"/>
                <w:lang w:val="en-US" w:eastAsia="zh-CN"/>
              </w:rPr>
            </w:pPr>
          </w:p>
        </w:tc>
        <w:tc>
          <w:tcPr>
            <w:tcW w:w="1303" w:type="dxa"/>
            <w:noWrap w:val="0"/>
            <w:vAlign w:val="top"/>
          </w:tcPr>
          <w:p w14:paraId="09D660A7">
            <w:pPr>
              <w:pStyle w:val="161"/>
              <w:spacing w:before="1"/>
              <w:ind w:left="108"/>
              <w:rPr>
                <w:rFonts w:hint="default" w:eastAsia="宋体"/>
                <w:color w:val="auto"/>
                <w:sz w:val="21"/>
                <w:highlight w:val="none"/>
                <w:lang w:val="en-US" w:eastAsia="zh-CN"/>
              </w:rPr>
            </w:pPr>
          </w:p>
        </w:tc>
      </w:tr>
      <w:tr w14:paraId="40B17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611DA49E">
            <w:pPr>
              <w:pStyle w:val="161"/>
              <w:spacing w:before="1"/>
              <w:ind w:left="105"/>
              <w:rPr>
                <w:color w:val="auto"/>
                <w:sz w:val="21"/>
                <w:highlight w:val="none"/>
              </w:rPr>
            </w:pPr>
          </w:p>
        </w:tc>
        <w:tc>
          <w:tcPr>
            <w:tcW w:w="1405" w:type="dxa"/>
            <w:noWrap w:val="0"/>
            <w:vAlign w:val="top"/>
          </w:tcPr>
          <w:p w14:paraId="6B75A9FB">
            <w:pPr>
              <w:pStyle w:val="161"/>
              <w:spacing w:before="1"/>
              <w:ind w:left="105"/>
              <w:rPr>
                <w:color w:val="auto"/>
                <w:sz w:val="21"/>
                <w:highlight w:val="none"/>
              </w:rPr>
            </w:pPr>
          </w:p>
        </w:tc>
        <w:tc>
          <w:tcPr>
            <w:tcW w:w="1091" w:type="dxa"/>
            <w:noWrap w:val="0"/>
            <w:vAlign w:val="top"/>
          </w:tcPr>
          <w:p w14:paraId="5F5C2F08">
            <w:pPr>
              <w:pStyle w:val="161"/>
              <w:spacing w:before="1"/>
              <w:ind w:left="105"/>
              <w:rPr>
                <w:color w:val="auto"/>
                <w:sz w:val="21"/>
                <w:highlight w:val="none"/>
              </w:rPr>
            </w:pPr>
          </w:p>
        </w:tc>
        <w:tc>
          <w:tcPr>
            <w:tcW w:w="1445" w:type="dxa"/>
            <w:noWrap w:val="0"/>
            <w:vAlign w:val="top"/>
          </w:tcPr>
          <w:p w14:paraId="3627229A">
            <w:pPr>
              <w:pStyle w:val="161"/>
              <w:spacing w:before="1"/>
              <w:ind w:left="105"/>
              <w:rPr>
                <w:color w:val="auto"/>
                <w:sz w:val="21"/>
                <w:highlight w:val="none"/>
              </w:rPr>
            </w:pPr>
          </w:p>
        </w:tc>
        <w:tc>
          <w:tcPr>
            <w:tcW w:w="1309" w:type="dxa"/>
            <w:noWrap w:val="0"/>
            <w:vAlign w:val="top"/>
          </w:tcPr>
          <w:p w14:paraId="4F439F75">
            <w:pPr>
              <w:pStyle w:val="161"/>
              <w:spacing w:before="1"/>
              <w:ind w:left="105"/>
              <w:rPr>
                <w:color w:val="auto"/>
                <w:sz w:val="21"/>
                <w:highlight w:val="none"/>
              </w:rPr>
            </w:pPr>
          </w:p>
        </w:tc>
        <w:tc>
          <w:tcPr>
            <w:tcW w:w="1268" w:type="dxa"/>
            <w:noWrap w:val="0"/>
            <w:vAlign w:val="top"/>
          </w:tcPr>
          <w:p w14:paraId="46902A2E">
            <w:pPr>
              <w:pStyle w:val="161"/>
              <w:spacing w:before="1"/>
              <w:ind w:left="107"/>
              <w:rPr>
                <w:color w:val="auto"/>
                <w:sz w:val="21"/>
                <w:highlight w:val="none"/>
              </w:rPr>
            </w:pPr>
          </w:p>
        </w:tc>
        <w:tc>
          <w:tcPr>
            <w:tcW w:w="1303" w:type="dxa"/>
            <w:noWrap w:val="0"/>
            <w:vAlign w:val="top"/>
          </w:tcPr>
          <w:p w14:paraId="362E9F93">
            <w:pPr>
              <w:pStyle w:val="161"/>
              <w:spacing w:before="1"/>
              <w:ind w:left="108"/>
              <w:rPr>
                <w:color w:val="auto"/>
                <w:sz w:val="21"/>
                <w:highlight w:val="none"/>
              </w:rPr>
            </w:pPr>
          </w:p>
        </w:tc>
      </w:tr>
      <w:tr w14:paraId="04AD3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737063E9">
            <w:pPr>
              <w:pStyle w:val="161"/>
              <w:rPr>
                <w:rFonts w:ascii="黑体"/>
                <w:color w:val="auto"/>
                <w:sz w:val="20"/>
                <w:highlight w:val="none"/>
              </w:rPr>
            </w:pPr>
          </w:p>
          <w:p w14:paraId="4769C319">
            <w:pPr>
              <w:pStyle w:val="161"/>
              <w:spacing w:before="6"/>
              <w:rPr>
                <w:rFonts w:ascii="黑体"/>
                <w:color w:val="auto"/>
                <w:sz w:val="17"/>
                <w:highlight w:val="none"/>
              </w:rPr>
            </w:pPr>
          </w:p>
          <w:p w14:paraId="4334DCB3">
            <w:pPr>
              <w:pStyle w:val="161"/>
              <w:spacing w:before="1"/>
              <w:ind w:left="105"/>
              <w:rPr>
                <w:color w:val="auto"/>
                <w:sz w:val="21"/>
                <w:highlight w:val="none"/>
              </w:rPr>
            </w:pPr>
            <w:r>
              <w:rPr>
                <w:color w:val="auto"/>
                <w:sz w:val="21"/>
                <w:highlight w:val="none"/>
              </w:rPr>
              <w:t xml:space="preserve"> </w:t>
            </w:r>
          </w:p>
        </w:tc>
        <w:tc>
          <w:tcPr>
            <w:tcW w:w="1405" w:type="dxa"/>
            <w:noWrap w:val="0"/>
            <w:vAlign w:val="top"/>
          </w:tcPr>
          <w:p w14:paraId="59E04A38">
            <w:pPr>
              <w:pStyle w:val="161"/>
              <w:rPr>
                <w:rFonts w:ascii="黑体"/>
                <w:color w:val="auto"/>
                <w:sz w:val="20"/>
                <w:highlight w:val="none"/>
              </w:rPr>
            </w:pPr>
          </w:p>
          <w:p w14:paraId="5D92D358">
            <w:pPr>
              <w:pStyle w:val="161"/>
              <w:spacing w:before="6"/>
              <w:rPr>
                <w:rFonts w:ascii="黑体"/>
                <w:color w:val="auto"/>
                <w:sz w:val="17"/>
                <w:highlight w:val="none"/>
              </w:rPr>
            </w:pPr>
          </w:p>
          <w:p w14:paraId="064E6F22">
            <w:pPr>
              <w:pStyle w:val="161"/>
              <w:spacing w:before="1"/>
              <w:ind w:left="105"/>
              <w:rPr>
                <w:color w:val="auto"/>
                <w:sz w:val="21"/>
                <w:highlight w:val="none"/>
              </w:rPr>
            </w:pPr>
            <w:r>
              <w:rPr>
                <w:color w:val="auto"/>
                <w:sz w:val="21"/>
                <w:highlight w:val="none"/>
              </w:rPr>
              <w:t xml:space="preserve"> </w:t>
            </w:r>
          </w:p>
        </w:tc>
        <w:tc>
          <w:tcPr>
            <w:tcW w:w="1091" w:type="dxa"/>
            <w:noWrap w:val="0"/>
            <w:vAlign w:val="top"/>
          </w:tcPr>
          <w:p w14:paraId="413526B7">
            <w:pPr>
              <w:pStyle w:val="161"/>
              <w:spacing w:before="1"/>
              <w:ind w:left="105"/>
              <w:rPr>
                <w:color w:val="auto"/>
                <w:sz w:val="21"/>
                <w:highlight w:val="none"/>
              </w:rPr>
            </w:pPr>
          </w:p>
        </w:tc>
        <w:tc>
          <w:tcPr>
            <w:tcW w:w="1445" w:type="dxa"/>
            <w:noWrap w:val="0"/>
            <w:vAlign w:val="top"/>
          </w:tcPr>
          <w:p w14:paraId="58ECB02B">
            <w:pPr>
              <w:pStyle w:val="161"/>
              <w:spacing w:before="1"/>
              <w:ind w:left="105"/>
              <w:rPr>
                <w:color w:val="auto"/>
                <w:sz w:val="21"/>
                <w:highlight w:val="none"/>
              </w:rPr>
            </w:pPr>
          </w:p>
        </w:tc>
        <w:tc>
          <w:tcPr>
            <w:tcW w:w="1309" w:type="dxa"/>
            <w:noWrap w:val="0"/>
            <w:vAlign w:val="top"/>
          </w:tcPr>
          <w:p w14:paraId="1912B9B1">
            <w:pPr>
              <w:pStyle w:val="161"/>
              <w:rPr>
                <w:rFonts w:ascii="黑体"/>
                <w:color w:val="auto"/>
                <w:sz w:val="20"/>
                <w:highlight w:val="none"/>
              </w:rPr>
            </w:pPr>
          </w:p>
          <w:p w14:paraId="0799B565">
            <w:pPr>
              <w:pStyle w:val="161"/>
              <w:spacing w:before="6"/>
              <w:rPr>
                <w:rFonts w:ascii="黑体"/>
                <w:color w:val="auto"/>
                <w:sz w:val="17"/>
                <w:highlight w:val="none"/>
              </w:rPr>
            </w:pPr>
          </w:p>
          <w:p w14:paraId="0CA8384C">
            <w:pPr>
              <w:pStyle w:val="161"/>
              <w:spacing w:before="1"/>
              <w:ind w:left="105"/>
              <w:rPr>
                <w:color w:val="auto"/>
                <w:sz w:val="21"/>
                <w:highlight w:val="none"/>
              </w:rPr>
            </w:pPr>
            <w:r>
              <w:rPr>
                <w:color w:val="auto"/>
                <w:sz w:val="21"/>
                <w:highlight w:val="none"/>
              </w:rPr>
              <w:t xml:space="preserve"> </w:t>
            </w:r>
          </w:p>
        </w:tc>
        <w:tc>
          <w:tcPr>
            <w:tcW w:w="1268" w:type="dxa"/>
            <w:noWrap w:val="0"/>
            <w:vAlign w:val="top"/>
          </w:tcPr>
          <w:p w14:paraId="421DAA96">
            <w:pPr>
              <w:pStyle w:val="161"/>
              <w:rPr>
                <w:rFonts w:ascii="黑体"/>
                <w:color w:val="auto"/>
                <w:sz w:val="20"/>
                <w:highlight w:val="none"/>
              </w:rPr>
            </w:pPr>
          </w:p>
          <w:p w14:paraId="7D86E767">
            <w:pPr>
              <w:pStyle w:val="161"/>
              <w:spacing w:before="6"/>
              <w:rPr>
                <w:rFonts w:ascii="黑体"/>
                <w:color w:val="auto"/>
                <w:sz w:val="17"/>
                <w:highlight w:val="none"/>
              </w:rPr>
            </w:pPr>
          </w:p>
          <w:p w14:paraId="0D91C646">
            <w:pPr>
              <w:pStyle w:val="161"/>
              <w:spacing w:before="1"/>
              <w:ind w:left="107"/>
              <w:rPr>
                <w:color w:val="auto"/>
                <w:sz w:val="21"/>
                <w:highlight w:val="none"/>
              </w:rPr>
            </w:pPr>
            <w:r>
              <w:rPr>
                <w:color w:val="auto"/>
                <w:sz w:val="21"/>
                <w:highlight w:val="none"/>
              </w:rPr>
              <w:t xml:space="preserve"> </w:t>
            </w:r>
          </w:p>
        </w:tc>
        <w:tc>
          <w:tcPr>
            <w:tcW w:w="1303" w:type="dxa"/>
            <w:noWrap w:val="0"/>
            <w:vAlign w:val="top"/>
          </w:tcPr>
          <w:p w14:paraId="7E278114">
            <w:pPr>
              <w:pStyle w:val="161"/>
              <w:rPr>
                <w:rFonts w:ascii="黑体"/>
                <w:color w:val="auto"/>
                <w:sz w:val="20"/>
                <w:highlight w:val="none"/>
              </w:rPr>
            </w:pPr>
          </w:p>
          <w:p w14:paraId="5749856D">
            <w:pPr>
              <w:pStyle w:val="161"/>
              <w:spacing w:before="6"/>
              <w:rPr>
                <w:rFonts w:ascii="黑体"/>
                <w:color w:val="auto"/>
                <w:sz w:val="17"/>
                <w:highlight w:val="none"/>
              </w:rPr>
            </w:pPr>
          </w:p>
          <w:p w14:paraId="75E9B93A">
            <w:pPr>
              <w:pStyle w:val="161"/>
              <w:spacing w:before="1"/>
              <w:ind w:left="108"/>
              <w:rPr>
                <w:color w:val="auto"/>
                <w:sz w:val="21"/>
                <w:highlight w:val="none"/>
              </w:rPr>
            </w:pPr>
            <w:r>
              <w:rPr>
                <w:color w:val="auto"/>
                <w:sz w:val="21"/>
                <w:highlight w:val="none"/>
              </w:rPr>
              <w:t xml:space="preserve"> </w:t>
            </w:r>
          </w:p>
        </w:tc>
      </w:tr>
    </w:tbl>
    <w:p w14:paraId="2FC41AB9">
      <w:pPr>
        <w:ind w:firstLine="200" w:firstLineChars="100"/>
        <w:rPr>
          <w:rFonts w:hint="eastAsia" w:ascii="宋体" w:hAnsi="宋体"/>
          <w:color w:val="auto"/>
          <w:sz w:val="20"/>
          <w:szCs w:val="20"/>
          <w:highlight w:val="none"/>
        </w:rPr>
      </w:pPr>
      <w:r>
        <w:rPr>
          <w:rFonts w:hint="eastAsia" w:ascii="宋体" w:hAnsi="宋体"/>
          <w:color w:val="auto"/>
          <w:sz w:val="20"/>
          <w:szCs w:val="20"/>
          <w:highlight w:val="none"/>
        </w:rPr>
        <w:t>注：</w:t>
      </w:r>
      <w:r>
        <w:rPr>
          <w:rFonts w:hint="eastAsia" w:ascii="宋体" w:hAnsi="宋体"/>
          <w:color w:val="auto"/>
          <w:sz w:val="20"/>
          <w:szCs w:val="20"/>
          <w:highlight w:val="none"/>
          <w:lang w:val="en-US" w:eastAsia="zh-CN"/>
        </w:rPr>
        <w:t>1.</w:t>
      </w:r>
      <w:r>
        <w:rPr>
          <w:rFonts w:hint="eastAsia" w:ascii="宋体" w:hAnsi="宋体"/>
          <w:color w:val="auto"/>
          <w:sz w:val="20"/>
          <w:szCs w:val="20"/>
          <w:highlight w:val="none"/>
        </w:rPr>
        <w:t>此表由招标人填写除“投标单价”栏的内容</w:t>
      </w:r>
      <w:r>
        <w:rPr>
          <w:rFonts w:hint="eastAsia" w:ascii="宋体" w:hAnsi="宋体"/>
          <w:color w:val="auto"/>
          <w:sz w:val="20"/>
          <w:szCs w:val="20"/>
          <w:highlight w:val="none"/>
          <w:lang w:eastAsia="zh-CN"/>
        </w:rPr>
        <w:t>，</w:t>
      </w:r>
      <w:r>
        <w:rPr>
          <w:rFonts w:hint="eastAsia" w:ascii="宋体" w:hAnsi="宋体"/>
          <w:color w:val="auto"/>
          <w:sz w:val="20"/>
          <w:szCs w:val="20"/>
          <w:highlight w:val="none"/>
        </w:rPr>
        <w:t>投标人在投标时自主确定投标单价。</w:t>
      </w:r>
    </w:p>
    <w:p w14:paraId="120BEB04">
      <w:pPr>
        <w:ind w:firstLine="600" w:firstLineChars="300"/>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2.应用于一般计税法为除税价，应用于简易计税法为含税价。</w:t>
      </w:r>
    </w:p>
    <w:p w14:paraId="7D7969AB">
      <w:pPr>
        <w:pStyle w:val="40"/>
        <w:ind w:leftChars="0" w:firstLine="0" w:firstLineChars="0"/>
        <w:rPr>
          <w:rFonts w:hint="eastAsia" w:ascii="宋体" w:hAnsi="宋体"/>
          <w:color w:val="auto"/>
          <w:sz w:val="18"/>
          <w:szCs w:val="18"/>
          <w:highlight w:val="none"/>
        </w:rPr>
        <w:sectPr>
          <w:pgSz w:w="11907" w:h="16840"/>
          <w:pgMar w:top="1440" w:right="1440" w:bottom="1440" w:left="1797" w:header="851" w:footer="851" w:gutter="0"/>
          <w:cols w:space="720" w:num="1"/>
          <w:docGrid w:linePitch="312" w:charSpace="0"/>
        </w:sectPr>
      </w:pPr>
    </w:p>
    <w:p w14:paraId="493C55E4">
      <w:pPr>
        <w:pStyle w:val="3"/>
        <w:jc w:val="center"/>
        <w:rPr>
          <w:color w:val="auto"/>
          <w:highlight w:val="none"/>
        </w:rPr>
      </w:pPr>
      <w:bookmarkStart w:id="1934" w:name="_Toc13010"/>
      <w:bookmarkStart w:id="1935" w:name="_Toc1532473377"/>
      <w:bookmarkStart w:id="1936" w:name="_Toc407135283"/>
      <w:bookmarkStart w:id="1937" w:name="_Toc78449868"/>
      <w:r>
        <w:rPr>
          <w:rFonts w:hint="eastAsia" w:cs="黑体"/>
          <w:color w:val="auto"/>
          <w:highlight w:val="none"/>
        </w:rPr>
        <w:t>第五章</w:t>
      </w:r>
      <w:r>
        <w:rPr>
          <w:color w:val="auto"/>
          <w:highlight w:val="none"/>
        </w:rPr>
        <w:t xml:space="preserve"> </w:t>
      </w:r>
      <w:r>
        <w:rPr>
          <w:rFonts w:hint="eastAsia" w:cs="黑体"/>
          <w:color w:val="auto"/>
          <w:highlight w:val="none"/>
        </w:rPr>
        <w:t>工程量清单</w:t>
      </w:r>
      <w:bookmarkEnd w:id="1934"/>
      <w:bookmarkEnd w:id="1935"/>
      <w:bookmarkEnd w:id="1936"/>
      <w:bookmarkEnd w:id="1937"/>
    </w:p>
    <w:p w14:paraId="610DC776">
      <w:pPr>
        <w:jc w:val="center"/>
        <w:rPr>
          <w:b/>
          <w:bCs/>
          <w:color w:val="auto"/>
          <w:kern w:val="44"/>
          <w:sz w:val="32"/>
          <w:szCs w:val="32"/>
          <w:highlight w:val="none"/>
        </w:rPr>
      </w:pPr>
    </w:p>
    <w:p w14:paraId="25EF0742">
      <w:pPr>
        <w:pStyle w:val="4"/>
        <w:rPr>
          <w:color w:val="auto"/>
          <w:kern w:val="44"/>
          <w:highlight w:val="none"/>
        </w:rPr>
      </w:pPr>
      <w:bookmarkStart w:id="1938" w:name="_Toc23613"/>
      <w:bookmarkStart w:id="1939" w:name="_Toc1392571603"/>
      <w:bookmarkStart w:id="1940" w:name="_Toc78449869"/>
      <w:bookmarkStart w:id="1941" w:name="_Toc407135284"/>
      <w:r>
        <w:rPr>
          <w:color w:val="auto"/>
          <w:highlight w:val="none"/>
        </w:rPr>
        <w:t xml:space="preserve">1 </w:t>
      </w:r>
      <w:r>
        <w:rPr>
          <w:rFonts w:hint="eastAsia" w:cs="黑体"/>
          <w:color w:val="auto"/>
          <w:highlight w:val="none"/>
        </w:rPr>
        <w:t>工程量清单编制说明</w:t>
      </w:r>
      <w:bookmarkEnd w:id="1938"/>
    </w:p>
    <w:p w14:paraId="5514E39A">
      <w:pPr>
        <w:spacing w:line="360" w:lineRule="auto"/>
        <w:ind w:firstLine="420" w:firstLineChars="200"/>
        <w:rPr>
          <w:color w:val="auto"/>
          <w:highlight w:val="none"/>
        </w:rPr>
      </w:pPr>
      <w:r>
        <w:rPr>
          <w:color w:val="auto"/>
          <w:highlight w:val="none"/>
        </w:rPr>
        <w:t>1.1</w:t>
      </w:r>
      <w:r>
        <w:rPr>
          <w:rFonts w:hint="eastAsia" w:hAnsi="宋体" w:cs="宋体"/>
          <w:color w:val="auto"/>
          <w:highlight w:val="none"/>
        </w:rPr>
        <w:t>本工程量清单依据</w:t>
      </w:r>
      <w:r>
        <w:rPr>
          <w:rFonts w:hint="eastAsia" w:hAnsi="宋体" w:cs="宋体"/>
          <w:color w:val="auto"/>
          <w:highlight w:val="none"/>
          <w:lang w:eastAsia="zh-CN"/>
        </w:rPr>
        <w:t>《广西壮族自治区建设工程全过程计价规范》（以下简称《计价规范》）</w:t>
      </w:r>
      <w:r>
        <w:rPr>
          <w:rFonts w:hint="eastAsia" w:hAnsi="宋体" w:cs="宋体"/>
          <w:color w:val="auto"/>
          <w:highlight w:val="none"/>
        </w:rPr>
        <w:t>、</w:t>
      </w:r>
      <w:r>
        <w:rPr>
          <w:rFonts w:hint="eastAsia" w:hAnsi="宋体" w:cs="宋体"/>
          <w:color w:val="auto"/>
          <w:highlight w:val="none"/>
          <w:lang w:eastAsia="zh-CN"/>
        </w:rPr>
        <w:t>《广西壮族自治区建设工程多层级工程量清单计算规范》（以下简称《计算规范》）</w:t>
      </w:r>
      <w:r>
        <w:rPr>
          <w:rFonts w:hint="eastAsia" w:hAnsi="宋体" w:cs="宋体"/>
          <w:color w:val="auto"/>
          <w:highlight w:val="none"/>
        </w:rPr>
        <w:t>、</w:t>
      </w:r>
      <w:r>
        <w:rPr>
          <w:rFonts w:hint="eastAsia" w:hAnsi="宋体" w:cs="宋体"/>
          <w:color w:val="auto"/>
          <w:kern w:val="0"/>
          <w:highlight w:val="none"/>
        </w:rPr>
        <w:t>招</w:t>
      </w:r>
      <w:r>
        <w:rPr>
          <w:rFonts w:hint="eastAsia" w:hAnsi="宋体" w:cs="宋体"/>
          <w:color w:val="auto"/>
          <w:highlight w:val="none"/>
        </w:rPr>
        <w:t>标文件、</w:t>
      </w:r>
      <w:r>
        <w:rPr>
          <w:rFonts w:hint="eastAsia" w:hAnsi="宋体" w:cs="宋体"/>
          <w:color w:val="auto"/>
          <w:highlight w:val="none"/>
          <w:lang w:eastAsia="zh-CN"/>
        </w:rPr>
        <w:t>招标图纸</w:t>
      </w:r>
      <w:r>
        <w:rPr>
          <w:rFonts w:hint="eastAsia" w:hAnsi="宋体" w:cs="宋体"/>
          <w:color w:val="auto"/>
          <w:highlight w:val="none"/>
        </w:rPr>
        <w:t>等编制。计算规范中没有的清单项目，应</w:t>
      </w:r>
      <w:r>
        <w:rPr>
          <w:rFonts w:hint="eastAsia" w:hAnsi="宋体" w:cs="宋体"/>
          <w:color w:val="auto"/>
          <w:highlight w:val="none"/>
          <w:lang w:val="en-US" w:eastAsia="zh-CN"/>
        </w:rPr>
        <w:t>按</w:t>
      </w:r>
      <w:r>
        <w:rPr>
          <w:rFonts w:hint="eastAsia" w:hAnsi="宋体" w:cs="宋体"/>
          <w:color w:val="auto"/>
          <w:highlight w:val="none"/>
        </w:rPr>
        <w:t>本章第</w:t>
      </w:r>
      <w:r>
        <w:rPr>
          <w:color w:val="auto"/>
          <w:highlight w:val="none"/>
        </w:rPr>
        <w:t>1.4</w:t>
      </w:r>
      <w:r>
        <w:rPr>
          <w:rFonts w:hint="eastAsia" w:hAnsi="宋体" w:cs="宋体"/>
          <w:color w:val="auto"/>
          <w:highlight w:val="none"/>
        </w:rPr>
        <w:t>款</w:t>
      </w:r>
      <w:r>
        <w:rPr>
          <w:rFonts w:hint="eastAsia" w:hAnsi="宋体" w:cs="宋体"/>
          <w:color w:val="auto"/>
          <w:highlight w:val="none"/>
          <w:lang w:eastAsia="zh-CN"/>
        </w:rPr>
        <w:t>规定执行</w:t>
      </w:r>
      <w:r>
        <w:rPr>
          <w:rFonts w:hint="eastAsia" w:hAnsi="宋体" w:cs="宋体"/>
          <w:color w:val="auto"/>
          <w:highlight w:val="none"/>
        </w:rPr>
        <w:t>。</w:t>
      </w:r>
    </w:p>
    <w:p w14:paraId="4F22780E">
      <w:pPr>
        <w:spacing w:line="360" w:lineRule="auto"/>
        <w:ind w:firstLine="420" w:firstLineChars="200"/>
        <w:outlineLvl w:val="9"/>
        <w:rPr>
          <w:color w:val="auto"/>
          <w:highlight w:val="none"/>
        </w:rPr>
      </w:pPr>
      <w:r>
        <w:rPr>
          <w:color w:val="auto"/>
          <w:highlight w:val="none"/>
        </w:rPr>
        <w:t xml:space="preserve">1.2 </w:t>
      </w:r>
      <w:r>
        <w:rPr>
          <w:rFonts w:hint="eastAsia"/>
          <w:color w:val="auto"/>
          <w:highlight w:val="none"/>
        </w:rPr>
        <w:t>工程量清单应与投标须知、合同协议条款、合同的通用条款、合同专用条款、技术规范及图纸等文件一起结合使用。</w:t>
      </w:r>
    </w:p>
    <w:p w14:paraId="27B96A70">
      <w:pPr>
        <w:spacing w:line="360" w:lineRule="auto"/>
        <w:ind w:firstLine="420" w:firstLineChars="200"/>
        <w:rPr>
          <w:color w:val="auto"/>
          <w:highlight w:val="none"/>
        </w:rPr>
      </w:pPr>
      <w:r>
        <w:rPr>
          <w:color w:val="auto"/>
          <w:highlight w:val="none"/>
        </w:rPr>
        <w:t xml:space="preserve">1.3 </w:t>
      </w:r>
      <w:r>
        <w:rPr>
          <w:rFonts w:hint="eastAsia" w:cs="宋体"/>
          <w:color w:val="auto"/>
          <w:highlight w:val="none"/>
        </w:rPr>
        <w:t>工程量清单是招标文件的组成部分。</w:t>
      </w:r>
    </w:p>
    <w:p w14:paraId="496743E6">
      <w:pPr>
        <w:spacing w:line="360" w:lineRule="auto"/>
        <w:ind w:left="2" w:firstLine="420" w:firstLineChars="200"/>
        <w:rPr>
          <w:color w:val="auto"/>
          <w:highlight w:val="none"/>
        </w:rPr>
      </w:pPr>
      <w:r>
        <w:rPr>
          <w:color w:val="auto"/>
          <w:highlight w:val="none"/>
        </w:rPr>
        <w:t xml:space="preserve">1.4 </w:t>
      </w:r>
      <w:r>
        <w:rPr>
          <w:rFonts w:hint="eastAsia" w:cs="宋体"/>
          <w:color w:val="auto"/>
          <w:highlight w:val="none"/>
        </w:rPr>
        <w:t>补充清单项目的特征、计量单位、工程量计算规则及工作内容在发布的工程量清单编制说明中明确。</w:t>
      </w:r>
    </w:p>
    <w:p w14:paraId="49E150A5">
      <w:pPr>
        <w:pStyle w:val="22"/>
        <w:spacing w:line="360" w:lineRule="auto"/>
        <w:ind w:firstLine="420" w:firstLineChars="200"/>
        <w:rPr>
          <w:rFonts w:hint="eastAsia" w:ascii="Times New Roman" w:hAnsi="Times New Roman"/>
          <w:color w:val="auto"/>
          <w:sz w:val="21"/>
          <w:szCs w:val="21"/>
          <w:highlight w:val="none"/>
        </w:rPr>
      </w:pPr>
      <w:r>
        <w:rPr>
          <w:rFonts w:ascii="Times New Roman" w:hAnsi="Times New Roman"/>
          <w:color w:val="auto"/>
          <w:sz w:val="21"/>
          <w:szCs w:val="21"/>
          <w:highlight w:val="none"/>
        </w:rPr>
        <w:t xml:space="preserve">1.5 </w:t>
      </w:r>
      <w:r>
        <w:rPr>
          <w:rFonts w:hint="eastAsia" w:ascii="Times New Roman" w:hAnsi="Times New Roman"/>
          <w:color w:val="auto"/>
          <w:sz w:val="21"/>
          <w:szCs w:val="21"/>
          <w:highlight w:val="none"/>
        </w:rPr>
        <w:t>工程量清单应载明人工及主要材料价差调整的相关信息，具体如下：</w:t>
      </w:r>
    </w:p>
    <w:p w14:paraId="003AE79F">
      <w:pPr>
        <w:pStyle w:val="22"/>
        <w:spacing w:line="360" w:lineRule="auto"/>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sym w:font="Wingdings 2" w:char="00A3"/>
      </w:r>
      <w:r>
        <w:rPr>
          <w:rFonts w:hint="eastAsia" w:ascii="Times New Roman" w:hAnsi="Times New Roman"/>
          <w:color w:val="auto"/>
          <w:sz w:val="21"/>
          <w:szCs w:val="21"/>
          <w:highlight w:val="none"/>
        </w:rPr>
        <w:t>本工程为单价合同，主要材料价差调整采用价格差额调整法，有关调价信息详见《允许调整价格的主要材料一览表》。</w:t>
      </w:r>
      <w:r>
        <w:rPr>
          <w:rFonts w:hint="default" w:ascii="Times New Roman" w:hAnsi="Times New Roman"/>
          <w:color w:val="auto"/>
          <w:sz w:val="21"/>
          <w:szCs w:val="21"/>
          <w:highlight w:val="none"/>
          <w:lang w:val="en"/>
        </w:rPr>
        <w:t>人工基准价格指数和风险幅度详见合同专用条款11.2.1（2）。</w:t>
      </w:r>
    </w:p>
    <w:p w14:paraId="7EF002A4">
      <w:pPr>
        <w:pStyle w:val="22"/>
        <w:spacing w:line="360" w:lineRule="auto"/>
        <w:ind w:firstLine="420"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sym w:font="Wingdings 2" w:char="00A3"/>
      </w:r>
      <w:r>
        <w:rPr>
          <w:rFonts w:hint="eastAsia" w:ascii="Times New Roman" w:hAnsi="Times New Roman"/>
          <w:color w:val="auto"/>
          <w:sz w:val="21"/>
          <w:szCs w:val="21"/>
          <w:highlight w:val="none"/>
        </w:rPr>
        <w:t>本工程为总价合同，人工及主要材料价差调整采用价格指数调整法。有关调价信息详见《人工及主要材料可调因子价格指数及权重表》。</w:t>
      </w:r>
    </w:p>
    <w:p w14:paraId="3C73AC8E">
      <w:pPr>
        <w:pStyle w:val="22"/>
        <w:spacing w:line="360" w:lineRule="auto"/>
        <w:ind w:firstLine="420" w:firstLineChars="200"/>
        <w:rPr>
          <w:rFonts w:ascii="Times New Roman" w:hAnsi="Times New Roman"/>
          <w:color w:val="auto"/>
          <w:sz w:val="21"/>
          <w:szCs w:val="21"/>
          <w:highlight w:val="none"/>
        </w:rPr>
      </w:pPr>
      <w:r>
        <w:rPr>
          <w:rFonts w:ascii="Times New Roman" w:hAnsi="Times New Roman"/>
          <w:color w:val="auto"/>
          <w:sz w:val="21"/>
          <w:szCs w:val="21"/>
          <w:highlight w:val="none"/>
        </w:rPr>
        <w:t xml:space="preserve">1.6 </w:t>
      </w:r>
      <w:r>
        <w:rPr>
          <w:rFonts w:hint="eastAsia" w:ascii="Times New Roman" w:hAnsi="Times New Roman"/>
          <w:color w:val="auto"/>
          <w:sz w:val="21"/>
          <w:szCs w:val="21"/>
          <w:highlight w:val="none"/>
        </w:rPr>
        <w:t>本工程暂列金额共</w:t>
      </w:r>
      <w:r>
        <w:rPr>
          <w:rFonts w:ascii="Times New Roman" w:hAnsi="Times New Roman"/>
          <w:color w:val="auto"/>
          <w:sz w:val="21"/>
          <w:szCs w:val="21"/>
          <w:highlight w:val="none"/>
          <w:u w:val="single"/>
        </w:rPr>
        <w:t xml:space="preserve">   </w:t>
      </w:r>
      <w:r>
        <w:rPr>
          <w:rFonts w:hint="eastAsia" w:ascii="Times New Roman" w:hAnsi="Times New Roman"/>
          <w:color w:val="auto"/>
          <w:sz w:val="21"/>
          <w:szCs w:val="21"/>
          <w:highlight w:val="none"/>
          <w:u w:val="single"/>
          <w:lang w:val="en-US" w:eastAsia="zh-CN"/>
        </w:rPr>
        <w:t xml:space="preserve"> </w:t>
      </w:r>
      <w:r>
        <w:rPr>
          <w:rFonts w:ascii="Times New Roman" w:hAnsi="Times New Roman"/>
          <w:color w:val="auto"/>
          <w:sz w:val="21"/>
          <w:szCs w:val="21"/>
          <w:highlight w:val="none"/>
          <w:u w:val="single"/>
        </w:rPr>
        <w:t xml:space="preserve">    </w:t>
      </w:r>
      <w:r>
        <w:rPr>
          <w:rFonts w:hint="eastAsia" w:ascii="Times New Roman" w:hAnsi="Times New Roman"/>
          <w:color w:val="auto"/>
          <w:sz w:val="21"/>
          <w:szCs w:val="21"/>
          <w:highlight w:val="none"/>
        </w:rPr>
        <w:t>元，作为招标时尚未能确定或详细说明的工程、服务和工程实施中可能发生的合同价款调整等所预留的费用。</w:t>
      </w:r>
    </w:p>
    <w:p w14:paraId="57797802">
      <w:pPr>
        <w:pStyle w:val="22"/>
        <w:spacing w:line="360" w:lineRule="auto"/>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1.7 本工程□有□无材料暂估价，具体内容详见《材料暂估价明细表》，结算按实调整。</w:t>
      </w:r>
    </w:p>
    <w:p w14:paraId="4FC026AF">
      <w:pPr>
        <w:pStyle w:val="22"/>
        <w:spacing w:line="360" w:lineRule="auto"/>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1.8 本工程□有□无暂估专业工程，具体内容详见《专业工程暂估价明细表》，结算按实调整。</w:t>
      </w:r>
    </w:p>
    <w:p w14:paraId="690F1EE7">
      <w:pPr>
        <w:pStyle w:val="22"/>
        <w:spacing w:line="360" w:lineRule="auto"/>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1.9 本工程□有□无发包人提供的材料，具体内容详见《发包人提供材料一览表》。</w:t>
      </w:r>
    </w:p>
    <w:p w14:paraId="2CF07995">
      <w:pPr>
        <w:pStyle w:val="22"/>
        <w:spacing w:line="360" w:lineRule="auto"/>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 xml:space="preserve">1.10 其它需要说明的问题：                                                       </w:t>
      </w:r>
    </w:p>
    <w:p w14:paraId="111B7B3B">
      <w:pPr>
        <w:rPr>
          <w:color w:val="auto"/>
          <w:highlight w:val="green"/>
        </w:rPr>
      </w:pPr>
      <w:r>
        <w:rPr>
          <w:rFonts w:hint="eastAsia" w:ascii="Times New Roman" w:hAnsi="Times New Roman"/>
          <w:color w:val="auto"/>
          <w:sz w:val="21"/>
          <w:szCs w:val="21"/>
          <w:highlight w:val="none"/>
        </w:rPr>
        <w:t xml:space="preserve">    </w:t>
      </w:r>
      <w:r>
        <w:rPr>
          <w:rFonts w:hint="eastAsia" w:ascii="Times New Roman" w:hAnsi="Times New Roman"/>
          <w:color w:val="auto"/>
          <w:sz w:val="21"/>
          <w:szCs w:val="21"/>
          <w:highlight w:val="none"/>
          <w:u w:val="single"/>
        </w:rPr>
        <w:t xml:space="preserve">                </w:t>
      </w:r>
      <w:bookmarkStart w:id="1942" w:name="EB019ea8e633a041c1ae831af2ffe31e82"/>
      <w:r>
        <w:rPr>
          <w:rFonts w:hint="eastAsia"/>
          <w:color w:val="auto"/>
          <w:highlight w:val="white"/>
        </w:rPr>
        <w:t>无</w:t>
      </w:r>
      <w:bookmarkEnd w:id="1942"/>
    </w:p>
    <w:p w14:paraId="127D492B">
      <w:pPr>
        <w:spacing w:line="360" w:lineRule="auto"/>
        <w:rPr>
          <w:color w:val="auto"/>
          <w:highlight w:val="none"/>
        </w:rPr>
      </w:pPr>
      <w:r>
        <w:rPr>
          <w:rFonts w:hint="eastAsia" w:ascii="Times New Roman" w:hAnsi="Times New Roman"/>
          <w:color w:val="auto"/>
          <w:sz w:val="21"/>
          <w:szCs w:val="21"/>
          <w:highlight w:val="none"/>
          <w:u w:val="single"/>
        </w:rPr>
        <w:t xml:space="preserve">                                                             </w:t>
      </w:r>
      <w:r>
        <w:rPr>
          <w:rFonts w:hint="eastAsia" w:ascii="Times New Roman" w:hAnsi="Times New Roman"/>
          <w:color w:val="auto"/>
          <w:sz w:val="21"/>
          <w:szCs w:val="21"/>
          <w:highlight w:val="none"/>
        </w:rPr>
        <w:t>。</w:t>
      </w:r>
    </w:p>
    <w:p w14:paraId="7F267DAB">
      <w:pPr>
        <w:spacing w:line="360" w:lineRule="auto"/>
        <w:ind w:firstLine="420" w:firstLineChars="200"/>
        <w:jc w:val="left"/>
        <w:rPr>
          <w:color w:val="auto"/>
          <w:highlight w:val="none"/>
        </w:rPr>
      </w:pPr>
      <w:r>
        <w:rPr>
          <w:color w:val="auto"/>
          <w:highlight w:val="none"/>
        </w:rPr>
        <w:t>1.1</w:t>
      </w:r>
      <w:r>
        <w:rPr>
          <w:rFonts w:hint="eastAsia"/>
          <w:color w:val="auto"/>
          <w:highlight w:val="none"/>
          <w:lang w:val="en-US" w:eastAsia="zh-CN"/>
        </w:rPr>
        <w:t>1</w:t>
      </w:r>
      <w:r>
        <w:rPr>
          <w:color w:val="auto"/>
          <w:highlight w:val="none"/>
        </w:rPr>
        <w:t xml:space="preserve"> </w:t>
      </w:r>
      <w:r>
        <w:rPr>
          <w:rFonts w:hint="eastAsia" w:cs="宋体"/>
          <w:color w:val="auto"/>
          <w:highlight w:val="none"/>
        </w:rPr>
        <w:t>工程量清单在广西电子招投标系统发布，潜在投标人可</w:t>
      </w:r>
      <w:r>
        <w:rPr>
          <w:rFonts w:hint="eastAsia" w:cs="宋体"/>
          <w:color w:val="auto"/>
          <w:highlight w:val="none"/>
          <w:lang w:val="en-US" w:eastAsia="zh-CN"/>
        </w:rPr>
        <w:t>登录</w:t>
      </w:r>
      <w:r>
        <w:rPr>
          <w:rFonts w:hint="eastAsia" w:cs="宋体"/>
          <w:color w:val="auto"/>
          <w:highlight w:val="none"/>
        </w:rPr>
        <w:t>系统自行下载，文件后缀名为</w:t>
      </w:r>
      <w:r>
        <w:rPr>
          <w:rFonts w:hint="eastAsia" w:cs="宋体"/>
          <w:color w:val="auto"/>
          <w:highlight w:val="none"/>
          <w:lang w:eastAsia="zh-CN"/>
        </w:rPr>
        <w:t>“</w:t>
      </w:r>
      <w:r>
        <w:rPr>
          <w:color w:val="auto"/>
          <w:highlight w:val="none"/>
        </w:rPr>
        <w:t>.gxzb</w:t>
      </w:r>
      <w:r>
        <w:rPr>
          <w:rFonts w:hint="eastAsia" w:cs="宋体"/>
          <w:color w:val="auto"/>
          <w:highlight w:val="none"/>
          <w:lang w:eastAsia="zh-CN"/>
        </w:rPr>
        <w:t>”</w:t>
      </w:r>
      <w:r>
        <w:rPr>
          <w:rFonts w:hint="eastAsia" w:cs="宋体"/>
          <w:color w:val="auto"/>
          <w:highlight w:val="none"/>
        </w:rPr>
        <w:t>。</w:t>
      </w:r>
      <w:r>
        <w:rPr>
          <w:rFonts w:hint="eastAsia"/>
          <w:color w:val="auto"/>
          <w:highlight w:val="none"/>
        </w:rPr>
        <w:t>工程量清单表格</w:t>
      </w:r>
      <w:r>
        <w:rPr>
          <w:rFonts w:hint="eastAsia" w:ascii="宋体" w:hAnsi="宋体" w:cs="宋体"/>
          <w:color w:val="auto"/>
          <w:highlight w:val="none"/>
        </w:rPr>
        <w:t>具体</w:t>
      </w:r>
      <w:r>
        <w:rPr>
          <w:rFonts w:hint="eastAsia" w:cs="宋体"/>
          <w:color w:val="auto"/>
          <w:highlight w:val="none"/>
        </w:rPr>
        <w:t>包括：</w:t>
      </w:r>
    </w:p>
    <w:p w14:paraId="0D11686D">
      <w:pPr>
        <w:spacing w:line="360" w:lineRule="auto"/>
        <w:ind w:firstLine="630" w:firstLineChars="300"/>
        <w:jc w:val="left"/>
        <w:rPr>
          <w:color w:val="auto"/>
          <w:highlight w:val="none"/>
        </w:rPr>
      </w:pPr>
      <w:r>
        <w:rPr>
          <w:color w:val="auto"/>
          <w:highlight w:val="none"/>
        </w:rPr>
        <w:t xml:space="preserve">1.1 </w:t>
      </w:r>
      <w:r>
        <w:rPr>
          <w:rFonts w:hint="eastAsia" w:cs="宋体"/>
          <w:color w:val="auto"/>
          <w:highlight w:val="none"/>
        </w:rPr>
        <w:t>招标工程量清单（封</w:t>
      </w:r>
      <w:r>
        <w:rPr>
          <w:color w:val="auto"/>
          <w:highlight w:val="none"/>
        </w:rPr>
        <w:t>-1</w:t>
      </w:r>
      <w:r>
        <w:rPr>
          <w:rFonts w:hint="eastAsia" w:cs="宋体"/>
          <w:color w:val="auto"/>
          <w:highlight w:val="none"/>
        </w:rPr>
        <w:t>）</w:t>
      </w:r>
    </w:p>
    <w:p w14:paraId="018949B9">
      <w:pPr>
        <w:spacing w:line="360" w:lineRule="auto"/>
        <w:ind w:firstLine="630" w:firstLineChars="300"/>
        <w:jc w:val="left"/>
        <w:rPr>
          <w:color w:val="auto"/>
          <w:highlight w:val="none"/>
        </w:rPr>
      </w:pPr>
      <w:r>
        <w:rPr>
          <w:color w:val="auto"/>
          <w:highlight w:val="none"/>
        </w:rPr>
        <w:t xml:space="preserve">1.2 </w:t>
      </w:r>
      <w:r>
        <w:rPr>
          <w:rFonts w:hint="eastAsia" w:cs="宋体"/>
          <w:color w:val="auto"/>
          <w:highlight w:val="none"/>
        </w:rPr>
        <w:t>招标工程量清单（扉</w:t>
      </w:r>
      <w:r>
        <w:rPr>
          <w:color w:val="auto"/>
          <w:highlight w:val="none"/>
        </w:rPr>
        <w:t>-1</w:t>
      </w:r>
      <w:r>
        <w:rPr>
          <w:rFonts w:hint="eastAsia" w:cs="宋体"/>
          <w:color w:val="auto"/>
          <w:highlight w:val="none"/>
        </w:rPr>
        <w:t>）</w:t>
      </w:r>
    </w:p>
    <w:p w14:paraId="7523C3CE">
      <w:pPr>
        <w:spacing w:line="360" w:lineRule="auto"/>
        <w:ind w:firstLine="630" w:firstLineChars="300"/>
        <w:jc w:val="left"/>
        <w:rPr>
          <w:color w:val="auto"/>
          <w:highlight w:val="none"/>
        </w:rPr>
      </w:pPr>
      <w:r>
        <w:rPr>
          <w:color w:val="auto"/>
          <w:highlight w:val="none"/>
        </w:rPr>
        <w:t xml:space="preserve">1.3 </w:t>
      </w:r>
      <w:r>
        <w:rPr>
          <w:rFonts w:hint="eastAsia" w:cs="宋体"/>
          <w:color w:val="auto"/>
          <w:highlight w:val="none"/>
          <w:lang w:eastAsia="zh-CN"/>
        </w:rPr>
        <w:t>编制</w:t>
      </w:r>
      <w:r>
        <w:rPr>
          <w:rFonts w:hint="eastAsia" w:cs="宋体"/>
          <w:color w:val="auto"/>
          <w:highlight w:val="none"/>
        </w:rPr>
        <w:t>说明（表</w:t>
      </w:r>
      <w:r>
        <w:rPr>
          <w:color w:val="auto"/>
          <w:highlight w:val="none"/>
        </w:rPr>
        <w:t>-01</w:t>
      </w:r>
      <w:r>
        <w:rPr>
          <w:rFonts w:hint="eastAsia" w:cs="宋体"/>
          <w:color w:val="auto"/>
          <w:highlight w:val="none"/>
        </w:rPr>
        <w:t>）</w:t>
      </w:r>
    </w:p>
    <w:p w14:paraId="3F08CDFD">
      <w:pPr>
        <w:spacing w:line="360" w:lineRule="auto"/>
        <w:ind w:firstLine="630" w:firstLineChars="300"/>
        <w:jc w:val="left"/>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s="宋体"/>
          <w:color w:val="auto"/>
          <w:highlight w:val="none"/>
        </w:rPr>
        <w:t>招标工程量清单</w:t>
      </w:r>
      <w:r>
        <w:rPr>
          <w:rFonts w:hint="eastAsia" w:cs="宋体"/>
          <w:color w:val="auto"/>
          <w:highlight w:val="none"/>
          <w:lang w:val="en-US" w:eastAsia="zh-CN"/>
        </w:rPr>
        <w:t>扉页</w:t>
      </w:r>
      <w:r>
        <w:rPr>
          <w:rFonts w:hint="eastAsia" w:cs="宋体"/>
          <w:color w:val="auto"/>
          <w:highlight w:val="none"/>
        </w:rPr>
        <w:t>（扉</w:t>
      </w:r>
      <w:r>
        <w:rPr>
          <w:color w:val="auto"/>
          <w:highlight w:val="none"/>
        </w:rPr>
        <w:t>-1</w:t>
      </w:r>
      <w:r>
        <w:rPr>
          <w:rFonts w:hint="eastAsia" w:cs="宋体"/>
          <w:color w:val="auto"/>
          <w:highlight w:val="none"/>
        </w:rPr>
        <w:t>）</w:t>
      </w:r>
    </w:p>
    <w:p w14:paraId="1970625C">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ascii="Times New Roman" w:hAnsi="Times New Roman" w:eastAsia="宋体" w:cs="宋体"/>
          <w:color w:val="auto"/>
          <w:highlight w:val="none"/>
        </w:rPr>
        <w:t xml:space="preserve"> </w:t>
      </w:r>
      <w:r>
        <w:rPr>
          <w:rFonts w:hint="eastAsia" w:ascii="Times New Roman" w:hAnsi="Times New Roman" w:eastAsia="宋体" w:cs="宋体"/>
          <w:color w:val="auto"/>
          <w:highlight w:val="none"/>
          <w:lang w:val="en-US" w:eastAsia="zh-CN"/>
        </w:rPr>
        <w:t>编制</w:t>
      </w:r>
      <w:r>
        <w:rPr>
          <w:rFonts w:hint="eastAsia" w:ascii="Times New Roman" w:hAnsi="Times New Roman" w:eastAsia="宋体" w:cs="宋体"/>
          <w:color w:val="auto"/>
          <w:highlight w:val="none"/>
        </w:rPr>
        <w:t>说明（表-</w:t>
      </w:r>
      <w:r>
        <w:rPr>
          <w:rFonts w:hint="eastAsia" w:ascii="Times New Roman" w:hAnsi="Times New Roman" w:eastAsia="宋体" w:cs="宋体"/>
          <w:color w:val="auto"/>
          <w:highlight w:val="none"/>
          <w:lang w:val="en-US" w:eastAsia="zh-CN"/>
        </w:rPr>
        <w:t>0</w:t>
      </w:r>
      <w:r>
        <w:rPr>
          <w:rFonts w:hint="eastAsia" w:ascii="Times New Roman" w:hAnsi="Times New Roman" w:eastAsia="宋体" w:cs="宋体"/>
          <w:color w:val="auto"/>
          <w:highlight w:val="none"/>
        </w:rPr>
        <w:t>1）</w:t>
      </w:r>
    </w:p>
    <w:p w14:paraId="1B016BAA">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建设项目概况表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02</w:t>
      </w:r>
      <w:r>
        <w:rPr>
          <w:rFonts w:hint="eastAsia" w:ascii="Times New Roman" w:hAnsi="Times New Roman" w:eastAsia="宋体" w:cs="宋体"/>
          <w:color w:val="auto"/>
          <w:highlight w:val="none"/>
        </w:rPr>
        <w:t>）</w:t>
      </w:r>
    </w:p>
    <w:p w14:paraId="34F8D35F">
      <w:pPr>
        <w:widowControl/>
        <w:spacing w:line="360" w:lineRule="auto"/>
        <w:ind w:firstLine="630" w:firstLineChars="300"/>
        <w:jc w:val="left"/>
        <w:textAlignment w:val="auto"/>
        <w:rPr>
          <w:rFonts w:hint="eastAsia" w:ascii="Times New Roman" w:hAnsi="Times New Roman" w:eastAsia="宋体" w:cs="宋体"/>
          <w:b w:val="0"/>
          <w:color w:val="auto"/>
          <w:sz w:val="21"/>
          <w:szCs w:val="21"/>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单项工程概况表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03</w:t>
      </w:r>
      <w:r>
        <w:rPr>
          <w:rFonts w:hint="eastAsia" w:ascii="Times New Roman" w:hAnsi="Times New Roman" w:eastAsia="宋体" w:cs="宋体"/>
          <w:color w:val="auto"/>
          <w:highlight w:val="none"/>
        </w:rPr>
        <w:t>）</w:t>
      </w:r>
    </w:p>
    <w:p w14:paraId="7980AC12">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cs="宋体"/>
          <w:b w:val="0"/>
          <w:color w:val="auto"/>
          <w:sz w:val="21"/>
          <w:szCs w:val="21"/>
          <w:highlight w:val="none"/>
          <w:lang w:eastAsia="zh-CN"/>
        </w:rPr>
        <w:t>建筑安装工程费</w:t>
      </w:r>
      <w:r>
        <w:rPr>
          <w:rFonts w:hint="eastAsia" w:ascii="Times New Roman" w:hAnsi="Times New Roman" w:eastAsia="宋体" w:cs="宋体"/>
          <w:b w:val="0"/>
          <w:color w:val="auto"/>
          <w:sz w:val="21"/>
          <w:szCs w:val="21"/>
          <w:highlight w:val="none"/>
        </w:rPr>
        <w:t>汇总表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05适用于</w:t>
      </w:r>
      <w:r>
        <w:rPr>
          <w:rFonts w:hint="eastAsia" w:cs="宋体"/>
          <w:color w:val="auto"/>
          <w:highlight w:val="none"/>
          <w:lang w:val="en-US" w:eastAsia="zh-CN"/>
        </w:rPr>
        <w:t>总</w:t>
      </w:r>
      <w:r>
        <w:rPr>
          <w:rFonts w:hint="eastAsia" w:ascii="Times New Roman" w:hAnsi="Times New Roman" w:eastAsia="宋体" w:cs="宋体"/>
          <w:color w:val="auto"/>
          <w:highlight w:val="none"/>
          <w:lang w:val="en-US" w:eastAsia="zh-CN"/>
        </w:rPr>
        <w:t>价合同，表-06适用于</w:t>
      </w:r>
      <w:r>
        <w:rPr>
          <w:rFonts w:hint="eastAsia" w:cs="宋体"/>
          <w:color w:val="auto"/>
          <w:highlight w:val="none"/>
          <w:lang w:val="en-US" w:eastAsia="zh-CN"/>
        </w:rPr>
        <w:t>单</w:t>
      </w:r>
      <w:r>
        <w:rPr>
          <w:rFonts w:hint="eastAsia" w:ascii="Times New Roman" w:hAnsi="Times New Roman" w:eastAsia="宋体" w:cs="宋体"/>
          <w:color w:val="auto"/>
          <w:highlight w:val="none"/>
          <w:lang w:val="en-US" w:eastAsia="zh-CN"/>
        </w:rPr>
        <w:t>价合同</w:t>
      </w:r>
      <w:r>
        <w:rPr>
          <w:rFonts w:hint="eastAsia" w:ascii="Times New Roman" w:hAnsi="Times New Roman" w:eastAsia="宋体" w:cs="宋体"/>
          <w:color w:val="auto"/>
          <w:highlight w:val="none"/>
        </w:rPr>
        <w:t>）</w:t>
      </w:r>
    </w:p>
    <w:p w14:paraId="16B06964">
      <w:pPr>
        <w:spacing w:line="360" w:lineRule="auto"/>
        <w:ind w:firstLine="630" w:firstLineChars="300"/>
        <w:jc w:val="left"/>
        <w:rPr>
          <w:rFonts w:hint="eastAsia" w:ascii="Times New Roman" w:hAnsi="Times New Roman" w:eastAsia="宋体" w:cs="宋体"/>
          <w:b w:val="0"/>
          <w:color w:val="auto"/>
          <w:sz w:val="21"/>
          <w:szCs w:val="21"/>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cs="宋体"/>
          <w:b w:val="0"/>
          <w:color w:val="auto"/>
          <w:sz w:val="21"/>
          <w:szCs w:val="21"/>
          <w:highlight w:val="none"/>
          <w:lang w:eastAsia="zh-CN"/>
        </w:rPr>
        <w:t>建筑安装工程费</w:t>
      </w:r>
      <w:r>
        <w:rPr>
          <w:rFonts w:hint="eastAsia" w:ascii="Times New Roman" w:hAnsi="Times New Roman" w:eastAsia="宋体" w:cs="宋体"/>
          <w:b w:val="0"/>
          <w:color w:val="auto"/>
          <w:sz w:val="21"/>
          <w:szCs w:val="21"/>
          <w:highlight w:val="none"/>
        </w:rPr>
        <w:t>明细表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07</w:t>
      </w:r>
      <w:r>
        <w:rPr>
          <w:rFonts w:hint="eastAsia" w:ascii="Times New Roman" w:hAnsi="Times New Roman" w:eastAsia="宋体" w:cs="宋体"/>
          <w:color w:val="auto"/>
          <w:highlight w:val="none"/>
        </w:rPr>
        <w:t>）</w:t>
      </w:r>
    </w:p>
    <w:p w14:paraId="2EB06736">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分部分项工程</w:t>
      </w:r>
      <w:r>
        <w:rPr>
          <w:rFonts w:hint="eastAsia" w:ascii="Times New Roman" w:hAnsi="Times New Roman" w:eastAsia="宋体" w:cs="宋体"/>
          <w:b w:val="0"/>
          <w:color w:val="auto"/>
          <w:sz w:val="21"/>
          <w:szCs w:val="21"/>
          <w:highlight w:val="none"/>
          <w:lang w:val="en-US" w:eastAsia="zh-CN"/>
        </w:rPr>
        <w:t>项目</w:t>
      </w:r>
      <w:r>
        <w:rPr>
          <w:rFonts w:hint="eastAsia" w:ascii="Times New Roman" w:hAnsi="Times New Roman" w:eastAsia="宋体" w:cs="宋体"/>
          <w:b w:val="0"/>
          <w:color w:val="auto"/>
          <w:sz w:val="21"/>
          <w:szCs w:val="21"/>
          <w:highlight w:val="none"/>
        </w:rPr>
        <w:t>清单计价表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w:t>
      </w:r>
      <w:r>
        <w:rPr>
          <w:rFonts w:hint="eastAsia" w:cs="宋体"/>
          <w:color w:val="auto"/>
          <w:highlight w:val="none"/>
          <w:lang w:val="en-US" w:eastAsia="zh-CN"/>
        </w:rPr>
        <w:t>9</w:t>
      </w:r>
      <w:r>
        <w:rPr>
          <w:rFonts w:hint="eastAsia" w:ascii="Times New Roman" w:hAnsi="Times New Roman" w:eastAsia="宋体" w:cs="宋体"/>
          <w:color w:val="auto"/>
          <w:highlight w:val="none"/>
        </w:rPr>
        <w:t>）</w:t>
      </w:r>
    </w:p>
    <w:p w14:paraId="3B8B01A8">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8</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分部分项工程项目清单综合单价分析表</w:t>
      </w:r>
      <w:r>
        <w:rPr>
          <w:rFonts w:hint="eastAsia" w:ascii="Times New Roman" w:hAnsi="Times New Roman" w:eastAsia="宋体" w:cs="宋体"/>
          <w:color w:val="auto"/>
          <w:highlight w:val="none"/>
        </w:rPr>
        <w:t>（表-</w:t>
      </w:r>
      <w:r>
        <w:rPr>
          <w:rFonts w:hint="eastAsia" w:cs="宋体"/>
          <w:color w:val="auto"/>
          <w:highlight w:val="none"/>
          <w:lang w:val="en-US" w:eastAsia="zh-CN"/>
        </w:rPr>
        <w:t>10</w:t>
      </w:r>
      <w:r>
        <w:rPr>
          <w:rFonts w:hint="eastAsia" w:ascii="Times New Roman" w:hAnsi="Times New Roman" w:eastAsia="宋体" w:cs="宋体"/>
          <w:color w:val="auto"/>
          <w:highlight w:val="none"/>
        </w:rPr>
        <w:t>）</w:t>
      </w:r>
    </w:p>
    <w:p w14:paraId="4CC288E3">
      <w:pPr>
        <w:spacing w:line="360" w:lineRule="auto"/>
        <w:ind w:firstLine="630" w:firstLineChars="300"/>
        <w:jc w:val="left"/>
        <w:rPr>
          <w:rFonts w:hint="default" w:ascii="Times New Roman" w:hAnsi="Times New Roman" w:eastAsia="宋体" w:cs="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9</w:t>
      </w:r>
      <w:r>
        <w:rPr>
          <w:rFonts w:hint="eastAsia"/>
          <w:color w:val="auto"/>
          <w:highlight w:val="none"/>
          <w:lang w:eastAsia="zh-CN"/>
        </w:rPr>
        <w:t>）</w:t>
      </w:r>
      <w:r>
        <w:rPr>
          <w:rFonts w:hint="eastAsia" w:ascii="Times New Roman" w:hAnsi="Times New Roman" w:eastAsia="宋体" w:cs="宋体"/>
          <w:color w:val="auto"/>
          <w:highlight w:val="none"/>
          <w:lang w:eastAsia="zh-CN"/>
        </w:rPr>
        <w:t>技术措施项目</w:t>
      </w:r>
      <w:r>
        <w:rPr>
          <w:rFonts w:hint="eastAsia" w:ascii="Times New Roman" w:hAnsi="Times New Roman" w:eastAsia="宋体" w:cs="宋体"/>
          <w:color w:val="auto"/>
          <w:highlight w:val="none"/>
        </w:rPr>
        <w:t>清单计价表</w:t>
      </w:r>
      <w:r>
        <w:rPr>
          <w:rFonts w:hint="eastAsia" w:ascii="Times New Roman" w:hAnsi="Times New Roman" w:eastAsia="宋体" w:cs="宋体"/>
          <w:strike w:val="0"/>
          <w:color w:val="auto"/>
          <w:highlight w:val="none"/>
        </w:rPr>
        <w:t>（表-1</w:t>
      </w:r>
      <w:r>
        <w:rPr>
          <w:rFonts w:hint="eastAsia" w:cs="宋体"/>
          <w:strike w:val="0"/>
          <w:color w:val="auto"/>
          <w:highlight w:val="none"/>
          <w:lang w:val="en-US" w:eastAsia="zh-CN"/>
        </w:rPr>
        <w:t>1</w:t>
      </w:r>
      <w:r>
        <w:rPr>
          <w:rFonts w:hint="eastAsia" w:ascii="Times New Roman" w:hAnsi="Times New Roman" w:eastAsia="宋体" w:cs="宋体"/>
          <w:strike w:val="0"/>
          <w:color w:val="auto"/>
          <w:highlight w:val="none"/>
        </w:rPr>
        <w:t>）</w:t>
      </w:r>
    </w:p>
    <w:p w14:paraId="10E4B9B9">
      <w:pPr>
        <w:spacing w:line="360" w:lineRule="auto"/>
        <w:ind w:firstLine="630" w:firstLineChars="300"/>
        <w:jc w:val="left"/>
        <w:rPr>
          <w:rFonts w:hint="eastAsia" w:ascii="Times New Roman" w:hAnsi="Times New Roman" w:eastAsia="宋体" w:cs="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10</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技术措施项目清单综合单价分析表</w:t>
      </w:r>
      <w:r>
        <w:rPr>
          <w:rFonts w:hint="eastAsia" w:ascii="Times New Roman" w:hAnsi="Times New Roman" w:eastAsia="宋体" w:cs="宋体"/>
          <w:color w:val="auto"/>
          <w:highlight w:val="none"/>
        </w:rPr>
        <w:t>（表-1</w:t>
      </w:r>
      <w:r>
        <w:rPr>
          <w:rFonts w:hint="eastAsia" w:cs="宋体"/>
          <w:color w:val="auto"/>
          <w:highlight w:val="none"/>
          <w:lang w:val="en-US" w:eastAsia="zh-CN"/>
        </w:rPr>
        <w:t>2</w:t>
      </w:r>
      <w:r>
        <w:rPr>
          <w:rFonts w:hint="eastAsia" w:ascii="Times New Roman" w:hAnsi="Times New Roman" w:eastAsia="宋体" w:cs="宋体"/>
          <w:color w:val="auto"/>
          <w:highlight w:val="none"/>
        </w:rPr>
        <w:t>）</w:t>
      </w:r>
      <w:r>
        <w:rPr>
          <w:rFonts w:hint="eastAsia" w:cs="宋体"/>
          <w:color w:val="auto"/>
          <w:highlight w:val="none"/>
          <w:lang w:val="en-US" w:eastAsia="zh-CN"/>
        </w:rPr>
        <w:t xml:space="preserve"> </w:t>
      </w:r>
    </w:p>
    <w:p w14:paraId="5B199D58">
      <w:pPr>
        <w:spacing w:line="360" w:lineRule="auto"/>
        <w:ind w:firstLine="630" w:firstLineChars="300"/>
        <w:jc w:val="left"/>
        <w:rPr>
          <w:rFonts w:hint="default"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11</w:t>
      </w:r>
      <w:r>
        <w:rPr>
          <w:rFonts w:hint="eastAsia"/>
          <w:color w:val="auto"/>
          <w:highlight w:val="none"/>
          <w:lang w:eastAsia="zh-CN"/>
        </w:rPr>
        <w:t>）</w:t>
      </w:r>
      <w:r>
        <w:rPr>
          <w:rFonts w:hint="eastAsia" w:ascii="Times New Roman" w:hAnsi="Times New Roman" w:eastAsia="宋体" w:cs="宋体"/>
          <w:color w:val="auto"/>
          <w:highlight w:val="none"/>
        </w:rPr>
        <w:t>综合措施项目清单计价表（表-1</w:t>
      </w:r>
      <w:r>
        <w:rPr>
          <w:rFonts w:hint="eastAsia" w:cs="宋体"/>
          <w:color w:val="auto"/>
          <w:highlight w:val="none"/>
          <w:lang w:val="en-US" w:eastAsia="zh-CN"/>
        </w:rPr>
        <w:t>3</w:t>
      </w:r>
      <w:r>
        <w:rPr>
          <w:rFonts w:hint="eastAsia" w:ascii="Times New Roman" w:hAnsi="Times New Roman" w:eastAsia="宋体" w:cs="宋体"/>
          <w:color w:val="auto"/>
          <w:highlight w:val="none"/>
        </w:rPr>
        <w:t>）</w:t>
      </w:r>
    </w:p>
    <w:p w14:paraId="0018B03B">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12</w:t>
      </w:r>
      <w:r>
        <w:rPr>
          <w:rFonts w:hint="eastAsia"/>
          <w:color w:val="auto"/>
          <w:highlight w:val="none"/>
          <w:lang w:eastAsia="zh-CN"/>
        </w:rPr>
        <w:t>）</w:t>
      </w:r>
      <w:r>
        <w:rPr>
          <w:rFonts w:hint="eastAsia" w:ascii="Times New Roman" w:hAnsi="Times New Roman" w:eastAsia="宋体" w:cs="宋体"/>
          <w:color w:val="auto"/>
          <w:highlight w:val="none"/>
        </w:rPr>
        <w:t>其他项目清单计价表（表-1</w:t>
      </w:r>
      <w:r>
        <w:rPr>
          <w:rFonts w:hint="eastAsia" w:cs="宋体"/>
          <w:color w:val="auto"/>
          <w:highlight w:val="none"/>
          <w:lang w:val="en-US" w:eastAsia="zh-CN"/>
        </w:rPr>
        <w:t>4</w:t>
      </w:r>
      <w:r>
        <w:rPr>
          <w:rFonts w:hint="eastAsia" w:ascii="Times New Roman" w:hAnsi="Times New Roman" w:eastAsia="宋体" w:cs="宋体"/>
          <w:color w:val="auto"/>
          <w:highlight w:val="none"/>
        </w:rPr>
        <w:t>）</w:t>
      </w:r>
    </w:p>
    <w:p w14:paraId="03EFFC4D">
      <w:pPr>
        <w:spacing w:line="360" w:lineRule="auto"/>
        <w:ind w:firstLine="630" w:firstLineChars="300"/>
        <w:jc w:val="left"/>
        <w:rPr>
          <w:rFonts w:hint="eastAsia" w:ascii="Times New Roman" w:hAnsi="Times New Roman" w:eastAsia="宋体" w:cs="宋体"/>
          <w:color w:val="auto"/>
          <w:highlight w:val="none"/>
        </w:rPr>
      </w:pPr>
      <w:r>
        <w:rPr>
          <w:rFonts w:hint="eastAsia" w:cs="宋体"/>
          <w:b w:val="0"/>
          <w:bCs w:val="0"/>
          <w:color w:val="auto"/>
          <w:sz w:val="21"/>
          <w:szCs w:val="21"/>
          <w:highlight w:val="none"/>
          <w:lang w:val="en-US" w:eastAsia="zh-CN"/>
        </w:rPr>
        <w:t>（13）</w:t>
      </w:r>
      <w:r>
        <w:rPr>
          <w:rFonts w:hint="eastAsia" w:ascii="Times New Roman" w:hAnsi="Times New Roman" w:eastAsia="宋体" w:cs="宋体"/>
          <w:b w:val="0"/>
          <w:color w:val="auto"/>
          <w:sz w:val="21"/>
          <w:szCs w:val="21"/>
          <w:highlight w:val="none"/>
        </w:rPr>
        <w:t>材料暂估价</w:t>
      </w:r>
      <w:r>
        <w:rPr>
          <w:rFonts w:hint="eastAsia" w:cs="宋体"/>
          <w:color w:val="auto"/>
          <w:highlight w:val="none"/>
          <w:lang w:val="en-US" w:eastAsia="zh-CN"/>
        </w:rPr>
        <w:t>明细</w:t>
      </w:r>
      <w:r>
        <w:rPr>
          <w:rFonts w:hint="eastAsia" w:ascii="Times New Roman" w:hAnsi="Times New Roman" w:eastAsia="宋体" w:cs="宋体"/>
          <w:b w:val="0"/>
          <w:color w:val="auto"/>
          <w:sz w:val="21"/>
          <w:szCs w:val="21"/>
          <w:highlight w:val="none"/>
        </w:rPr>
        <w:t>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w:t>
      </w:r>
      <w:r>
        <w:rPr>
          <w:rFonts w:hint="eastAsia" w:ascii="Times New Roman" w:hAnsi="Times New Roman" w:eastAsia="宋体" w:cs="宋体"/>
          <w:color w:val="auto"/>
          <w:highlight w:val="none"/>
        </w:rPr>
        <w:t>1</w:t>
      </w:r>
      <w:r>
        <w:rPr>
          <w:rFonts w:hint="eastAsia" w:cs="宋体"/>
          <w:color w:val="auto"/>
          <w:highlight w:val="none"/>
          <w:lang w:val="en-US" w:eastAsia="zh-CN"/>
        </w:rPr>
        <w:t>4</w:t>
      </w:r>
      <w:r>
        <w:rPr>
          <w:rFonts w:hint="eastAsia" w:ascii="Times New Roman" w:hAnsi="Times New Roman" w:eastAsia="宋体" w:cs="宋体"/>
          <w:color w:val="auto"/>
          <w:highlight w:val="none"/>
          <w:lang w:val="en-US" w:eastAsia="zh-CN"/>
        </w:rPr>
        <w:t>-1</w:t>
      </w:r>
      <w:r>
        <w:rPr>
          <w:rFonts w:hint="eastAsia" w:ascii="Times New Roman" w:hAnsi="Times New Roman" w:eastAsia="宋体" w:cs="宋体"/>
          <w:color w:val="auto"/>
          <w:highlight w:val="none"/>
        </w:rPr>
        <w:t>）</w:t>
      </w:r>
    </w:p>
    <w:p w14:paraId="2F0B21D1">
      <w:pPr>
        <w:spacing w:line="360" w:lineRule="auto"/>
        <w:ind w:firstLine="630" w:firstLineChars="300"/>
        <w:jc w:val="left"/>
        <w:rPr>
          <w:color w:val="auto"/>
          <w:highlight w:val="none"/>
        </w:rPr>
      </w:pPr>
      <w:r>
        <w:rPr>
          <w:rFonts w:hint="eastAsia" w:cs="宋体"/>
          <w:b w:val="0"/>
          <w:bCs w:val="0"/>
          <w:color w:val="auto"/>
          <w:sz w:val="21"/>
          <w:szCs w:val="21"/>
          <w:highlight w:val="none"/>
          <w:lang w:val="en-US" w:eastAsia="zh-CN"/>
        </w:rPr>
        <w:t>（14）</w:t>
      </w:r>
      <w:r>
        <w:rPr>
          <w:rFonts w:hint="eastAsia" w:cs="宋体"/>
          <w:color w:val="auto"/>
          <w:highlight w:val="none"/>
        </w:rPr>
        <w:t>专业工程暂估价</w:t>
      </w:r>
      <w:r>
        <w:rPr>
          <w:rFonts w:hint="eastAsia" w:cs="宋体"/>
          <w:color w:val="auto"/>
          <w:highlight w:val="none"/>
          <w:lang w:val="en-US" w:eastAsia="zh-CN"/>
        </w:rPr>
        <w:t>明细</w:t>
      </w:r>
      <w:r>
        <w:rPr>
          <w:rFonts w:hint="eastAsia" w:cs="宋体"/>
          <w:color w:val="auto"/>
          <w:highlight w:val="none"/>
        </w:rPr>
        <w:t>表（表</w:t>
      </w:r>
      <w:r>
        <w:rPr>
          <w:rFonts w:hint="eastAsia" w:cs="宋体"/>
          <w:color w:val="auto"/>
          <w:highlight w:val="none"/>
          <w:lang w:val="en-US" w:eastAsia="zh-CN"/>
        </w:rPr>
        <w:t>-</w:t>
      </w:r>
      <w:r>
        <w:rPr>
          <w:color w:val="auto"/>
          <w:highlight w:val="none"/>
        </w:rPr>
        <w:t>1</w:t>
      </w:r>
      <w:r>
        <w:rPr>
          <w:rFonts w:hint="eastAsia"/>
          <w:color w:val="auto"/>
          <w:highlight w:val="none"/>
          <w:lang w:val="en-US" w:eastAsia="zh-CN"/>
        </w:rPr>
        <w:t>4-2</w:t>
      </w:r>
      <w:r>
        <w:rPr>
          <w:rFonts w:hint="eastAsia" w:cs="宋体"/>
          <w:color w:val="auto"/>
          <w:highlight w:val="none"/>
        </w:rPr>
        <w:t>）</w:t>
      </w:r>
    </w:p>
    <w:p w14:paraId="1A55C4A3">
      <w:pPr>
        <w:spacing w:line="360" w:lineRule="auto"/>
        <w:ind w:firstLine="630" w:firstLineChars="300"/>
        <w:jc w:val="left"/>
        <w:rPr>
          <w:color w:val="auto"/>
          <w:highlight w:val="none"/>
        </w:rPr>
      </w:pPr>
      <w:r>
        <w:rPr>
          <w:rFonts w:hint="eastAsia" w:cs="宋体"/>
          <w:b w:val="0"/>
          <w:bCs w:val="0"/>
          <w:color w:val="auto"/>
          <w:sz w:val="21"/>
          <w:szCs w:val="21"/>
          <w:highlight w:val="none"/>
          <w:lang w:val="en-US" w:eastAsia="zh-CN"/>
        </w:rPr>
        <w:t>（15）</w:t>
      </w:r>
      <w:r>
        <w:rPr>
          <w:rFonts w:hint="eastAsia" w:cs="宋体"/>
          <w:color w:val="auto"/>
          <w:highlight w:val="none"/>
          <w:lang w:val="en-US" w:eastAsia="zh-CN"/>
        </w:rPr>
        <w:t>暂列金额明细表</w:t>
      </w:r>
      <w:r>
        <w:rPr>
          <w:rFonts w:hint="eastAsia" w:cs="宋体"/>
          <w:color w:val="auto"/>
          <w:highlight w:val="none"/>
        </w:rPr>
        <w:t>（表</w:t>
      </w:r>
      <w:r>
        <w:rPr>
          <w:rFonts w:hint="eastAsia" w:cs="宋体"/>
          <w:color w:val="auto"/>
          <w:highlight w:val="none"/>
          <w:lang w:val="en-US" w:eastAsia="zh-CN"/>
        </w:rPr>
        <w:t>-</w:t>
      </w:r>
      <w:r>
        <w:rPr>
          <w:color w:val="auto"/>
          <w:highlight w:val="none"/>
        </w:rPr>
        <w:t>1</w:t>
      </w:r>
      <w:r>
        <w:rPr>
          <w:rFonts w:hint="eastAsia"/>
          <w:color w:val="auto"/>
          <w:highlight w:val="none"/>
          <w:lang w:val="en-US" w:eastAsia="zh-CN"/>
        </w:rPr>
        <w:t>4-3</w:t>
      </w:r>
      <w:r>
        <w:rPr>
          <w:rFonts w:hint="eastAsia" w:cs="宋体"/>
          <w:color w:val="auto"/>
          <w:highlight w:val="none"/>
        </w:rPr>
        <w:t>）</w:t>
      </w:r>
    </w:p>
    <w:p w14:paraId="51A4C43E">
      <w:pPr>
        <w:spacing w:line="360" w:lineRule="auto"/>
        <w:ind w:firstLine="630" w:firstLineChars="300"/>
        <w:jc w:val="left"/>
        <w:rPr>
          <w:rFonts w:hint="eastAsia"/>
          <w:color w:val="auto"/>
          <w:highlight w:val="none"/>
          <w:lang w:eastAsia="zh-CN"/>
        </w:rPr>
      </w:pPr>
      <w:r>
        <w:rPr>
          <w:rFonts w:hint="eastAsia" w:cs="宋体"/>
          <w:b w:val="0"/>
          <w:bCs w:val="0"/>
          <w:color w:val="auto"/>
          <w:sz w:val="21"/>
          <w:szCs w:val="21"/>
          <w:highlight w:val="none"/>
          <w:lang w:val="en-US" w:eastAsia="zh-CN"/>
        </w:rPr>
        <w:t>（16）</w:t>
      </w:r>
      <w:r>
        <w:rPr>
          <w:rFonts w:hint="eastAsia" w:cs="宋体"/>
          <w:color w:val="auto"/>
          <w:highlight w:val="none"/>
        </w:rPr>
        <w:t>总承包服</w:t>
      </w:r>
      <w:r>
        <w:rPr>
          <w:rFonts w:hint="default" w:ascii="Times New Roman" w:hAnsi="Times New Roman" w:eastAsia="宋体" w:cs="宋体"/>
          <w:color w:val="auto"/>
          <w:highlight w:val="none"/>
          <w:lang w:val="en"/>
        </w:rPr>
        <w:t>务费计价表（表</w:t>
      </w:r>
      <w:r>
        <w:rPr>
          <w:rFonts w:hint="default" w:ascii="Times New Roman" w:hAnsi="Times New Roman" w:eastAsia="宋体" w:cs="宋体"/>
          <w:color w:val="auto"/>
          <w:highlight w:val="none"/>
          <w:lang w:val="en" w:eastAsia="zh-CN"/>
        </w:rPr>
        <w:t>-</w:t>
      </w:r>
      <w:r>
        <w:rPr>
          <w:rFonts w:hint="eastAsia" w:ascii="Times New Roman" w:hAnsi="Times New Roman" w:eastAsia="宋体" w:cs="宋体"/>
          <w:color w:val="auto"/>
          <w:highlight w:val="none"/>
          <w:lang w:val="en"/>
        </w:rPr>
        <w:t>1</w:t>
      </w:r>
      <w:r>
        <w:rPr>
          <w:rFonts w:hint="eastAsia" w:cs="宋体"/>
          <w:color w:val="auto"/>
          <w:highlight w:val="none"/>
          <w:lang w:val="en-US" w:eastAsia="zh-CN"/>
        </w:rPr>
        <w:t>4</w:t>
      </w:r>
      <w:r>
        <w:rPr>
          <w:rFonts w:hint="eastAsia" w:ascii="Times New Roman" w:hAnsi="Times New Roman" w:eastAsia="宋体" w:cs="宋体"/>
          <w:color w:val="auto"/>
          <w:highlight w:val="none"/>
          <w:lang w:val="en-US" w:eastAsia="zh-CN"/>
        </w:rPr>
        <w:t>-4</w:t>
      </w:r>
      <w:r>
        <w:rPr>
          <w:rFonts w:hint="default" w:ascii="Times New Roman" w:hAnsi="Times New Roman" w:eastAsia="宋体" w:cs="宋体"/>
          <w:color w:val="auto"/>
          <w:highlight w:val="none"/>
          <w:lang w:val="en"/>
        </w:rPr>
        <w:t>）</w:t>
      </w:r>
    </w:p>
    <w:p w14:paraId="318E6FDA">
      <w:pPr>
        <w:spacing w:line="360" w:lineRule="auto"/>
        <w:ind w:firstLine="630" w:firstLineChars="300"/>
        <w:jc w:val="left"/>
        <w:rPr>
          <w:rFonts w:hint="eastAsia" w:ascii="Times New Roman" w:hAnsi="Times New Roman" w:eastAsia="宋体" w:cs="宋体"/>
          <w:color w:val="auto"/>
          <w:highlight w:val="none"/>
          <w:lang w:val="en" w:eastAsia="zh-CN"/>
        </w:rPr>
      </w:pPr>
      <w:r>
        <w:rPr>
          <w:rFonts w:hint="eastAsia"/>
          <w:color w:val="auto"/>
          <w:highlight w:val="none"/>
          <w:lang w:eastAsia="zh-CN"/>
        </w:rPr>
        <w:t>（</w:t>
      </w:r>
      <w:r>
        <w:rPr>
          <w:rFonts w:hint="eastAsia"/>
          <w:color w:val="auto"/>
          <w:highlight w:val="none"/>
          <w:lang w:val="en-US" w:eastAsia="zh-CN"/>
        </w:rPr>
        <w:t>17</w:t>
      </w:r>
      <w:r>
        <w:rPr>
          <w:rFonts w:hint="eastAsia"/>
          <w:color w:val="auto"/>
          <w:highlight w:val="none"/>
          <w:lang w:eastAsia="zh-CN"/>
        </w:rPr>
        <w:t>）</w:t>
      </w:r>
      <w:r>
        <w:rPr>
          <w:rFonts w:hint="default" w:ascii="Times New Roman" w:hAnsi="Times New Roman" w:eastAsia="宋体" w:cs="宋体"/>
          <w:b w:val="0"/>
          <w:color w:val="auto"/>
          <w:sz w:val="21"/>
          <w:szCs w:val="21"/>
          <w:highlight w:val="none"/>
          <w:lang w:val="en"/>
        </w:rPr>
        <w:t>发包人提供材料一览表</w:t>
      </w:r>
      <w:r>
        <w:rPr>
          <w:rFonts w:hint="default" w:ascii="Times New Roman" w:hAnsi="Times New Roman" w:eastAsia="宋体" w:cs="宋体"/>
          <w:color w:val="auto"/>
          <w:highlight w:val="none"/>
          <w:lang w:val="en"/>
        </w:rPr>
        <w:t>（表</w:t>
      </w:r>
      <w:r>
        <w:rPr>
          <w:rFonts w:hint="default" w:ascii="Times New Roman" w:hAnsi="Times New Roman" w:eastAsia="宋体" w:cs="宋体"/>
          <w:color w:val="auto"/>
          <w:highlight w:val="none"/>
          <w:lang w:val="en" w:eastAsia="zh-CN"/>
        </w:rPr>
        <w:t>-</w:t>
      </w:r>
      <w:r>
        <w:rPr>
          <w:rFonts w:hint="eastAsia" w:cs="宋体"/>
          <w:color w:val="auto"/>
          <w:highlight w:val="none"/>
          <w:lang w:val="en-US" w:eastAsia="zh-CN"/>
        </w:rPr>
        <w:t>15</w:t>
      </w:r>
      <w:r>
        <w:rPr>
          <w:rFonts w:hint="default" w:ascii="Times New Roman" w:hAnsi="Times New Roman" w:eastAsia="宋体" w:cs="宋体"/>
          <w:color w:val="auto"/>
          <w:highlight w:val="none"/>
          <w:lang w:val="en"/>
        </w:rPr>
        <w:t>）</w:t>
      </w:r>
    </w:p>
    <w:p w14:paraId="0F61606C">
      <w:pPr>
        <w:spacing w:line="360" w:lineRule="auto"/>
        <w:ind w:firstLine="630" w:firstLineChars="300"/>
        <w:jc w:val="left"/>
        <w:rPr>
          <w:rFonts w:ascii="Times New Roman" w:hAnsi="Times New Roman" w:eastAsia="宋体" w:cs="宋体"/>
          <w:color w:val="auto"/>
          <w:highlight w:val="none"/>
          <w:lang w:val="en"/>
        </w:rPr>
      </w:pPr>
      <w:r>
        <w:rPr>
          <w:rFonts w:hint="eastAsia"/>
          <w:color w:val="auto"/>
          <w:highlight w:val="none"/>
          <w:lang w:eastAsia="zh-CN"/>
        </w:rPr>
        <w:t>（</w:t>
      </w:r>
      <w:r>
        <w:rPr>
          <w:rFonts w:hint="eastAsia"/>
          <w:color w:val="auto"/>
          <w:highlight w:val="none"/>
          <w:lang w:val="en-US" w:eastAsia="zh-CN"/>
        </w:rPr>
        <w:t>18</w:t>
      </w:r>
      <w:r>
        <w:rPr>
          <w:rFonts w:hint="eastAsia"/>
          <w:color w:val="auto"/>
          <w:highlight w:val="none"/>
          <w:lang w:eastAsia="zh-CN"/>
        </w:rPr>
        <w:t>）</w:t>
      </w:r>
      <w:r>
        <w:rPr>
          <w:rFonts w:hint="eastAsia" w:ascii="Times New Roman" w:hAnsi="Times New Roman" w:eastAsia="宋体" w:cs="宋体"/>
          <w:color w:val="auto"/>
          <w:highlight w:val="none"/>
          <w:lang w:val="en"/>
        </w:rPr>
        <w:t>允许调整价格的主要材料一览表</w:t>
      </w:r>
      <w:r>
        <w:rPr>
          <w:rFonts w:hint="default" w:ascii="Times New Roman" w:hAnsi="Times New Roman" w:eastAsia="宋体" w:cs="宋体"/>
          <w:color w:val="auto"/>
          <w:highlight w:val="none"/>
          <w:lang w:val="en"/>
        </w:rPr>
        <w:t>（表-</w:t>
      </w:r>
      <w:r>
        <w:rPr>
          <w:rFonts w:hint="default" w:ascii="Times New Roman" w:hAnsi="Times New Roman" w:eastAsia="宋体" w:cs="宋体"/>
          <w:color w:val="auto"/>
          <w:highlight w:val="none"/>
          <w:lang w:val="en" w:eastAsia="zh-CN"/>
        </w:rPr>
        <w:t>1</w:t>
      </w:r>
      <w:r>
        <w:rPr>
          <w:rFonts w:hint="eastAsia" w:cs="宋体"/>
          <w:color w:val="auto"/>
          <w:highlight w:val="none"/>
          <w:lang w:val="en-US" w:eastAsia="zh-CN"/>
        </w:rPr>
        <w:t>6</w:t>
      </w:r>
      <w:r>
        <w:rPr>
          <w:rFonts w:hint="eastAsia" w:ascii="Times New Roman" w:hAnsi="Times New Roman" w:eastAsia="宋体" w:cs="宋体"/>
          <w:color w:val="auto"/>
          <w:highlight w:val="none"/>
          <w:lang w:val="en" w:eastAsia="zh-CN"/>
        </w:rPr>
        <w:t>，</w:t>
      </w:r>
      <w:r>
        <w:rPr>
          <w:rFonts w:hint="eastAsia" w:ascii="Times New Roman" w:hAnsi="Times New Roman" w:eastAsia="宋体" w:cs="宋体"/>
          <w:color w:val="auto"/>
          <w:highlight w:val="none"/>
          <w:lang w:val="en-US" w:eastAsia="zh-CN"/>
        </w:rPr>
        <w:t>适用于单价合同</w:t>
      </w:r>
      <w:r>
        <w:rPr>
          <w:rFonts w:hint="default" w:ascii="Times New Roman" w:hAnsi="Times New Roman" w:eastAsia="宋体" w:cs="宋体"/>
          <w:color w:val="auto"/>
          <w:highlight w:val="none"/>
          <w:lang w:val="en"/>
        </w:rPr>
        <w:t>）</w:t>
      </w:r>
    </w:p>
    <w:p w14:paraId="03939A75">
      <w:pPr>
        <w:spacing w:line="360" w:lineRule="auto"/>
        <w:ind w:firstLine="630" w:firstLineChars="300"/>
        <w:jc w:val="left"/>
        <w:rPr>
          <w:rFonts w:hint="default" w:ascii="Times New Roman" w:hAnsi="Times New Roman" w:eastAsia="宋体" w:cs="宋体"/>
          <w:color w:val="auto"/>
          <w:highlight w:val="none"/>
          <w:lang w:val="en"/>
        </w:rPr>
      </w:pPr>
      <w:r>
        <w:rPr>
          <w:rFonts w:hint="eastAsia"/>
          <w:color w:val="auto"/>
          <w:highlight w:val="none"/>
          <w:lang w:eastAsia="zh-CN"/>
        </w:rPr>
        <w:t>（</w:t>
      </w:r>
      <w:r>
        <w:rPr>
          <w:rFonts w:hint="eastAsia"/>
          <w:color w:val="auto"/>
          <w:highlight w:val="none"/>
          <w:lang w:val="en-US" w:eastAsia="zh-CN"/>
        </w:rPr>
        <w:t>19</w:t>
      </w:r>
      <w:r>
        <w:rPr>
          <w:rFonts w:hint="eastAsia"/>
          <w:color w:val="auto"/>
          <w:highlight w:val="none"/>
          <w:lang w:eastAsia="zh-CN"/>
        </w:rPr>
        <w:t>）</w:t>
      </w:r>
      <w:r>
        <w:rPr>
          <w:rFonts w:hint="eastAsia" w:ascii="Times New Roman" w:hAnsi="Times New Roman" w:eastAsia="宋体" w:cs="宋体"/>
          <w:color w:val="auto"/>
          <w:highlight w:val="none"/>
          <w:lang w:eastAsia="zh-CN"/>
        </w:rPr>
        <w:t>人工及主要材料可调因子价格指数及</w:t>
      </w:r>
      <w:r>
        <w:rPr>
          <w:rFonts w:hint="eastAsia" w:ascii="Times New Roman" w:hAnsi="Times New Roman" w:eastAsia="宋体" w:cs="宋体"/>
          <w:color w:val="auto"/>
          <w:highlight w:val="none"/>
        </w:rPr>
        <w:t>权重表</w:t>
      </w:r>
      <w:r>
        <w:rPr>
          <w:rFonts w:hint="default" w:ascii="Times New Roman" w:hAnsi="Times New Roman" w:eastAsia="宋体" w:cs="宋体"/>
          <w:color w:val="auto"/>
          <w:highlight w:val="none"/>
          <w:lang w:val="en"/>
        </w:rPr>
        <w:t>（表</w:t>
      </w:r>
      <w:r>
        <w:rPr>
          <w:rFonts w:hint="eastAsia" w:ascii="Times New Roman" w:hAnsi="Times New Roman" w:eastAsia="宋体" w:cs="宋体"/>
          <w:color w:val="auto"/>
          <w:highlight w:val="none"/>
          <w:lang w:val="en"/>
        </w:rPr>
        <w:t>-</w:t>
      </w:r>
      <w:r>
        <w:rPr>
          <w:rFonts w:hint="eastAsia" w:cs="宋体"/>
          <w:color w:val="auto"/>
          <w:highlight w:val="none"/>
          <w:lang w:val="en-US" w:eastAsia="zh-CN"/>
        </w:rPr>
        <w:t>17</w:t>
      </w:r>
      <w:r>
        <w:rPr>
          <w:rFonts w:hint="eastAsia" w:ascii="Times New Roman" w:hAnsi="Times New Roman" w:eastAsia="宋体" w:cs="宋体"/>
          <w:color w:val="auto"/>
          <w:highlight w:val="none"/>
          <w:lang w:val="en" w:eastAsia="zh-CN"/>
        </w:rPr>
        <w:t>，</w:t>
      </w:r>
      <w:r>
        <w:rPr>
          <w:rFonts w:hint="eastAsia" w:ascii="Times New Roman" w:hAnsi="Times New Roman" w:eastAsia="宋体" w:cs="宋体"/>
          <w:color w:val="auto"/>
          <w:highlight w:val="none"/>
          <w:lang w:val="en-US" w:eastAsia="zh-CN"/>
        </w:rPr>
        <w:t>适用于总价合同</w:t>
      </w:r>
      <w:r>
        <w:rPr>
          <w:rFonts w:hint="default" w:ascii="Times New Roman" w:hAnsi="Times New Roman" w:eastAsia="宋体" w:cs="宋体"/>
          <w:color w:val="auto"/>
          <w:highlight w:val="none"/>
          <w:lang w:val="en"/>
        </w:rPr>
        <w:t>）</w:t>
      </w:r>
    </w:p>
    <w:p w14:paraId="6FBDDD49">
      <w:pPr>
        <w:spacing w:line="360" w:lineRule="auto"/>
        <w:ind w:firstLine="630" w:firstLineChars="300"/>
        <w:jc w:val="left"/>
        <w:rPr>
          <w:rFonts w:hint="eastAsia" w:ascii="Times New Roman" w:hAnsi="Times New Roman" w:eastAsia="宋体" w:cs="宋体"/>
          <w:color w:val="auto"/>
          <w:highlight w:val="none"/>
          <w:lang w:val="en-US" w:eastAsia="zh-CN"/>
        </w:rPr>
      </w:pPr>
      <w:r>
        <w:rPr>
          <w:rFonts w:hint="eastAsia" w:cs="宋体"/>
          <w:color w:val="auto"/>
          <w:highlight w:val="none"/>
        </w:rPr>
        <w:t>注：以</w:t>
      </w:r>
      <w:r>
        <w:rPr>
          <w:rFonts w:hint="eastAsia" w:cs="宋体"/>
          <w:color w:val="auto"/>
          <w:highlight w:val="none"/>
          <w:lang w:val="en-US" w:eastAsia="zh-CN"/>
        </w:rPr>
        <w:t>上（13）</w:t>
      </w:r>
      <w:r>
        <w:rPr>
          <w:rFonts w:hint="eastAsia" w:cs="宋体"/>
          <w:color w:val="auto"/>
          <w:highlight w:val="none"/>
          <w:lang w:eastAsia="zh-CN"/>
        </w:rPr>
        <w:t>（</w:t>
      </w:r>
      <w:r>
        <w:rPr>
          <w:rFonts w:hint="eastAsia" w:cs="宋体"/>
          <w:color w:val="auto"/>
          <w:highlight w:val="none"/>
          <w:lang w:val="en-US" w:eastAsia="zh-CN"/>
        </w:rPr>
        <w:t>14</w:t>
      </w:r>
      <w:r>
        <w:rPr>
          <w:rFonts w:hint="eastAsia" w:cs="宋体"/>
          <w:color w:val="auto"/>
          <w:highlight w:val="none"/>
          <w:lang w:eastAsia="zh-CN"/>
        </w:rPr>
        <w:t>）（</w:t>
      </w:r>
      <w:r>
        <w:rPr>
          <w:rFonts w:hint="eastAsia" w:cs="宋体"/>
          <w:color w:val="auto"/>
          <w:highlight w:val="none"/>
          <w:lang w:val="en-US" w:eastAsia="zh-CN"/>
        </w:rPr>
        <w:t>15</w:t>
      </w:r>
      <w:r>
        <w:rPr>
          <w:rFonts w:hint="eastAsia" w:cs="宋体"/>
          <w:color w:val="auto"/>
          <w:highlight w:val="none"/>
          <w:lang w:eastAsia="zh-CN"/>
        </w:rPr>
        <w:t>）（</w:t>
      </w:r>
      <w:r>
        <w:rPr>
          <w:rFonts w:hint="eastAsia" w:cs="宋体"/>
          <w:color w:val="auto"/>
          <w:highlight w:val="none"/>
          <w:lang w:val="en-US" w:eastAsia="zh-CN"/>
        </w:rPr>
        <w:t>16</w:t>
      </w:r>
      <w:r>
        <w:rPr>
          <w:rFonts w:hint="eastAsia" w:cs="宋体"/>
          <w:color w:val="auto"/>
          <w:highlight w:val="none"/>
          <w:lang w:eastAsia="zh-CN"/>
        </w:rPr>
        <w:t>）（</w:t>
      </w:r>
      <w:r>
        <w:rPr>
          <w:rFonts w:hint="eastAsia" w:cs="宋体"/>
          <w:color w:val="auto"/>
          <w:highlight w:val="none"/>
          <w:lang w:val="en-US" w:eastAsia="zh-CN"/>
        </w:rPr>
        <w:t>17</w:t>
      </w:r>
      <w:r>
        <w:rPr>
          <w:rFonts w:hint="eastAsia" w:cs="宋体"/>
          <w:color w:val="auto"/>
          <w:highlight w:val="none"/>
          <w:lang w:eastAsia="zh-CN"/>
        </w:rPr>
        <w:t>）（</w:t>
      </w:r>
      <w:r>
        <w:rPr>
          <w:rFonts w:hint="eastAsia" w:cs="宋体"/>
          <w:color w:val="auto"/>
          <w:highlight w:val="none"/>
          <w:lang w:val="en-US" w:eastAsia="zh-CN"/>
        </w:rPr>
        <w:t>18</w:t>
      </w:r>
      <w:r>
        <w:rPr>
          <w:rFonts w:hint="eastAsia" w:cs="宋体"/>
          <w:color w:val="auto"/>
          <w:highlight w:val="none"/>
          <w:lang w:eastAsia="zh-CN"/>
        </w:rPr>
        <w:t>）（</w:t>
      </w:r>
      <w:r>
        <w:rPr>
          <w:rFonts w:hint="eastAsia" w:cs="宋体"/>
          <w:color w:val="auto"/>
          <w:highlight w:val="none"/>
          <w:lang w:val="en-US" w:eastAsia="zh-CN"/>
        </w:rPr>
        <w:t>19</w:t>
      </w:r>
      <w:r>
        <w:rPr>
          <w:rFonts w:hint="eastAsia" w:cs="宋体"/>
          <w:color w:val="auto"/>
          <w:highlight w:val="none"/>
          <w:lang w:eastAsia="zh-CN"/>
        </w:rPr>
        <w:t>）</w:t>
      </w:r>
      <w:r>
        <w:rPr>
          <w:rFonts w:hint="eastAsia" w:cs="宋体"/>
          <w:color w:val="auto"/>
          <w:highlight w:val="none"/>
        </w:rPr>
        <w:t>表格</w:t>
      </w:r>
      <w:r>
        <w:rPr>
          <w:rFonts w:hint="eastAsia" w:cs="宋体"/>
          <w:color w:val="auto"/>
          <w:highlight w:val="none"/>
          <w:lang w:val="en-US" w:eastAsia="zh-CN"/>
        </w:rPr>
        <w:t>根据</w:t>
      </w:r>
      <w:r>
        <w:rPr>
          <w:rFonts w:hint="eastAsia" w:cs="宋体"/>
          <w:color w:val="auto"/>
          <w:highlight w:val="none"/>
        </w:rPr>
        <w:t>工程实际需要选用</w:t>
      </w:r>
      <w:r>
        <w:rPr>
          <w:rFonts w:hint="eastAsia" w:cs="宋体"/>
          <w:color w:val="auto"/>
          <w:highlight w:val="none"/>
          <w:lang w:eastAsia="zh-CN"/>
        </w:rPr>
        <w:t>。</w:t>
      </w:r>
    </w:p>
    <w:p w14:paraId="539F42E5">
      <w:pPr>
        <w:spacing w:line="360" w:lineRule="auto"/>
        <w:ind w:firstLine="420" w:firstLineChars="200"/>
        <w:jc w:val="left"/>
        <w:rPr>
          <w:rFonts w:hint="default" w:ascii="Times New Roman" w:hAnsi="宋体" w:eastAsia="宋体" w:cs="宋体"/>
          <w:strike w:val="0"/>
          <w:color w:val="auto"/>
          <w:kern w:val="0"/>
          <w:highlight w:val="none"/>
          <w:lang w:val="en-US" w:eastAsia="zh-CN"/>
        </w:rPr>
      </w:pPr>
      <w:r>
        <w:rPr>
          <w:rFonts w:hint="eastAsia" w:ascii="Times New Roman" w:hAnsi="宋体" w:eastAsia="宋体" w:cs="宋体"/>
          <w:strike w:val="0"/>
          <w:color w:val="auto"/>
          <w:kern w:val="0"/>
          <w:highlight w:val="none"/>
          <w:lang w:val="en-US" w:eastAsia="zh-CN"/>
        </w:rPr>
        <w:t>1.12 招标工程量清单另册发放</w:t>
      </w:r>
    </w:p>
    <w:p w14:paraId="1FD00E15">
      <w:pPr>
        <w:spacing w:line="360" w:lineRule="auto"/>
        <w:ind w:firstLine="630" w:firstLineChars="300"/>
        <w:rPr>
          <w:rFonts w:hint="eastAsia"/>
          <w:color w:val="auto"/>
          <w:highlight w:val="none"/>
        </w:rPr>
      </w:pPr>
    </w:p>
    <w:p w14:paraId="23E88892">
      <w:pPr>
        <w:pStyle w:val="4"/>
        <w:rPr>
          <w:color w:val="auto"/>
          <w:highlight w:val="none"/>
        </w:rPr>
      </w:pPr>
      <w:bookmarkStart w:id="1943" w:name="_Toc24340"/>
      <w:r>
        <w:rPr>
          <w:color w:val="auto"/>
          <w:highlight w:val="none"/>
        </w:rPr>
        <w:t xml:space="preserve">2 </w:t>
      </w:r>
      <w:r>
        <w:rPr>
          <w:rFonts w:hint="default" w:cs="黑体"/>
          <w:color w:val="auto"/>
          <w:highlight w:val="none"/>
          <w:lang w:val="en"/>
        </w:rPr>
        <w:t>最高投标限价</w:t>
      </w:r>
      <w:r>
        <w:rPr>
          <w:rFonts w:hint="eastAsia" w:cs="黑体"/>
          <w:color w:val="auto"/>
          <w:highlight w:val="none"/>
        </w:rPr>
        <w:t>编制说明</w:t>
      </w:r>
      <w:bookmarkEnd w:id="1943"/>
    </w:p>
    <w:p w14:paraId="1F9D0F59">
      <w:pPr>
        <w:spacing w:line="360" w:lineRule="auto"/>
        <w:ind w:firstLine="420" w:firstLineChars="200"/>
        <w:outlineLvl w:val="9"/>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.1编制依据：</w:t>
      </w:r>
    </w:p>
    <w:p w14:paraId="5D5BE103">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left"/>
        <w:textAlignment w:val="auto"/>
        <w:rPr>
          <w:rFonts w:hint="default" w:ascii="宋体" w:hAnsi="宋体" w:cs="宋体"/>
          <w:b w:val="0"/>
          <w:bCs/>
          <w:color w:val="auto"/>
          <w:sz w:val="21"/>
          <w:szCs w:val="21"/>
          <w:highlight w:val="none"/>
          <w:lang w:val="en" w:eastAsia="zh-CN"/>
        </w:rPr>
      </w:pPr>
      <w:r>
        <w:rPr>
          <w:rFonts w:hint="eastAsia" w:ascii="宋体" w:hAnsi="宋体" w:cs="宋体"/>
          <w:b/>
          <w:bCs w:val="0"/>
          <w:color w:val="auto"/>
          <w:sz w:val="21"/>
          <w:szCs w:val="21"/>
          <w:highlight w:val="none"/>
          <w:lang w:val="en-US" w:eastAsia="zh-CN"/>
        </w:rPr>
        <w:t>（1）</w:t>
      </w:r>
      <w:r>
        <w:rPr>
          <w:rFonts w:hint="default" w:ascii="宋体" w:hAnsi="宋体" w:cs="宋体"/>
          <w:b w:val="0"/>
          <w:bCs/>
          <w:color w:val="auto"/>
          <w:sz w:val="21"/>
          <w:szCs w:val="21"/>
          <w:highlight w:val="none"/>
          <w:lang w:val="en" w:eastAsia="zh-CN"/>
        </w:rPr>
        <w:t>自治区建设行政主管部门颁发的</w:t>
      </w:r>
      <w:r>
        <w:rPr>
          <w:rFonts w:hint="eastAsia" w:ascii="宋体" w:hAnsi="宋体" w:cs="宋体"/>
          <w:b w:val="0"/>
          <w:bCs/>
          <w:color w:val="auto"/>
          <w:sz w:val="21"/>
          <w:szCs w:val="21"/>
          <w:highlight w:val="none"/>
          <w:lang w:val="en" w:eastAsia="zh-CN"/>
        </w:rPr>
        <w:t>《</w:t>
      </w:r>
      <w:r>
        <w:rPr>
          <w:rFonts w:hint="eastAsia" w:ascii="宋体" w:hAnsi="宋体" w:cs="宋体"/>
          <w:b w:val="0"/>
          <w:bCs/>
          <w:color w:val="auto"/>
          <w:sz w:val="21"/>
          <w:szCs w:val="21"/>
          <w:highlight w:val="none"/>
          <w:lang w:val="en-US" w:eastAsia="zh-CN"/>
        </w:rPr>
        <w:t>计价规范》《</w:t>
      </w:r>
      <w:r>
        <w:rPr>
          <w:rFonts w:hint="default" w:ascii="宋体" w:hAnsi="宋体" w:cs="宋体"/>
          <w:b w:val="0"/>
          <w:bCs/>
          <w:color w:val="auto"/>
          <w:sz w:val="21"/>
          <w:szCs w:val="21"/>
          <w:highlight w:val="none"/>
          <w:lang w:val="en" w:eastAsia="zh-CN"/>
        </w:rPr>
        <w:t>计算规范</w:t>
      </w:r>
      <w:r>
        <w:rPr>
          <w:rFonts w:hint="eastAsia" w:ascii="宋体" w:hAnsi="宋体" w:cs="宋体"/>
          <w:b w:val="0"/>
          <w:bCs/>
          <w:color w:val="auto"/>
          <w:sz w:val="21"/>
          <w:szCs w:val="21"/>
          <w:highlight w:val="none"/>
          <w:lang w:val="en" w:eastAsia="zh-CN"/>
        </w:rPr>
        <w:t>》，</w:t>
      </w:r>
      <w:r>
        <w:rPr>
          <w:rFonts w:hint="default" w:ascii="宋体" w:hAnsi="宋体" w:cs="宋体"/>
          <w:b w:val="0"/>
          <w:bCs/>
          <w:color w:val="auto"/>
          <w:sz w:val="21"/>
          <w:szCs w:val="21"/>
          <w:highlight w:val="none"/>
          <w:lang w:val="en" w:eastAsia="zh-CN"/>
        </w:rPr>
        <w:t>以及根据工程需要补充的工程量计算规则；</w:t>
      </w:r>
    </w:p>
    <w:p w14:paraId="75F5F3F5">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left"/>
        <w:textAlignment w:val="auto"/>
        <w:rPr>
          <w:rFonts w:hint="default" w:ascii="宋体" w:hAnsi="宋体" w:cs="宋体"/>
          <w:b w:val="0"/>
          <w:bCs/>
          <w:color w:val="auto"/>
          <w:sz w:val="21"/>
          <w:szCs w:val="21"/>
          <w:highlight w:val="none"/>
          <w:lang w:val="en" w:eastAsia="zh-CN"/>
        </w:rPr>
      </w:pPr>
      <w:r>
        <w:rPr>
          <w:rFonts w:hint="eastAsia" w:ascii="宋体" w:hAnsi="宋体" w:cs="宋体"/>
          <w:b/>
          <w:bCs w:val="0"/>
          <w:color w:val="auto"/>
          <w:sz w:val="21"/>
          <w:szCs w:val="21"/>
          <w:highlight w:val="none"/>
          <w:lang w:val="en-US" w:eastAsia="zh-CN"/>
        </w:rPr>
        <w:t>（2）</w:t>
      </w:r>
      <w:r>
        <w:rPr>
          <w:rFonts w:hint="default" w:ascii="宋体" w:hAnsi="宋体" w:cs="宋体"/>
          <w:b w:val="0"/>
          <w:bCs/>
          <w:color w:val="auto"/>
          <w:sz w:val="21"/>
          <w:szCs w:val="21"/>
          <w:highlight w:val="none"/>
          <w:lang w:val="en" w:eastAsia="zh-CN"/>
        </w:rPr>
        <w:t>招标文件（包括招标工程量清单、合同条款、招标图纸等）及其补遗、澄清或修改；</w:t>
      </w:r>
    </w:p>
    <w:p w14:paraId="3D64A187">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left"/>
        <w:textAlignment w:val="auto"/>
        <w:rPr>
          <w:rFonts w:hint="default" w:ascii="宋体" w:hAnsi="宋体" w:cs="宋体"/>
          <w:b w:val="0"/>
          <w:bCs/>
          <w:color w:val="auto"/>
          <w:sz w:val="21"/>
          <w:szCs w:val="21"/>
          <w:highlight w:val="none"/>
          <w:lang w:val="en" w:eastAsia="zh-CN"/>
        </w:rPr>
      </w:pPr>
      <w:r>
        <w:rPr>
          <w:rFonts w:hint="eastAsia" w:ascii="宋体" w:hAnsi="宋体" w:cs="宋体"/>
          <w:b/>
          <w:bCs w:val="0"/>
          <w:color w:val="auto"/>
          <w:sz w:val="21"/>
          <w:szCs w:val="21"/>
          <w:highlight w:val="none"/>
          <w:lang w:val="en-US" w:eastAsia="zh-CN"/>
        </w:rPr>
        <w:t>（3）</w:t>
      </w:r>
      <w:r>
        <w:rPr>
          <w:rFonts w:hint="default" w:ascii="宋体" w:hAnsi="宋体" w:cs="宋体"/>
          <w:b w:val="0"/>
          <w:bCs/>
          <w:color w:val="auto"/>
          <w:sz w:val="21"/>
          <w:szCs w:val="21"/>
          <w:highlight w:val="none"/>
          <w:lang w:val="en" w:eastAsia="zh-CN"/>
        </w:rPr>
        <w:t>与招标工程相关的标准、规范、技术资料；</w:t>
      </w:r>
    </w:p>
    <w:p w14:paraId="2AB761A0">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left"/>
        <w:textAlignment w:val="auto"/>
        <w:rPr>
          <w:rFonts w:hint="default" w:ascii="宋体" w:hAnsi="宋体" w:cs="宋体"/>
          <w:b w:val="0"/>
          <w:bCs/>
          <w:color w:val="auto"/>
          <w:sz w:val="21"/>
          <w:szCs w:val="21"/>
          <w:highlight w:val="none"/>
          <w:lang w:val="en" w:eastAsia="zh-CN"/>
        </w:rPr>
      </w:pPr>
      <w:r>
        <w:rPr>
          <w:rFonts w:hint="eastAsia" w:ascii="宋体" w:hAnsi="宋体" w:cs="宋体"/>
          <w:b/>
          <w:bCs w:val="0"/>
          <w:color w:val="auto"/>
          <w:sz w:val="21"/>
          <w:szCs w:val="21"/>
          <w:highlight w:val="none"/>
          <w:lang w:val="en-US" w:eastAsia="zh-CN"/>
        </w:rPr>
        <w:t>（4）</w:t>
      </w:r>
      <w:r>
        <w:rPr>
          <w:rFonts w:hint="default" w:ascii="宋体" w:hAnsi="宋体" w:cs="宋体"/>
          <w:b w:val="0"/>
          <w:bCs/>
          <w:color w:val="auto"/>
          <w:sz w:val="21"/>
          <w:szCs w:val="21"/>
          <w:highlight w:val="none"/>
          <w:lang w:val="en" w:eastAsia="zh-CN"/>
        </w:rPr>
        <w:t>施工现场情况、地勘水文资料、工程特点等；</w:t>
      </w:r>
    </w:p>
    <w:p w14:paraId="3EC8E5A7">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left"/>
        <w:textAlignment w:val="auto"/>
        <w:rPr>
          <w:rFonts w:hint="default" w:ascii="宋体" w:hAnsi="宋体" w:cs="宋体"/>
          <w:b w:val="0"/>
          <w:bCs/>
          <w:color w:val="auto"/>
          <w:sz w:val="21"/>
          <w:szCs w:val="21"/>
          <w:highlight w:val="none"/>
          <w:lang w:val="en" w:eastAsia="zh-CN"/>
        </w:rPr>
      </w:pPr>
      <w:r>
        <w:rPr>
          <w:rFonts w:hint="eastAsia" w:ascii="宋体" w:hAnsi="宋体" w:cs="宋体"/>
          <w:b/>
          <w:bCs w:val="0"/>
          <w:color w:val="auto"/>
          <w:sz w:val="21"/>
          <w:szCs w:val="21"/>
          <w:highlight w:val="none"/>
          <w:lang w:val="en-US" w:eastAsia="zh-CN"/>
        </w:rPr>
        <w:t>（5）</w:t>
      </w:r>
      <w:r>
        <w:rPr>
          <w:rFonts w:hint="default" w:ascii="宋体" w:hAnsi="宋体" w:cs="宋体"/>
          <w:b w:val="0"/>
          <w:bCs/>
          <w:color w:val="auto"/>
          <w:sz w:val="21"/>
          <w:szCs w:val="21"/>
          <w:highlight w:val="none"/>
          <w:lang w:val="en" w:eastAsia="zh-CN"/>
        </w:rPr>
        <w:t>合理施工工期及常规施工工艺、顺序；</w:t>
      </w:r>
    </w:p>
    <w:p w14:paraId="447C6CCC">
      <w:pPr>
        <w:spacing w:line="360" w:lineRule="auto"/>
        <w:ind w:firstLine="422" w:firstLineChars="200"/>
        <w:rPr>
          <w:rFonts w:hint="eastAsia" w:ascii="宋体" w:hAnsi="宋体" w:cs="宋体"/>
          <w:b/>
          <w:bCs w:val="0"/>
          <w:color w:val="auto"/>
          <w:sz w:val="21"/>
          <w:szCs w:val="21"/>
          <w:highlight w:val="none"/>
          <w:u w:val="single"/>
          <w:lang w:val="en-US" w:eastAsia="zh-CN"/>
        </w:rPr>
      </w:pPr>
      <w:r>
        <w:rPr>
          <w:rFonts w:hint="eastAsia" w:ascii="宋体" w:hAnsi="宋体" w:cs="宋体"/>
          <w:b/>
          <w:bCs w:val="0"/>
          <w:color w:val="auto"/>
          <w:sz w:val="21"/>
          <w:szCs w:val="21"/>
          <w:highlight w:val="none"/>
          <w:lang w:val="en-US" w:eastAsia="zh-CN"/>
        </w:rPr>
        <w:t>（6）最高投标限价计算方法及价格来源：</w:t>
      </w:r>
      <w:r>
        <w:rPr>
          <w:rFonts w:hint="eastAsia" w:ascii="宋体" w:hAnsi="宋体" w:cs="宋体"/>
          <w:b/>
          <w:bCs w:val="0"/>
          <w:color w:val="auto"/>
          <w:sz w:val="21"/>
          <w:szCs w:val="21"/>
          <w:highlight w:val="none"/>
          <w:u w:val="single"/>
          <w:lang w:val="en-US" w:eastAsia="zh-CN"/>
        </w:rPr>
        <w:t xml:space="preserve">                              。</w:t>
      </w:r>
    </w:p>
    <w:p w14:paraId="78768414">
      <w:pPr>
        <w:spacing w:line="360" w:lineRule="auto"/>
        <w:ind w:firstLine="420" w:firstLineChars="200"/>
        <w:rPr>
          <w:color w:val="auto"/>
          <w:highlight w:val="none"/>
        </w:rPr>
      </w:pPr>
      <w:r>
        <w:rPr>
          <w:color w:val="auto"/>
          <w:highlight w:val="none"/>
        </w:rPr>
        <w:t xml:space="preserve">2.2 </w:t>
      </w:r>
      <w:r>
        <w:rPr>
          <w:rFonts w:hint="eastAsia" w:ascii="Times New Roman" w:hAnsi="Times New Roman" w:eastAsia="宋体" w:cs="宋体"/>
          <w:b w:val="0"/>
          <w:color w:val="auto"/>
          <w:sz w:val="21"/>
          <w:szCs w:val="21"/>
          <w:highlight w:val="none"/>
        </w:rPr>
        <w:t>分部分项</w:t>
      </w:r>
      <w:r>
        <w:rPr>
          <w:rFonts w:hint="eastAsia" w:ascii="Times New Roman" w:hAnsi="Times New Roman" w:eastAsia="宋体" w:cs="宋体"/>
          <w:b w:val="0"/>
          <w:color w:val="auto"/>
          <w:sz w:val="21"/>
          <w:szCs w:val="21"/>
          <w:highlight w:val="none"/>
          <w:lang w:val="en-US" w:eastAsia="zh-CN"/>
        </w:rPr>
        <w:t>工程项目清单</w:t>
      </w:r>
      <w:r>
        <w:rPr>
          <w:rFonts w:hint="eastAsia" w:hAnsi="宋体" w:cs="宋体"/>
          <w:color w:val="auto"/>
          <w:highlight w:val="none"/>
        </w:rPr>
        <w:t>综合单价包括招标文件中招标人要求投标人所承担的风险内容及其范围（幅度）产生的风险费用。</w:t>
      </w:r>
    </w:p>
    <w:p w14:paraId="05C1414D">
      <w:pPr>
        <w:spacing w:line="360" w:lineRule="auto"/>
        <w:ind w:firstLine="420"/>
        <w:rPr>
          <w:color w:val="auto"/>
          <w:highlight w:val="none"/>
        </w:rPr>
      </w:pPr>
      <w:r>
        <w:rPr>
          <w:color w:val="auto"/>
          <w:highlight w:val="none"/>
        </w:rPr>
        <w:t xml:space="preserve">2.3 </w:t>
      </w:r>
      <w:r>
        <w:rPr>
          <w:rFonts w:hint="eastAsia" w:ascii="Times New Roman" w:hAnsi="Times New Roman" w:eastAsia="宋体" w:cs="宋体"/>
          <w:b w:val="0"/>
          <w:color w:val="auto"/>
          <w:sz w:val="21"/>
          <w:szCs w:val="21"/>
          <w:highlight w:val="none"/>
        </w:rPr>
        <w:t>技术措施项目</w:t>
      </w:r>
      <w:r>
        <w:rPr>
          <w:rFonts w:hint="eastAsia" w:ascii="Times New Roman" w:hAnsi="Times New Roman" w:eastAsia="宋体" w:cs="宋体"/>
          <w:b w:val="0"/>
          <w:color w:val="auto"/>
          <w:sz w:val="21"/>
          <w:szCs w:val="21"/>
          <w:highlight w:val="none"/>
          <w:lang w:val="en-US" w:eastAsia="zh-CN"/>
        </w:rPr>
        <w:t>清单和</w:t>
      </w:r>
      <w:r>
        <w:rPr>
          <w:rFonts w:hint="eastAsia" w:hAnsi="宋体" w:cs="宋体"/>
          <w:color w:val="auto"/>
          <w:highlight w:val="none"/>
          <w:lang w:val="en-US" w:eastAsia="zh-CN"/>
        </w:rPr>
        <w:t>综合措施</w:t>
      </w:r>
      <w:r>
        <w:rPr>
          <w:rFonts w:hint="eastAsia" w:hAnsi="宋体" w:cs="宋体"/>
          <w:color w:val="auto"/>
          <w:highlight w:val="none"/>
        </w:rPr>
        <w:t>项目</w:t>
      </w:r>
      <w:r>
        <w:rPr>
          <w:rFonts w:hint="eastAsia" w:hAnsi="宋体" w:cs="宋体"/>
          <w:color w:val="auto"/>
          <w:highlight w:val="none"/>
          <w:lang w:val="en-US" w:eastAsia="zh-CN"/>
        </w:rPr>
        <w:t>清单</w:t>
      </w:r>
      <w:r>
        <w:rPr>
          <w:rFonts w:hint="eastAsia" w:hAnsi="宋体" w:cs="宋体"/>
          <w:color w:val="auto"/>
          <w:highlight w:val="none"/>
        </w:rPr>
        <w:t>根据拟定的招标文件和常规施工</w:t>
      </w:r>
      <w:r>
        <w:rPr>
          <w:rFonts w:hint="eastAsia" w:hAnsi="宋体" w:cs="宋体"/>
          <w:color w:val="auto"/>
          <w:highlight w:val="none"/>
          <w:lang w:val="en-US" w:eastAsia="zh-CN"/>
        </w:rPr>
        <w:t>工艺</w:t>
      </w:r>
      <w:r>
        <w:rPr>
          <w:rFonts w:hint="eastAsia" w:hAnsi="宋体" w:cs="宋体"/>
          <w:color w:val="auto"/>
          <w:highlight w:val="none"/>
        </w:rPr>
        <w:t>按《计价规范》和《计算规范》规定编制。</w:t>
      </w:r>
    </w:p>
    <w:p w14:paraId="38D1AF84">
      <w:pPr>
        <w:spacing w:line="360" w:lineRule="auto"/>
        <w:ind w:firstLine="420" w:firstLineChars="200"/>
        <w:rPr>
          <w:color w:val="auto"/>
          <w:highlight w:val="none"/>
        </w:rPr>
      </w:pPr>
      <w:r>
        <w:rPr>
          <w:color w:val="auto"/>
          <w:highlight w:val="none"/>
        </w:rPr>
        <w:t xml:space="preserve">2.4 </w:t>
      </w:r>
      <w:r>
        <w:rPr>
          <w:rFonts w:hint="eastAsia" w:cs="宋体"/>
          <w:color w:val="auto"/>
          <w:highlight w:val="none"/>
        </w:rPr>
        <w:t>其他项目费按下列规定</w:t>
      </w:r>
      <w:r>
        <w:rPr>
          <w:rFonts w:hint="eastAsia" w:cs="宋体"/>
          <w:color w:val="auto"/>
          <w:highlight w:val="none"/>
          <w:lang w:val="en-US" w:eastAsia="zh-CN"/>
        </w:rPr>
        <w:t>计算</w:t>
      </w:r>
      <w:r>
        <w:rPr>
          <w:rFonts w:hint="eastAsia" w:cs="宋体"/>
          <w:color w:val="auto"/>
          <w:highlight w:val="none"/>
        </w:rPr>
        <w:t>：</w:t>
      </w:r>
    </w:p>
    <w:p w14:paraId="0FF43EE0">
      <w:pPr>
        <w:spacing w:line="360" w:lineRule="auto"/>
        <w:ind w:firstLine="420" w:firstLineChars="200"/>
        <w:rPr>
          <w:rFonts w:hint="eastAsia" w:ascii="Times New Roman" w:hAnsi="Times New Roman" w:eastAsia="宋体" w:cs="宋体"/>
          <w:color w:val="auto"/>
          <w:highlight w:val="none"/>
        </w:rPr>
      </w:pPr>
      <w:r>
        <w:rPr>
          <w:rFonts w:hint="eastAsia" w:cs="宋体"/>
          <w:color w:val="auto"/>
          <w:highlight w:val="none"/>
        </w:rPr>
        <w:t>（</w:t>
      </w:r>
      <w:r>
        <w:rPr>
          <w:color w:val="auto"/>
          <w:highlight w:val="none"/>
        </w:rPr>
        <w:t>1</w:t>
      </w:r>
      <w:r>
        <w:rPr>
          <w:rFonts w:hint="eastAsia" w:cs="宋体"/>
          <w:color w:val="auto"/>
          <w:highlight w:val="none"/>
        </w:rPr>
        <w:t>）</w:t>
      </w:r>
      <w:r>
        <w:rPr>
          <w:rFonts w:hint="eastAsia" w:ascii="Times New Roman" w:hAnsi="Times New Roman" w:eastAsia="宋体" w:cs="宋体"/>
          <w:color w:val="auto"/>
          <w:highlight w:val="none"/>
        </w:rPr>
        <w:t>材料暂估价按招标工程量清单中列出的单价</w:t>
      </w:r>
      <w:r>
        <w:rPr>
          <w:rFonts w:hint="eastAsia" w:ascii="Times New Roman" w:hAnsi="Times New Roman" w:eastAsia="宋体" w:cs="宋体"/>
          <w:color w:val="auto"/>
          <w:highlight w:val="none"/>
          <w:lang w:val="en-US" w:eastAsia="zh-CN"/>
        </w:rPr>
        <w:t>计算，不计入分部分项工程项目清单综合单价</w:t>
      </w:r>
      <w:r>
        <w:rPr>
          <w:rFonts w:hint="eastAsia" w:ascii="Times New Roman" w:hAnsi="Times New Roman" w:eastAsia="宋体" w:cs="宋体"/>
          <w:color w:val="auto"/>
          <w:highlight w:val="none"/>
        </w:rPr>
        <w:t>；</w:t>
      </w:r>
    </w:p>
    <w:p w14:paraId="2978AA9B">
      <w:pPr>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（2）专业工程暂估价按招标工程量清单中列出的金额</w:t>
      </w:r>
      <w:r>
        <w:rPr>
          <w:rFonts w:hint="eastAsia" w:ascii="Times New Roman" w:hAnsi="Times New Roman" w:eastAsia="宋体" w:cs="宋体"/>
          <w:color w:val="auto"/>
          <w:highlight w:val="none"/>
          <w:lang w:val="en-US" w:eastAsia="zh-CN"/>
        </w:rPr>
        <w:t>计算</w:t>
      </w:r>
      <w:r>
        <w:rPr>
          <w:rFonts w:hint="eastAsia" w:ascii="Times New Roman" w:hAnsi="Times New Roman" w:eastAsia="宋体" w:cs="宋体"/>
          <w:color w:val="auto"/>
          <w:highlight w:val="none"/>
        </w:rPr>
        <w:t>；</w:t>
      </w:r>
    </w:p>
    <w:p w14:paraId="5475907D">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（3）暂列金额按招标工程量清单中列出的金额</w:t>
      </w:r>
      <w:r>
        <w:rPr>
          <w:rFonts w:hint="eastAsia" w:ascii="Times New Roman" w:hAnsi="Times New Roman" w:eastAsia="宋体" w:cs="宋体"/>
          <w:color w:val="auto"/>
          <w:highlight w:val="none"/>
          <w:lang w:val="en-US" w:eastAsia="zh-CN"/>
        </w:rPr>
        <w:t>计算</w:t>
      </w:r>
      <w:r>
        <w:rPr>
          <w:rFonts w:hint="eastAsia" w:ascii="Times New Roman" w:hAnsi="Times New Roman" w:eastAsia="宋体" w:cs="宋体"/>
          <w:color w:val="auto"/>
          <w:highlight w:val="none"/>
        </w:rPr>
        <w:t>；</w:t>
      </w:r>
    </w:p>
    <w:p w14:paraId="3DF8C1A1">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（4）</w:t>
      </w:r>
      <w:r>
        <w:rPr>
          <w:rFonts w:hint="eastAsia" w:ascii="Times New Roman" w:hAnsi="Times New Roman" w:eastAsia="宋体" w:cs="宋体"/>
          <w:b w:val="0"/>
          <w:bCs w:val="0"/>
          <w:color w:val="auto"/>
          <w:sz w:val="21"/>
          <w:szCs w:val="21"/>
          <w:highlight w:val="none"/>
          <w:lang w:val="zh-TW" w:eastAsia="zh-CN"/>
        </w:rPr>
        <w:t>总承包服务费按招标工程量清单列出的</w:t>
      </w:r>
      <w:r>
        <w:rPr>
          <w:rFonts w:hint="eastAsia" w:ascii="Times New Roman" w:hAnsi="Times New Roman" w:eastAsia="宋体" w:cs="宋体"/>
          <w:b w:val="0"/>
          <w:bCs w:val="0"/>
          <w:color w:val="auto"/>
          <w:sz w:val="21"/>
          <w:szCs w:val="21"/>
          <w:highlight w:val="none"/>
          <w:lang w:val="en-US" w:eastAsia="zh-CN"/>
        </w:rPr>
        <w:t>需要投标人提供服务的服务内容计价</w:t>
      </w:r>
      <w:r>
        <w:rPr>
          <w:rFonts w:hint="default" w:ascii="Times New Roman" w:hAnsi="Times New Roman" w:cs="Times New Roman"/>
          <w:color w:val="auto"/>
          <w:szCs w:val="21"/>
          <w:highlight w:val="none"/>
        </w:rPr>
        <w:t>。</w:t>
      </w:r>
    </w:p>
    <w:p w14:paraId="148D7AEA">
      <w:pPr>
        <w:spacing w:line="360" w:lineRule="auto"/>
        <w:ind w:firstLine="420" w:firstLineChars="200"/>
        <w:rPr>
          <w:rFonts w:hint="eastAsia" w:cs="宋体"/>
          <w:color w:val="auto"/>
          <w:highlight w:val="none"/>
        </w:rPr>
      </w:pPr>
      <w:r>
        <w:rPr>
          <w:color w:val="auto"/>
          <w:highlight w:val="none"/>
        </w:rPr>
        <w:t xml:space="preserve">2.5 </w:t>
      </w:r>
      <w:r>
        <w:rPr>
          <w:rFonts w:hint="eastAsia" w:ascii="Times New Roman" w:hAnsi="Times New Roman" w:eastAsia="宋体" w:cs="宋体"/>
          <w:color w:val="auto"/>
          <w:sz w:val="21"/>
          <w:szCs w:val="21"/>
          <w:highlight w:val="none"/>
        </w:rPr>
        <w:t>安全生产费</w:t>
      </w:r>
      <w:r>
        <w:rPr>
          <w:rFonts w:hint="eastAsia" w:cs="宋体"/>
          <w:color w:val="auto"/>
          <w:highlight w:val="none"/>
        </w:rPr>
        <w:t>按</w:t>
      </w:r>
      <w:r>
        <w:rPr>
          <w:rFonts w:hint="default" w:cs="宋体"/>
          <w:color w:val="auto"/>
          <w:highlight w:val="none"/>
          <w:lang w:val="en"/>
        </w:rPr>
        <w:t>建设行政主管部门有关</w:t>
      </w:r>
      <w:r>
        <w:rPr>
          <w:rFonts w:hint="eastAsia" w:cs="宋体"/>
          <w:color w:val="auto"/>
          <w:highlight w:val="none"/>
        </w:rPr>
        <w:t>规定确定，作为不可竞争费用。</w:t>
      </w:r>
    </w:p>
    <w:p w14:paraId="5503575E">
      <w:pPr>
        <w:spacing w:line="360" w:lineRule="auto"/>
        <w:ind w:firstLine="420" w:firstLineChars="200"/>
        <w:rPr>
          <w:rFonts w:hint="default" w:eastAsia="宋体" w:cs="宋体"/>
          <w:color w:val="auto"/>
          <w:highlight w:val="none"/>
          <w:lang w:val="en-US" w:eastAsia="zh-CN"/>
        </w:rPr>
      </w:pPr>
      <w:r>
        <w:rPr>
          <w:rFonts w:hint="eastAsia" w:cs="宋体"/>
          <w:color w:val="auto"/>
          <w:highlight w:val="none"/>
          <w:lang w:val="en-US" w:eastAsia="zh-CN"/>
        </w:rPr>
        <w:t>2.6</w:t>
      </w:r>
      <w:r>
        <w:rPr>
          <w:rFonts w:hint="eastAsia" w:ascii="宋体" w:hAnsi="宋体" w:eastAsia="宋体" w:cs="宋体"/>
          <w:color w:val="auto"/>
          <w:sz w:val="21"/>
          <w:szCs w:val="21"/>
          <w:highlight w:val="none"/>
          <w:lang w:val="zh-TW"/>
        </w:rPr>
        <w:t xml:space="preserve"> </w:t>
      </w:r>
      <w:r>
        <w:rPr>
          <w:rFonts w:hint="eastAsia" w:ascii="宋体" w:hAnsi="宋体" w:eastAsia="宋体" w:cs="宋体"/>
          <w:b w:val="0"/>
          <w:bCs w:val="0"/>
          <w:color w:val="auto"/>
          <w:sz w:val="21"/>
          <w:szCs w:val="21"/>
          <w:highlight w:val="none"/>
          <w:lang w:val="en-US" w:eastAsia="zh-CN"/>
        </w:rPr>
        <w:t>增值税按政府有关主管部门的规定计算</w:t>
      </w:r>
      <w:r>
        <w:rPr>
          <w:rFonts w:hint="eastAsia" w:ascii="宋体" w:hAnsi="宋体" w:cs="宋体"/>
          <w:b w:val="0"/>
          <w:bCs w:val="0"/>
          <w:color w:val="auto"/>
          <w:sz w:val="21"/>
          <w:szCs w:val="21"/>
          <w:highlight w:val="none"/>
          <w:lang w:val="en-US" w:eastAsia="zh-CN"/>
        </w:rPr>
        <w:t>。</w:t>
      </w:r>
    </w:p>
    <w:p w14:paraId="53EC858F">
      <w:pPr>
        <w:spacing w:line="360" w:lineRule="auto"/>
        <w:ind w:firstLine="420" w:firstLineChars="200"/>
        <w:rPr>
          <w:color w:val="auto"/>
          <w:highlight w:val="none"/>
        </w:rPr>
      </w:pPr>
      <w:r>
        <w:rPr>
          <w:color w:val="auto"/>
          <w:highlight w:val="none"/>
        </w:rPr>
        <w:t>2.</w:t>
      </w:r>
      <w:r>
        <w:rPr>
          <w:rFonts w:hint="eastAsia"/>
          <w:color w:val="auto"/>
          <w:highlight w:val="none"/>
          <w:lang w:val="en-US" w:eastAsia="zh-CN"/>
        </w:rPr>
        <w:t>7</w:t>
      </w:r>
      <w:r>
        <w:rPr>
          <w:color w:val="auto"/>
          <w:highlight w:val="none"/>
        </w:rPr>
        <w:t xml:space="preserve"> </w:t>
      </w:r>
      <w:r>
        <w:rPr>
          <w:rFonts w:hint="eastAsia" w:hAnsi="宋体" w:cs="宋体"/>
          <w:color w:val="auto"/>
          <w:highlight w:val="none"/>
        </w:rPr>
        <w:t>其它需要说明的问题：</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bookmarkEnd w:id="1918"/>
      <w:bookmarkEnd w:id="1939"/>
      <w:bookmarkEnd w:id="1940"/>
      <w:bookmarkEnd w:id="1941"/>
      <w:r>
        <w:rPr>
          <w:color w:val="auto"/>
          <w:highlight w:val="none"/>
        </w:rPr>
        <w:br w:type="page"/>
      </w:r>
    </w:p>
    <w:p w14:paraId="290B9B47">
      <w:pPr>
        <w:rPr>
          <w:color w:val="auto"/>
          <w:highlight w:val="none"/>
        </w:rPr>
      </w:pPr>
    </w:p>
    <w:p w14:paraId="04D9300F">
      <w:pPr>
        <w:pStyle w:val="3"/>
        <w:jc w:val="center"/>
        <w:rPr>
          <w:color w:val="auto"/>
          <w:highlight w:val="none"/>
        </w:rPr>
      </w:pPr>
      <w:bookmarkStart w:id="1944" w:name="_Toc400456622"/>
      <w:bookmarkStart w:id="1945" w:name="_Toc389065346"/>
      <w:bookmarkStart w:id="1946" w:name="_Toc30713"/>
      <w:bookmarkStart w:id="1947" w:name="_Toc358569765"/>
      <w:bookmarkStart w:id="1948" w:name="_Toc407135287"/>
      <w:bookmarkStart w:id="1949" w:name="_Toc78449872"/>
      <w:r>
        <w:rPr>
          <w:rFonts w:hint="eastAsia" w:cs="黑体"/>
          <w:color w:val="auto"/>
          <w:highlight w:val="none"/>
        </w:rPr>
        <w:t>第六章</w:t>
      </w:r>
      <w:r>
        <w:rPr>
          <w:color w:val="auto"/>
          <w:highlight w:val="none"/>
        </w:rPr>
        <w:t xml:space="preserve"> </w:t>
      </w:r>
      <w:r>
        <w:rPr>
          <w:rFonts w:hint="eastAsia" w:cs="黑体"/>
          <w:color w:val="auto"/>
          <w:highlight w:val="none"/>
        </w:rPr>
        <w:t>图</w:t>
      </w:r>
      <w:r>
        <w:rPr>
          <w:color w:val="auto"/>
          <w:highlight w:val="none"/>
        </w:rPr>
        <w:t xml:space="preserve">  </w:t>
      </w:r>
      <w:r>
        <w:rPr>
          <w:rFonts w:hint="eastAsia" w:cs="黑体"/>
          <w:color w:val="auto"/>
          <w:highlight w:val="none"/>
        </w:rPr>
        <w:t>纸</w:t>
      </w:r>
      <w:bookmarkEnd w:id="1944"/>
      <w:bookmarkEnd w:id="1945"/>
      <w:bookmarkEnd w:id="1946"/>
      <w:bookmarkEnd w:id="1947"/>
      <w:bookmarkEnd w:id="1948"/>
      <w:bookmarkEnd w:id="1949"/>
    </w:p>
    <w:p w14:paraId="323B375A">
      <w:pPr>
        <w:jc w:val="center"/>
        <w:rPr>
          <w:b/>
          <w:bCs/>
          <w:color w:val="auto"/>
          <w:sz w:val="32"/>
          <w:szCs w:val="32"/>
          <w:highlight w:val="none"/>
        </w:rPr>
      </w:pPr>
      <w:r>
        <w:rPr>
          <w:rFonts w:hint="eastAsia" w:cs="宋体"/>
          <w:b/>
          <w:bCs/>
          <w:color w:val="auto"/>
          <w:sz w:val="32"/>
          <w:szCs w:val="32"/>
          <w:highlight w:val="none"/>
        </w:rPr>
        <w:t>（请代理</w:t>
      </w:r>
      <w:r>
        <w:rPr>
          <w:rFonts w:cs="宋体"/>
          <w:b/>
          <w:bCs/>
          <w:color w:val="auto"/>
          <w:sz w:val="32"/>
          <w:szCs w:val="32"/>
          <w:highlight w:val="none"/>
        </w:rPr>
        <w:t>机构列明图纸清单</w:t>
      </w:r>
      <w:r>
        <w:rPr>
          <w:rFonts w:hint="eastAsia" w:cs="宋体"/>
          <w:b/>
          <w:bCs/>
          <w:color w:val="auto"/>
          <w:sz w:val="32"/>
          <w:szCs w:val="32"/>
          <w:highlight w:val="none"/>
        </w:rPr>
        <w:t>供</w:t>
      </w:r>
      <w:r>
        <w:rPr>
          <w:rFonts w:cs="宋体"/>
          <w:b/>
          <w:bCs/>
          <w:color w:val="auto"/>
          <w:sz w:val="32"/>
          <w:szCs w:val="32"/>
          <w:highlight w:val="none"/>
        </w:rPr>
        <w:t>投标人核对图纸完整性</w:t>
      </w:r>
      <w:r>
        <w:rPr>
          <w:rFonts w:hint="eastAsia" w:cs="宋体"/>
          <w:b/>
          <w:bCs/>
          <w:color w:val="auto"/>
          <w:sz w:val="32"/>
          <w:szCs w:val="32"/>
          <w:highlight w:val="none"/>
        </w:rPr>
        <w:t>）</w:t>
      </w:r>
    </w:p>
    <w:p w14:paraId="352B5CA4">
      <w:pPr>
        <w:pStyle w:val="3"/>
        <w:jc w:val="center"/>
        <w:rPr>
          <w:color w:val="auto"/>
          <w:highlight w:val="none"/>
        </w:rPr>
      </w:pPr>
      <w:r>
        <w:rPr>
          <w:color w:val="auto"/>
          <w:highlight w:val="none"/>
        </w:rPr>
        <w:br w:type="page"/>
      </w:r>
      <w:bookmarkStart w:id="1950" w:name="_Toc78449873"/>
      <w:bookmarkStart w:id="1951" w:name="_Toc11521"/>
      <w:bookmarkStart w:id="1952" w:name="_Toc1719832737"/>
      <w:r>
        <w:rPr>
          <w:rFonts w:hint="eastAsia" w:cs="黑体"/>
          <w:color w:val="auto"/>
          <w:highlight w:val="none"/>
        </w:rPr>
        <w:t>第七章</w:t>
      </w:r>
      <w:r>
        <w:rPr>
          <w:color w:val="auto"/>
          <w:highlight w:val="none"/>
        </w:rPr>
        <w:t xml:space="preserve"> </w:t>
      </w:r>
      <w:r>
        <w:rPr>
          <w:rFonts w:hint="eastAsia"/>
          <w:color w:val="auto"/>
          <w:highlight w:val="none"/>
        </w:rPr>
        <w:t>危险性较大的分部分项工程清单（如有）</w:t>
      </w:r>
      <w:bookmarkEnd w:id="1950"/>
      <w:bookmarkEnd w:id="1951"/>
      <w:bookmarkEnd w:id="1952"/>
    </w:p>
    <w:p w14:paraId="48AF8F44">
      <w:pPr>
        <w:jc w:val="center"/>
        <w:rPr>
          <w:color w:val="auto"/>
          <w:highlight w:val="none"/>
        </w:rPr>
      </w:pPr>
    </w:p>
    <w:p w14:paraId="52DF9D1C">
      <w:pPr>
        <w:jc w:val="center"/>
        <w:rPr>
          <w:color w:val="auto"/>
          <w:highlight w:val="none"/>
        </w:rPr>
      </w:pPr>
    </w:p>
    <w:p w14:paraId="07D44F27">
      <w:pPr>
        <w:spacing w:line="360" w:lineRule="auto"/>
        <w:ind w:firstLine="420" w:firstLineChars="200"/>
        <w:rPr>
          <w:rFonts w:hAnsi="宋体" w:cs="宋体"/>
          <w:color w:val="auto"/>
          <w:highlight w:val="none"/>
        </w:rPr>
      </w:pPr>
      <w:r>
        <w:rPr>
          <w:rFonts w:hint="eastAsia" w:hAnsi="宋体" w:cs="宋体"/>
          <w:color w:val="auto"/>
          <w:highlight w:val="none"/>
        </w:rPr>
        <w:t>本章由招标人根据国家行业和地方现行标准、规范和规程等，以及项目具体情况摘录。</w:t>
      </w:r>
    </w:p>
    <w:p w14:paraId="3ACC94B1">
      <w:pPr>
        <w:spacing w:line="360" w:lineRule="auto"/>
        <w:ind w:firstLine="420" w:firstLineChars="200"/>
        <w:rPr>
          <w:rFonts w:hint="eastAsia" w:hAnsi="宋体" w:cs="宋体"/>
          <w:color w:val="auto"/>
          <w:highlight w:val="none"/>
        </w:rPr>
      </w:pPr>
      <w:r>
        <w:rPr>
          <w:rFonts w:hint="eastAsia" w:ascii="宋体" w:hAnsi="宋体" w:cs="宋体"/>
          <w:color w:val="auto"/>
          <w:highlight w:val="none"/>
        </w:rPr>
        <w:t>《危险性较大的分部分项工程安全管理规定》（建设部令第37号）</w:t>
      </w:r>
      <w:r>
        <w:rPr>
          <w:rFonts w:hint="eastAsia" w:ascii="宋体" w:hAnsi="宋体" w:cs="宋体"/>
          <w:color w:val="auto"/>
          <w:szCs w:val="22"/>
          <w:highlight w:val="none"/>
        </w:rPr>
        <w:t>2019年修订版</w:t>
      </w:r>
      <w:r>
        <w:rPr>
          <w:rFonts w:hint="eastAsia" w:ascii="宋体" w:hAnsi="宋体" w:cs="宋体"/>
          <w:color w:val="auto"/>
          <w:highlight w:val="none"/>
        </w:rPr>
        <w:t>以及《住</w:t>
      </w:r>
      <w:r>
        <w:rPr>
          <w:rFonts w:hint="eastAsia" w:ascii="宋体" w:hAnsi="宋体" w:cs="宋体"/>
          <w:color w:val="auto"/>
          <w:highlight w:val="none"/>
          <w:lang w:eastAsia="zh-CN"/>
        </w:rPr>
        <w:t>房和</w:t>
      </w:r>
      <w:r>
        <w:rPr>
          <w:rFonts w:hint="eastAsia" w:ascii="宋体" w:hAnsi="宋体" w:cs="宋体"/>
          <w:color w:val="auto"/>
          <w:highlight w:val="none"/>
        </w:rPr>
        <w:t>城乡建设部办公厅关于实施</w:t>
      </w:r>
      <w:r>
        <w:rPr>
          <w:rFonts w:hint="eastAsia" w:ascii="宋体" w:hAnsi="宋体" w:cs="宋体"/>
          <w:color w:val="auto"/>
          <w:highlight w:val="none"/>
          <w:lang w:eastAsia="zh-CN"/>
        </w:rPr>
        <w:t>〈</w:t>
      </w:r>
      <w:r>
        <w:rPr>
          <w:rFonts w:hint="eastAsia" w:ascii="宋体" w:hAnsi="宋体" w:cs="宋体"/>
          <w:color w:val="auto"/>
          <w:highlight w:val="none"/>
        </w:rPr>
        <w:t>危险性较大的分部分项工程安全管理规定</w:t>
      </w:r>
      <w:r>
        <w:rPr>
          <w:rFonts w:hint="eastAsia" w:ascii="宋体" w:hAnsi="宋体" w:cs="宋体"/>
          <w:color w:val="auto"/>
          <w:highlight w:val="none"/>
          <w:lang w:eastAsia="zh-CN"/>
        </w:rPr>
        <w:t>〉</w:t>
      </w:r>
      <w:r>
        <w:rPr>
          <w:rFonts w:hint="eastAsia" w:ascii="宋体" w:hAnsi="宋体" w:cs="宋体"/>
          <w:color w:val="auto"/>
          <w:highlight w:val="none"/>
        </w:rPr>
        <w:t>有关问题的通知》（建办质〔</w:t>
      </w:r>
      <w:r>
        <w:rPr>
          <w:rFonts w:ascii="宋体" w:hAnsi="宋体" w:cs="宋体"/>
          <w:color w:val="auto"/>
          <w:highlight w:val="none"/>
        </w:rPr>
        <w:t>2018〕31号</w:t>
      </w:r>
      <w:r>
        <w:rPr>
          <w:rFonts w:hint="eastAsia" w:ascii="宋体" w:hAnsi="宋体" w:cs="宋体"/>
          <w:color w:val="auto"/>
          <w:highlight w:val="none"/>
        </w:rPr>
        <w:t>）。</w:t>
      </w:r>
    </w:p>
    <w:p w14:paraId="0E085624">
      <w:pPr>
        <w:jc w:val="center"/>
        <w:rPr>
          <w:rFonts w:cs="宋体"/>
          <w:color w:val="auto"/>
          <w:sz w:val="28"/>
          <w:szCs w:val="28"/>
          <w:highlight w:val="none"/>
        </w:rPr>
      </w:pPr>
      <w:r>
        <w:rPr>
          <w:color w:val="auto"/>
          <w:highlight w:val="none"/>
        </w:rPr>
        <w:br w:type="page"/>
      </w:r>
      <w:bookmarkStart w:id="1953" w:name="_Toc358569767"/>
      <w:bookmarkStart w:id="1954" w:name="_Toc389065348"/>
      <w:bookmarkStart w:id="1955" w:name="_Toc407135288"/>
      <w:r>
        <w:rPr>
          <w:rFonts w:cs="宋体"/>
          <w:color w:val="auto"/>
          <w:sz w:val="28"/>
          <w:szCs w:val="28"/>
          <w:highlight w:val="none"/>
        </w:rPr>
        <w:t xml:space="preserve"> </w:t>
      </w:r>
    </w:p>
    <w:p w14:paraId="11A71AAF">
      <w:pPr>
        <w:pStyle w:val="3"/>
        <w:jc w:val="center"/>
        <w:rPr>
          <w:rFonts w:cs="黑体"/>
          <w:color w:val="auto"/>
          <w:highlight w:val="none"/>
        </w:rPr>
      </w:pPr>
      <w:bookmarkStart w:id="1956" w:name="_Toc8947"/>
      <w:bookmarkStart w:id="1957" w:name="_Toc1620174697"/>
      <w:bookmarkStart w:id="1958" w:name="_Toc78449874"/>
      <w:r>
        <w:rPr>
          <w:rFonts w:hint="eastAsia" w:cs="黑体"/>
          <w:color w:val="auto"/>
          <w:highlight w:val="none"/>
        </w:rPr>
        <w:t>第八章</w:t>
      </w:r>
      <w:r>
        <w:rPr>
          <w:rFonts w:cs="黑体"/>
          <w:color w:val="auto"/>
          <w:highlight w:val="none"/>
        </w:rPr>
        <w:t xml:space="preserve"> </w:t>
      </w:r>
      <w:r>
        <w:rPr>
          <w:rFonts w:hint="eastAsia" w:cs="黑体"/>
          <w:color w:val="auto"/>
          <w:highlight w:val="none"/>
        </w:rPr>
        <w:t>技术标准和要求</w:t>
      </w:r>
      <w:bookmarkEnd w:id="1953"/>
      <w:bookmarkEnd w:id="1954"/>
      <w:bookmarkEnd w:id="1955"/>
      <w:bookmarkEnd w:id="1956"/>
      <w:bookmarkEnd w:id="1957"/>
      <w:bookmarkEnd w:id="1958"/>
    </w:p>
    <w:p w14:paraId="08E4F8BC">
      <w:pPr>
        <w:jc w:val="center"/>
        <w:rPr>
          <w:color w:val="auto"/>
          <w:highlight w:val="none"/>
        </w:rPr>
      </w:pPr>
      <w:bookmarkStart w:id="1959" w:name="_Toc349557651"/>
      <w:bookmarkStart w:id="1960" w:name="_Toc349555826"/>
    </w:p>
    <w:p w14:paraId="0D4C4AF3">
      <w:pPr>
        <w:jc w:val="center"/>
        <w:rPr>
          <w:color w:val="auto"/>
          <w:highlight w:val="none"/>
        </w:rPr>
      </w:pPr>
    </w:p>
    <w:p w14:paraId="5E6A8460">
      <w:pPr>
        <w:jc w:val="center"/>
        <w:rPr>
          <w:color w:val="auto"/>
          <w:sz w:val="28"/>
          <w:szCs w:val="28"/>
          <w:highlight w:val="none"/>
        </w:rPr>
      </w:pPr>
      <w:r>
        <w:rPr>
          <w:rFonts w:hint="eastAsia" w:cs="宋体"/>
          <w:color w:val="auto"/>
          <w:sz w:val="28"/>
          <w:szCs w:val="28"/>
          <w:highlight w:val="none"/>
        </w:rPr>
        <w:t>本章由招标人根据国家行业和地方现行标准、规范和规程等，</w:t>
      </w:r>
    </w:p>
    <w:p w14:paraId="42E33D46">
      <w:pPr>
        <w:jc w:val="center"/>
        <w:rPr>
          <w:rFonts w:cs="宋体"/>
          <w:color w:val="auto"/>
          <w:sz w:val="28"/>
          <w:szCs w:val="28"/>
          <w:highlight w:val="none"/>
        </w:rPr>
      </w:pPr>
      <w:r>
        <w:rPr>
          <w:rFonts w:hint="eastAsia" w:cs="宋体"/>
          <w:color w:val="auto"/>
          <w:sz w:val="28"/>
          <w:szCs w:val="28"/>
          <w:highlight w:val="none"/>
        </w:rPr>
        <w:t>以及项目具体情况摘录。</w:t>
      </w:r>
      <w:bookmarkEnd w:id="1959"/>
      <w:bookmarkEnd w:id="1960"/>
    </w:p>
    <w:p w14:paraId="566CB67F">
      <w:pPr>
        <w:jc w:val="center"/>
        <w:rPr>
          <w:b/>
          <w:bCs/>
          <w:color w:val="auto"/>
          <w:kern w:val="44"/>
          <w:sz w:val="32"/>
          <w:szCs w:val="32"/>
          <w:highlight w:val="none"/>
        </w:rPr>
      </w:pPr>
      <w:r>
        <w:rPr>
          <w:color w:val="auto"/>
          <w:sz w:val="28"/>
          <w:szCs w:val="28"/>
          <w:highlight w:val="none"/>
        </w:rPr>
        <w:br w:type="page"/>
      </w:r>
    </w:p>
    <w:p w14:paraId="1718CFB6">
      <w:pPr>
        <w:rPr>
          <w:color w:val="auto"/>
          <w:highlight w:val="none"/>
        </w:rPr>
      </w:pPr>
    </w:p>
    <w:p w14:paraId="4CD83571">
      <w:pPr>
        <w:pStyle w:val="3"/>
        <w:jc w:val="center"/>
        <w:rPr>
          <w:color w:val="auto"/>
          <w:highlight w:val="none"/>
        </w:rPr>
      </w:pPr>
      <w:bookmarkStart w:id="1961" w:name="_Toc1978887856"/>
      <w:bookmarkStart w:id="1962" w:name="_Toc1391"/>
      <w:bookmarkStart w:id="1963" w:name="_Toc358569769"/>
      <w:bookmarkStart w:id="1964" w:name="_Toc389065350"/>
      <w:bookmarkStart w:id="1965" w:name="_Toc78449875"/>
      <w:bookmarkStart w:id="1966" w:name="_Toc407135289"/>
      <w:r>
        <w:rPr>
          <w:rFonts w:hint="eastAsia" w:cs="黑体"/>
          <w:color w:val="auto"/>
          <w:highlight w:val="none"/>
        </w:rPr>
        <w:t>第九章</w:t>
      </w:r>
      <w:r>
        <w:rPr>
          <w:color w:val="auto"/>
          <w:highlight w:val="none"/>
        </w:rPr>
        <w:t xml:space="preserve"> </w:t>
      </w:r>
      <w:r>
        <w:rPr>
          <w:rFonts w:hint="eastAsia" w:cs="黑体"/>
          <w:color w:val="auto"/>
          <w:highlight w:val="none"/>
        </w:rPr>
        <w:t>投标文件格式</w:t>
      </w:r>
      <w:bookmarkEnd w:id="1961"/>
      <w:bookmarkEnd w:id="1962"/>
      <w:bookmarkEnd w:id="1963"/>
      <w:bookmarkEnd w:id="1964"/>
      <w:bookmarkEnd w:id="1965"/>
      <w:bookmarkEnd w:id="1966"/>
    </w:p>
    <w:p w14:paraId="38245BD9">
      <w:pPr>
        <w:rPr>
          <w:color w:val="auto"/>
          <w:sz w:val="32"/>
          <w:szCs w:val="32"/>
          <w:highlight w:val="none"/>
        </w:rPr>
      </w:pPr>
    </w:p>
    <w:p w14:paraId="6BC04A75">
      <w:pPr>
        <w:jc w:val="center"/>
        <w:rPr>
          <w:color w:val="auto"/>
          <w:sz w:val="32"/>
          <w:szCs w:val="32"/>
          <w:highlight w:val="none"/>
        </w:rPr>
      </w:pPr>
      <w:r>
        <w:rPr>
          <w:color w:val="auto"/>
          <w:sz w:val="32"/>
          <w:szCs w:val="32"/>
          <w:highlight w:val="none"/>
        </w:rPr>
        <w:br w:type="page"/>
      </w:r>
    </w:p>
    <w:p w14:paraId="41E4367F">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lang w:eastAsia="zh-CN"/>
        </w:rPr>
        <w:t>广西警察学院长湖校区3号学员公寓楼改造工程（重）</w:t>
      </w:r>
      <w:r>
        <w:rPr>
          <w:rFonts w:hint="eastAsia" w:cs="宋体"/>
          <w:color w:val="auto"/>
          <w:sz w:val="28"/>
          <w:szCs w:val="28"/>
          <w:highlight w:val="none"/>
        </w:rPr>
        <w:t>施工招标</w:t>
      </w:r>
    </w:p>
    <w:p w14:paraId="77BDBAAD">
      <w:pPr>
        <w:jc w:val="center"/>
        <w:rPr>
          <w:color w:val="auto"/>
          <w:sz w:val="28"/>
          <w:szCs w:val="28"/>
          <w:highlight w:val="none"/>
        </w:rPr>
      </w:pPr>
    </w:p>
    <w:p w14:paraId="2A129E9B">
      <w:pPr>
        <w:spacing w:before="240"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14:paraId="678DF377">
      <w:pPr>
        <w:jc w:val="center"/>
        <w:rPr>
          <w:color w:val="auto"/>
          <w:sz w:val="32"/>
          <w:szCs w:val="32"/>
          <w:highlight w:val="none"/>
        </w:rPr>
      </w:pPr>
    </w:p>
    <w:p w14:paraId="11A0D355">
      <w:pPr>
        <w:jc w:val="center"/>
        <w:rPr>
          <w:color w:val="auto"/>
          <w:sz w:val="32"/>
          <w:szCs w:val="32"/>
          <w:highlight w:val="none"/>
        </w:rPr>
      </w:pPr>
    </w:p>
    <w:p w14:paraId="4E80F637">
      <w:pPr>
        <w:jc w:val="center"/>
        <w:rPr>
          <w:color w:val="auto"/>
          <w:sz w:val="32"/>
          <w:szCs w:val="32"/>
          <w:highlight w:val="none"/>
        </w:rPr>
      </w:pPr>
    </w:p>
    <w:p w14:paraId="148538FD">
      <w:pPr>
        <w:jc w:val="center"/>
        <w:rPr>
          <w:color w:val="auto"/>
          <w:sz w:val="32"/>
          <w:szCs w:val="32"/>
          <w:highlight w:val="none"/>
        </w:rPr>
      </w:pPr>
    </w:p>
    <w:p w14:paraId="01E7A840">
      <w:pPr>
        <w:spacing w:line="360" w:lineRule="auto"/>
        <w:ind w:firstLine="2380" w:firstLineChars="850"/>
        <w:rPr>
          <w:color w:val="auto"/>
          <w:sz w:val="28"/>
          <w:szCs w:val="28"/>
          <w:highlight w:val="none"/>
          <w:u w:val="single"/>
        </w:rPr>
      </w:pPr>
      <w:r>
        <w:rPr>
          <w:rFonts w:hint="eastAsia" w:cs="宋体"/>
          <w:color w:val="auto"/>
          <w:sz w:val="28"/>
          <w:szCs w:val="28"/>
          <w:highlight w:val="none"/>
          <w:lang w:eastAsia="zh-CN"/>
        </w:rPr>
        <w:t>招标项目编号</w:t>
      </w:r>
      <w:r>
        <w:rPr>
          <w:rFonts w:hint="eastAsia" w:cs="宋体"/>
          <w:color w:val="auto"/>
          <w:sz w:val="28"/>
          <w:szCs w:val="28"/>
          <w:highlight w:val="none"/>
        </w:rPr>
        <w:t>：</w:t>
      </w:r>
      <w:r>
        <w:rPr>
          <w:color w:val="auto"/>
          <w:sz w:val="28"/>
          <w:szCs w:val="28"/>
          <w:highlight w:val="none"/>
          <w:u w:val="single"/>
        </w:rPr>
        <w:t xml:space="preserve">                   </w:t>
      </w:r>
    </w:p>
    <w:p w14:paraId="5C487542">
      <w:pPr>
        <w:jc w:val="center"/>
        <w:rPr>
          <w:color w:val="auto"/>
          <w:sz w:val="32"/>
          <w:szCs w:val="32"/>
          <w:highlight w:val="none"/>
        </w:rPr>
      </w:pPr>
    </w:p>
    <w:p w14:paraId="4738C474">
      <w:pPr>
        <w:jc w:val="center"/>
        <w:rPr>
          <w:color w:val="auto"/>
          <w:sz w:val="32"/>
          <w:szCs w:val="32"/>
          <w:highlight w:val="none"/>
        </w:rPr>
      </w:pPr>
    </w:p>
    <w:p w14:paraId="4E213FF2">
      <w:pPr>
        <w:jc w:val="center"/>
        <w:rPr>
          <w:color w:val="auto"/>
          <w:sz w:val="32"/>
          <w:szCs w:val="32"/>
          <w:highlight w:val="none"/>
        </w:rPr>
      </w:pPr>
    </w:p>
    <w:p w14:paraId="7A8E47F5">
      <w:pPr>
        <w:jc w:val="center"/>
        <w:rPr>
          <w:color w:val="auto"/>
          <w:sz w:val="32"/>
          <w:szCs w:val="32"/>
          <w:highlight w:val="none"/>
        </w:rPr>
      </w:pPr>
    </w:p>
    <w:p w14:paraId="7DC20C43">
      <w:pPr>
        <w:jc w:val="center"/>
        <w:rPr>
          <w:color w:val="auto"/>
          <w:sz w:val="32"/>
          <w:szCs w:val="32"/>
          <w:highlight w:val="none"/>
        </w:rPr>
      </w:pPr>
    </w:p>
    <w:p w14:paraId="5D9C9B67">
      <w:pPr>
        <w:jc w:val="center"/>
        <w:rPr>
          <w:color w:val="auto"/>
          <w:sz w:val="32"/>
          <w:szCs w:val="32"/>
          <w:highlight w:val="none"/>
        </w:rPr>
      </w:pPr>
    </w:p>
    <w:p w14:paraId="12E2BBFA">
      <w:pPr>
        <w:jc w:val="center"/>
        <w:rPr>
          <w:color w:val="auto"/>
          <w:sz w:val="32"/>
          <w:szCs w:val="32"/>
          <w:highlight w:val="none"/>
        </w:rPr>
      </w:pPr>
    </w:p>
    <w:p w14:paraId="4C8EE38D">
      <w:pPr>
        <w:jc w:val="center"/>
        <w:rPr>
          <w:color w:val="auto"/>
          <w:sz w:val="32"/>
          <w:szCs w:val="32"/>
          <w:highlight w:val="none"/>
        </w:rPr>
      </w:pPr>
    </w:p>
    <w:p w14:paraId="5B57B585">
      <w:pPr>
        <w:jc w:val="center"/>
        <w:rPr>
          <w:color w:val="auto"/>
          <w:sz w:val="32"/>
          <w:szCs w:val="32"/>
          <w:highlight w:val="none"/>
        </w:rPr>
      </w:pPr>
    </w:p>
    <w:p w14:paraId="19A21AFD">
      <w:pPr>
        <w:jc w:val="center"/>
        <w:rPr>
          <w:color w:val="auto"/>
          <w:sz w:val="32"/>
          <w:szCs w:val="32"/>
          <w:highlight w:val="none"/>
        </w:rPr>
      </w:pPr>
    </w:p>
    <w:p w14:paraId="553168CD">
      <w:pPr>
        <w:jc w:val="center"/>
        <w:rPr>
          <w:color w:val="auto"/>
          <w:sz w:val="32"/>
          <w:szCs w:val="32"/>
          <w:highlight w:val="none"/>
        </w:rPr>
      </w:pPr>
    </w:p>
    <w:p w14:paraId="78E80AAF">
      <w:pPr>
        <w:jc w:val="center"/>
        <w:rPr>
          <w:color w:val="auto"/>
          <w:sz w:val="32"/>
          <w:szCs w:val="32"/>
          <w:highlight w:val="none"/>
        </w:rPr>
      </w:pPr>
    </w:p>
    <w:p w14:paraId="08D40C5E">
      <w:pPr>
        <w:spacing w:line="360" w:lineRule="auto"/>
        <w:ind w:firstLine="1400" w:firstLineChars="500"/>
        <w:rPr>
          <w:color w:val="auto"/>
          <w:sz w:val="28"/>
          <w:szCs w:val="28"/>
          <w:highlight w:val="non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资格审查部分</w:t>
      </w:r>
      <w:r>
        <w:rPr>
          <w:color w:val="auto"/>
          <w:sz w:val="28"/>
          <w:szCs w:val="28"/>
          <w:highlight w:val="none"/>
          <w:u w:val="single"/>
        </w:rPr>
        <w:t xml:space="preserve">           </w:t>
      </w:r>
    </w:p>
    <w:p w14:paraId="4A00C9D8">
      <w:pPr>
        <w:spacing w:line="360" w:lineRule="auto"/>
        <w:ind w:firstLine="1400" w:firstLineChars="500"/>
        <w:rPr>
          <w:color w:val="auto"/>
          <w:sz w:val="28"/>
          <w:szCs w:val="28"/>
          <w:highlight w:val="none"/>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rPr>
        <w:t>（</w:t>
      </w:r>
      <w:r>
        <w:rPr>
          <w:rFonts w:hint="eastAsia" w:cs="宋体"/>
          <w:color w:val="auto"/>
          <w:sz w:val="28"/>
          <w:szCs w:val="28"/>
          <w:highlight w:val="none"/>
          <w:lang w:eastAsia="zh-CN"/>
        </w:rPr>
        <w:t>盖法人单位电子印章</w:t>
      </w:r>
      <w:r>
        <w:rPr>
          <w:rFonts w:hint="eastAsia" w:cs="宋体"/>
          <w:color w:val="auto"/>
          <w:sz w:val="28"/>
          <w:szCs w:val="28"/>
          <w:highlight w:val="none"/>
        </w:rPr>
        <w:t>）</w:t>
      </w:r>
    </w:p>
    <w:p w14:paraId="0E2DFF2B">
      <w:pPr>
        <w:jc w:val="center"/>
        <w:rPr>
          <w:color w:val="auto"/>
          <w:sz w:val="28"/>
          <w:szCs w:val="28"/>
          <w:highlight w:val="none"/>
        </w:rPr>
      </w:pPr>
    </w:p>
    <w:p w14:paraId="578E56EA">
      <w:pPr>
        <w:jc w:val="center"/>
        <w:rPr>
          <w:color w:val="auto"/>
          <w:sz w:val="28"/>
          <w:szCs w:val="28"/>
          <w:highlight w:val="none"/>
        </w:rPr>
      </w:pPr>
    </w:p>
    <w:p w14:paraId="054A445C">
      <w:pPr>
        <w:jc w:val="center"/>
        <w:rPr>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14:paraId="46984A1B">
      <w:pPr>
        <w:spacing w:before="240" w:beforeLines="100" w:after="240" w:afterLines="100"/>
        <w:rPr>
          <w:rFonts w:eastAsia="楷体_GB2312"/>
          <w:color w:val="auto"/>
          <w:highlight w:val="none"/>
        </w:rPr>
      </w:pPr>
      <w:r>
        <w:rPr>
          <w:rFonts w:eastAsia="楷体_GB2312"/>
          <w:color w:val="auto"/>
          <w:highlight w:val="none"/>
        </w:rPr>
        <w:t xml:space="preserve"> </w:t>
      </w:r>
    </w:p>
    <w:p w14:paraId="46B11BEA">
      <w:pPr>
        <w:spacing w:before="240" w:beforeLines="100" w:after="240" w:afterLines="100"/>
        <w:rPr>
          <w:rFonts w:eastAsia="楷体_GB2312"/>
          <w:color w:val="auto"/>
          <w:highlight w:val="none"/>
        </w:rPr>
      </w:pPr>
    </w:p>
    <w:p w14:paraId="28BFF8EF">
      <w:pPr>
        <w:spacing w:before="240" w:beforeLines="100" w:after="240" w:afterLines="100"/>
        <w:rPr>
          <w:rFonts w:eastAsia="楷体_GB2312"/>
          <w:color w:val="auto"/>
          <w:highlight w:val="none"/>
        </w:rPr>
      </w:pPr>
    </w:p>
    <w:p w14:paraId="2E0DA04C">
      <w:pPr>
        <w:spacing w:before="240" w:beforeLines="100" w:after="240" w:afterLines="100"/>
        <w:rPr>
          <w:rFonts w:eastAsia="楷体_GB2312"/>
          <w:color w:val="auto"/>
          <w:highlight w:val="none"/>
        </w:rPr>
      </w:pPr>
    </w:p>
    <w:p w14:paraId="5AE4592B">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1C787FD7">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4F901008">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54057736">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060371C3">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06DE5BD6">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0502AE0B">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1BEB3E92">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62D7A12C">
      <w:pPr>
        <w:tabs>
          <w:tab w:val="left" w:pos="826"/>
        </w:tabs>
        <w:snapToGrid w:val="0"/>
        <w:spacing w:line="360" w:lineRule="auto"/>
        <w:ind w:firstLine="422" w:firstLineChars="150"/>
        <w:jc w:val="center"/>
        <w:outlineLvl w:val="1"/>
        <w:rPr>
          <w:rFonts w:hint="default" w:ascii="Times New Roman" w:hAnsi="Times New Roman" w:cs="Times New Roman"/>
          <w:b/>
          <w:color w:val="auto"/>
          <w:sz w:val="28"/>
          <w:szCs w:val="28"/>
          <w:highlight w:val="none"/>
        </w:rPr>
      </w:pPr>
      <w:bookmarkStart w:id="1967" w:name="_Toc568758709"/>
      <w:bookmarkStart w:id="1968" w:name="_Toc274251228"/>
      <w:bookmarkStart w:id="1969" w:name="_Toc14150"/>
      <w:bookmarkStart w:id="1970" w:name="_Toc822277542"/>
      <w:bookmarkStart w:id="1971" w:name="_Toc1834489284"/>
      <w:bookmarkStart w:id="1972" w:name="_Toc418337956"/>
      <w:bookmarkStart w:id="1973" w:name="_Toc718165125"/>
      <w:r>
        <w:rPr>
          <w:rFonts w:hint="default" w:ascii="Times New Roman" w:hAnsi="Times New Roman" w:cs="Times New Roman"/>
          <w:b/>
          <w:color w:val="auto"/>
          <w:sz w:val="28"/>
          <w:szCs w:val="28"/>
          <w:highlight w:val="none"/>
          <w:u w:val="none"/>
        </w:rPr>
        <w:t>资格审查</w:t>
      </w:r>
      <w:r>
        <w:rPr>
          <w:rFonts w:hint="default" w:ascii="Times New Roman" w:hAnsi="Times New Roman" w:cs="Times New Roman"/>
          <w:b/>
          <w:color w:val="auto"/>
          <w:sz w:val="28"/>
          <w:szCs w:val="28"/>
          <w:highlight w:val="none"/>
        </w:rPr>
        <w:t>目录</w:t>
      </w:r>
      <w:bookmarkEnd w:id="1967"/>
      <w:bookmarkEnd w:id="1968"/>
      <w:bookmarkEnd w:id="1969"/>
      <w:bookmarkEnd w:id="1970"/>
      <w:bookmarkEnd w:id="1971"/>
      <w:bookmarkEnd w:id="1972"/>
      <w:bookmarkEnd w:id="1973"/>
    </w:p>
    <w:p w14:paraId="67512FE5">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eastAsia" w:cs="Times New Roman"/>
          <w:color w:val="auto"/>
          <w:szCs w:val="21"/>
          <w:highlight w:val="none"/>
          <w:lang w:eastAsia="zh-CN"/>
        </w:rPr>
        <w:t>1.专职投标员身份证及投标截止时间前3个月内任意1个月（投标截止时间所在月份不计）在现任职单位依法缴纳社会保险证明材料的扫描件</w:t>
      </w:r>
      <w:r>
        <w:rPr>
          <w:rFonts w:hint="default" w:ascii="Times New Roman" w:hAnsi="Times New Roman" w:cs="Times New Roman"/>
          <w:color w:val="auto"/>
          <w:szCs w:val="21"/>
          <w:highlight w:val="none"/>
        </w:rPr>
        <w:t>；</w:t>
      </w:r>
    </w:p>
    <w:p w14:paraId="6C23231D">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eastAsia" w:cs="Times New Roman"/>
          <w:color w:val="auto"/>
          <w:szCs w:val="21"/>
          <w:highlight w:val="none"/>
          <w:lang w:eastAsia="zh-CN"/>
        </w:rPr>
        <w:t>2.投标人基本情况表（包含联合体各方企业基本情况、营业执照、安全生产许可证、资质证书）</w:t>
      </w:r>
      <w:r>
        <w:rPr>
          <w:rFonts w:hint="default" w:ascii="Times New Roman" w:hAnsi="Times New Roman" w:cs="Times New Roman"/>
          <w:color w:val="auto"/>
          <w:szCs w:val="21"/>
          <w:highlight w:val="none"/>
        </w:rPr>
        <w:t xml:space="preserve">； </w:t>
      </w:r>
    </w:p>
    <w:p w14:paraId="013908D6">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eastAsia" w:cs="Times New Roman"/>
          <w:color w:val="auto"/>
          <w:szCs w:val="21"/>
          <w:highlight w:val="none"/>
          <w:lang w:eastAsia="zh-CN"/>
        </w:rPr>
        <w:t>3.联合体协议书（联合体投标人适用）</w:t>
      </w:r>
    </w:p>
    <w:p w14:paraId="61DDA25E">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eastAsia" w:cs="Times New Roman"/>
          <w:color w:val="auto"/>
          <w:szCs w:val="21"/>
          <w:highlight w:val="none"/>
          <w:lang w:eastAsia="zh-CN"/>
        </w:rPr>
        <w:t>4.</w:t>
      </w:r>
      <w:r>
        <w:rPr>
          <w:rFonts w:hint="default" w:ascii="Times New Roman" w:hAnsi="Times New Roman" w:cs="Times New Roman"/>
          <w:color w:val="auto"/>
          <w:szCs w:val="21"/>
          <w:highlight w:val="none"/>
        </w:rPr>
        <w:t>投标保证金；</w:t>
      </w:r>
    </w:p>
    <w:p w14:paraId="5FCEBCE7">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eastAsia" w:cs="Times New Roman"/>
          <w:color w:val="auto"/>
          <w:szCs w:val="21"/>
          <w:highlight w:val="none"/>
          <w:lang w:eastAsia="zh-CN"/>
        </w:rPr>
        <w:t>5.</w:t>
      </w:r>
      <w:r>
        <w:rPr>
          <w:rFonts w:hint="default" w:ascii="Times New Roman" w:hAnsi="Times New Roman" w:cs="Times New Roman"/>
          <w:color w:val="auto"/>
          <w:szCs w:val="21"/>
          <w:highlight w:val="none"/>
        </w:rPr>
        <w:t>建设工程项目管理承诺书；</w:t>
      </w:r>
    </w:p>
    <w:p w14:paraId="6F7FD188">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eastAsia" w:cs="Times New Roman"/>
          <w:color w:val="auto"/>
          <w:szCs w:val="21"/>
          <w:highlight w:val="none"/>
          <w:lang w:eastAsia="zh-CN"/>
        </w:rPr>
        <w:t>6.项目经理简历表；</w:t>
      </w:r>
    </w:p>
    <w:p w14:paraId="7BCF0DFA">
      <w:pPr>
        <w:tabs>
          <w:tab w:val="left" w:pos="826"/>
        </w:tabs>
        <w:snapToGrid w:val="0"/>
        <w:spacing w:line="360" w:lineRule="auto"/>
        <w:ind w:firstLine="315" w:firstLineChars="150"/>
        <w:jc w:val="left"/>
        <w:outlineLvl w:val="9"/>
        <w:rPr>
          <w:rFonts w:hint="eastAsia" w:cs="Times New Roman"/>
          <w:color w:val="auto"/>
          <w:szCs w:val="21"/>
          <w:highlight w:val="none"/>
          <w:lang w:eastAsia="zh-CN"/>
        </w:rPr>
      </w:pPr>
      <w:r>
        <w:rPr>
          <w:rFonts w:hint="eastAsia" w:cs="Times New Roman"/>
          <w:color w:val="auto"/>
          <w:szCs w:val="21"/>
          <w:highlight w:val="none"/>
          <w:lang w:eastAsia="zh-CN"/>
        </w:rPr>
        <w:t>7.项目技术负责人简历表；</w:t>
      </w:r>
    </w:p>
    <w:p w14:paraId="3BFBE2C7">
      <w:pPr>
        <w:tabs>
          <w:tab w:val="left" w:pos="826"/>
        </w:tabs>
        <w:snapToGrid w:val="0"/>
        <w:spacing w:line="360" w:lineRule="auto"/>
        <w:ind w:firstLine="315" w:firstLineChars="150"/>
        <w:jc w:val="left"/>
        <w:outlineLvl w:val="9"/>
        <w:rPr>
          <w:rFonts w:hint="eastAsia" w:cs="Times New Roman"/>
          <w:b w:val="0"/>
          <w:bCs w:val="0"/>
          <w:color w:val="auto"/>
          <w:sz w:val="21"/>
          <w:szCs w:val="21"/>
          <w:highlight w:val="none"/>
        </w:rPr>
      </w:pPr>
      <w:r>
        <w:rPr>
          <w:rFonts w:hint="eastAsia" w:cs="Times New Roman"/>
          <w:color w:val="auto"/>
          <w:szCs w:val="21"/>
          <w:highlight w:val="none"/>
          <w:lang w:val="en-US" w:eastAsia="zh-CN"/>
        </w:rPr>
        <w:t>8.</w:t>
      </w:r>
      <w:r>
        <w:rPr>
          <w:rFonts w:hint="eastAsia" w:cs="Times New Roman"/>
          <w:b w:val="0"/>
          <w:bCs w:val="0"/>
          <w:color w:val="auto"/>
          <w:sz w:val="21"/>
          <w:szCs w:val="21"/>
          <w:highlight w:val="none"/>
        </w:rPr>
        <w:t>专职安全生产管理人员</w:t>
      </w:r>
    </w:p>
    <w:p w14:paraId="2EE4168F">
      <w:pPr>
        <w:tabs>
          <w:tab w:val="left" w:pos="826"/>
        </w:tabs>
        <w:snapToGrid w:val="0"/>
        <w:spacing w:line="360" w:lineRule="auto"/>
        <w:ind w:firstLine="315" w:firstLineChars="150"/>
        <w:jc w:val="left"/>
        <w:outlineLvl w:val="9"/>
        <w:rPr>
          <w:rFonts w:hint="eastAsia" w:cs="Times New Roman"/>
          <w:b w:val="0"/>
          <w:bCs w:val="0"/>
          <w:color w:val="auto"/>
          <w:sz w:val="21"/>
          <w:szCs w:val="21"/>
          <w:highlight w:val="none"/>
        </w:rPr>
      </w:pPr>
      <w:r>
        <w:rPr>
          <w:rFonts w:hint="eastAsia" w:cs="Times New Roman"/>
          <w:b w:val="0"/>
          <w:bCs w:val="0"/>
          <w:color w:val="auto"/>
          <w:sz w:val="21"/>
          <w:szCs w:val="21"/>
          <w:highlight w:val="none"/>
          <w:lang w:val="en-US" w:eastAsia="zh-CN"/>
        </w:rPr>
        <w:t>9.</w:t>
      </w:r>
      <w:r>
        <w:rPr>
          <w:rFonts w:hint="eastAsia" w:cs="Times New Roman"/>
          <w:b w:val="0"/>
          <w:bCs w:val="0"/>
          <w:color w:val="auto"/>
          <w:sz w:val="21"/>
          <w:szCs w:val="21"/>
          <w:highlight w:val="none"/>
        </w:rPr>
        <w:t>项目管理机构配备情况表</w:t>
      </w:r>
    </w:p>
    <w:p w14:paraId="10BEF20E">
      <w:pPr>
        <w:tabs>
          <w:tab w:val="left" w:pos="826"/>
        </w:tabs>
        <w:snapToGrid w:val="0"/>
        <w:spacing w:line="360" w:lineRule="auto"/>
        <w:ind w:firstLine="315" w:firstLineChars="150"/>
        <w:jc w:val="left"/>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w:t>
      </w:r>
      <w:r>
        <w:rPr>
          <w:rFonts w:hint="eastAsia" w:cs="Times New Roman"/>
          <w:b w:val="0"/>
          <w:bCs w:val="0"/>
          <w:color w:val="auto"/>
          <w:sz w:val="21"/>
          <w:szCs w:val="21"/>
          <w:highlight w:val="none"/>
        </w:rPr>
        <w:t>资格审查需要的其他材料：拟投入施工机械设备情况表、企业___年___月至投标截止日期止（一般为近</w:t>
      </w:r>
      <w:r>
        <w:rPr>
          <w:rFonts w:hint="eastAsia" w:cs="Times New Roman"/>
          <w:b w:val="0"/>
          <w:bCs w:val="0"/>
          <w:color w:val="auto"/>
          <w:sz w:val="21"/>
          <w:szCs w:val="21"/>
          <w:highlight w:val="none"/>
          <w:lang w:val="en-US" w:eastAsia="zh-CN"/>
        </w:rPr>
        <w:t>3～5</w:t>
      </w:r>
      <w:r>
        <w:rPr>
          <w:rFonts w:hint="eastAsia" w:cs="Times New Roman"/>
          <w:b w:val="0"/>
          <w:bCs w:val="0"/>
          <w:color w:val="auto"/>
          <w:sz w:val="21"/>
          <w:szCs w:val="21"/>
          <w:highlight w:val="none"/>
        </w:rPr>
        <w:t>年）已完成类似项目一览表（如有）、采用建筑模型（BIM）技术项目业绩（如有）、采用装配式建筑项目业绩（如有）、企业___年至___年（一般为近</w:t>
      </w:r>
      <w:r>
        <w:rPr>
          <w:rFonts w:hint="eastAsia" w:cs="Times New Roman"/>
          <w:b w:val="0"/>
          <w:bCs w:val="0"/>
          <w:color w:val="auto"/>
          <w:sz w:val="21"/>
          <w:szCs w:val="21"/>
          <w:highlight w:val="none"/>
          <w:lang w:val="en-US" w:eastAsia="zh-CN"/>
        </w:rPr>
        <w:t>3</w:t>
      </w:r>
      <w:r>
        <w:rPr>
          <w:rFonts w:hint="eastAsia" w:cs="Times New Roman"/>
          <w:b w:val="0"/>
          <w:bCs w:val="0"/>
          <w:color w:val="auto"/>
          <w:sz w:val="21"/>
          <w:szCs w:val="21"/>
          <w:highlight w:val="none"/>
        </w:rPr>
        <w:t>年）财务状况表（</w:t>
      </w:r>
      <w:r>
        <w:rPr>
          <w:rFonts w:hint="eastAsia" w:cs="Times New Roman"/>
          <w:b w:val="0"/>
          <w:bCs w:val="0"/>
          <w:color w:val="auto"/>
          <w:sz w:val="21"/>
          <w:szCs w:val="21"/>
          <w:highlight w:val="none"/>
          <w:lang w:eastAsia="zh-CN"/>
        </w:rPr>
        <w:t>联合体投标的联合体各方均须提供</w:t>
      </w:r>
      <w:r>
        <w:rPr>
          <w:rFonts w:hint="eastAsia" w:cs="Times New Roman"/>
          <w:b w:val="0"/>
          <w:bCs w:val="0"/>
          <w:color w:val="auto"/>
          <w:sz w:val="21"/>
          <w:szCs w:val="21"/>
          <w:highlight w:val="none"/>
        </w:rPr>
        <w:t>）、《中小企业声明函》或者《残疾人福利性单位声明函》或者省级以上监狱管理局、戒毒管理局（含新疆生产建设兵团）出具的属于</w:t>
      </w:r>
      <w:r>
        <w:rPr>
          <w:rFonts w:hint="eastAsia" w:cs="Times New Roman"/>
          <w:b w:val="0"/>
          <w:bCs w:val="0"/>
          <w:color w:val="auto"/>
          <w:sz w:val="21"/>
          <w:szCs w:val="21"/>
          <w:highlight w:val="none"/>
          <w:lang w:eastAsia="zh-CN"/>
        </w:rPr>
        <w:t>监狱企业的证明文件扫描件（预留份额专门面向中小企业采购的项目须提供</w:t>
      </w:r>
      <w:r>
        <w:rPr>
          <w:rFonts w:hint="eastAsia" w:cs="Times New Roman"/>
          <w:b w:val="0"/>
          <w:bCs w:val="0"/>
          <w:color w:val="auto"/>
          <w:sz w:val="21"/>
          <w:szCs w:val="21"/>
          <w:highlight w:val="none"/>
        </w:rPr>
        <w:t>）等。</w:t>
      </w:r>
    </w:p>
    <w:p w14:paraId="53150904">
      <w:pPr>
        <w:pStyle w:val="28"/>
        <w:pBdr>
          <w:top w:val="none" w:color="auto" w:sz="0" w:space="0"/>
          <w:left w:val="none" w:color="auto" w:sz="0" w:space="0"/>
          <w:bottom w:val="none" w:color="auto" w:sz="0" w:space="1"/>
          <w:right w:val="none" w:color="auto" w:sz="0" w:space="0"/>
          <w:between w:val="none" w:color="auto" w:sz="0" w:space="0"/>
        </w:pBdr>
        <w:rPr>
          <w:color w:val="auto"/>
          <w:highlight w:val="none"/>
        </w:rPr>
      </w:pPr>
    </w:p>
    <w:p w14:paraId="27202B5A">
      <w:pPr>
        <w:spacing w:before="240" w:beforeLines="100" w:after="240" w:afterLines="100"/>
        <w:rPr>
          <w:rFonts w:hint="eastAsia" w:eastAsia="楷体_GB2312"/>
          <w:color w:val="auto"/>
          <w:highlight w:val="none"/>
        </w:rPr>
      </w:pPr>
    </w:p>
    <w:p w14:paraId="032E06EA">
      <w:pPr>
        <w:pStyle w:val="40"/>
        <w:rPr>
          <w:rFonts w:hint="eastAsia" w:eastAsia="楷体_GB2312"/>
          <w:color w:val="auto"/>
          <w:highlight w:val="none"/>
        </w:rPr>
      </w:pPr>
    </w:p>
    <w:p w14:paraId="79872A85">
      <w:pPr>
        <w:pStyle w:val="40"/>
        <w:rPr>
          <w:rFonts w:hint="eastAsia" w:eastAsia="楷体_GB2312"/>
          <w:color w:val="auto"/>
          <w:highlight w:val="none"/>
        </w:rPr>
      </w:pPr>
    </w:p>
    <w:p w14:paraId="4D21FE15">
      <w:pPr>
        <w:pStyle w:val="40"/>
        <w:rPr>
          <w:rFonts w:hint="eastAsia" w:eastAsia="楷体_GB2312"/>
          <w:color w:val="auto"/>
          <w:highlight w:val="none"/>
        </w:rPr>
      </w:pPr>
    </w:p>
    <w:p w14:paraId="0AED1CF6">
      <w:pPr>
        <w:pStyle w:val="40"/>
        <w:rPr>
          <w:rFonts w:hint="eastAsia" w:eastAsia="楷体_GB2312"/>
          <w:color w:val="auto"/>
          <w:highlight w:val="none"/>
        </w:rPr>
      </w:pPr>
    </w:p>
    <w:p w14:paraId="260215EF">
      <w:pPr>
        <w:pStyle w:val="40"/>
        <w:rPr>
          <w:rFonts w:hint="eastAsia" w:eastAsia="楷体_GB2312"/>
          <w:color w:val="auto"/>
          <w:highlight w:val="none"/>
        </w:rPr>
      </w:pPr>
    </w:p>
    <w:p w14:paraId="57B69E95">
      <w:pPr>
        <w:pStyle w:val="40"/>
        <w:rPr>
          <w:rFonts w:hint="eastAsia" w:eastAsia="楷体_GB2312"/>
          <w:color w:val="auto"/>
          <w:highlight w:val="none"/>
        </w:rPr>
      </w:pPr>
    </w:p>
    <w:p w14:paraId="6201CE81">
      <w:pPr>
        <w:pStyle w:val="40"/>
        <w:rPr>
          <w:rFonts w:hint="eastAsia" w:eastAsia="楷体_GB2312"/>
          <w:color w:val="auto"/>
          <w:highlight w:val="none"/>
        </w:rPr>
      </w:pPr>
    </w:p>
    <w:p w14:paraId="6B33B6C6">
      <w:pPr>
        <w:pStyle w:val="40"/>
        <w:rPr>
          <w:rFonts w:hint="eastAsia" w:eastAsia="楷体_GB2312"/>
          <w:color w:val="auto"/>
          <w:highlight w:val="none"/>
        </w:rPr>
      </w:pPr>
    </w:p>
    <w:p w14:paraId="15B16C13">
      <w:pPr>
        <w:pStyle w:val="40"/>
        <w:rPr>
          <w:rFonts w:hint="eastAsia" w:eastAsia="楷体_GB2312"/>
          <w:color w:val="auto"/>
          <w:highlight w:val="none"/>
        </w:rPr>
      </w:pPr>
    </w:p>
    <w:p w14:paraId="06583231">
      <w:pPr>
        <w:pStyle w:val="40"/>
        <w:rPr>
          <w:rFonts w:hint="eastAsia" w:eastAsia="楷体_GB2312"/>
          <w:color w:val="auto"/>
          <w:highlight w:val="none"/>
        </w:rPr>
      </w:pPr>
    </w:p>
    <w:p w14:paraId="634F0B24">
      <w:pPr>
        <w:pStyle w:val="40"/>
        <w:rPr>
          <w:rFonts w:hint="eastAsia" w:eastAsia="楷体_GB2312"/>
          <w:color w:val="auto"/>
          <w:highlight w:val="none"/>
        </w:rPr>
      </w:pPr>
    </w:p>
    <w:p w14:paraId="5B82B321">
      <w:pPr>
        <w:spacing w:before="240" w:beforeLines="100" w:after="240" w:afterLines="100"/>
        <w:rPr>
          <w:rFonts w:eastAsia="楷体_GB2312"/>
          <w:color w:val="auto"/>
          <w:highlight w:val="none"/>
        </w:rPr>
      </w:pPr>
    </w:p>
    <w:p w14:paraId="37634430">
      <w:pPr>
        <w:pStyle w:val="136"/>
        <w:numPr>
          <w:ilvl w:val="0"/>
          <w:numId w:val="0"/>
        </w:numPr>
        <w:jc w:val="both"/>
        <w:outlineLvl w:val="0"/>
        <w:rPr>
          <w:rFonts w:hint="eastAsia" w:cs="宋体"/>
          <w:b/>
          <w:bCs/>
          <w:color w:val="auto"/>
          <w:sz w:val="28"/>
          <w:szCs w:val="28"/>
          <w:highlight w:val="none"/>
          <w:lang w:val="en-US" w:eastAsia="zh-CN"/>
        </w:rPr>
      </w:pPr>
      <w:r>
        <w:rPr>
          <w:rFonts w:hint="eastAsia" w:cs="宋体"/>
          <w:b/>
          <w:bCs/>
          <w:color w:val="auto"/>
          <w:sz w:val="28"/>
          <w:szCs w:val="28"/>
          <w:highlight w:val="none"/>
          <w:lang w:val="en-US" w:eastAsia="zh-CN"/>
        </w:rPr>
        <w:t>1.专职投标员身份证及投标截止时间前3个月内任意1个月（投标截止时间所在月份不计）在现任职单位依法缴纳社会保险证明材料的扫描件。</w:t>
      </w:r>
    </w:p>
    <w:p w14:paraId="17289F15">
      <w:pPr>
        <w:pStyle w:val="136"/>
        <w:numPr>
          <w:ilvl w:val="0"/>
          <w:numId w:val="0"/>
        </w:numPr>
        <w:jc w:val="both"/>
        <w:outlineLvl w:val="0"/>
        <w:rPr>
          <w:rFonts w:hint="eastAsia" w:cs="宋体"/>
          <w:b/>
          <w:bCs/>
          <w:color w:val="auto"/>
          <w:sz w:val="28"/>
          <w:szCs w:val="28"/>
          <w:highlight w:val="none"/>
          <w:lang w:val="en-US" w:eastAsia="zh-CN"/>
        </w:rPr>
      </w:pPr>
    </w:p>
    <w:p w14:paraId="483FA269">
      <w:pPr>
        <w:jc w:val="center"/>
        <w:rPr>
          <w:rFonts w:hint="default" w:ascii="Times New Roman" w:hAnsi="Times New Roman" w:eastAsia="黑体" w:cs="Times New Roman"/>
          <w:color w:val="auto"/>
          <w:sz w:val="30"/>
          <w:szCs w:val="30"/>
          <w:highlight w:val="none"/>
        </w:rPr>
      </w:pPr>
      <w:r>
        <w:rPr>
          <w:rFonts w:hint="default" w:ascii="Times New Roman" w:hAnsi="Times New Roman" w:eastAsia="黑体" w:cs="Times New Roman"/>
          <w:color w:val="auto"/>
          <w:sz w:val="30"/>
          <w:szCs w:val="30"/>
          <w:highlight w:val="none"/>
        </w:rPr>
        <w:t>法定代表人身份证明（如有）</w:t>
      </w:r>
    </w:p>
    <w:p w14:paraId="359612DE">
      <w:pPr>
        <w:autoSpaceDE w:val="0"/>
        <w:autoSpaceDN w:val="0"/>
        <w:adjustRightInd w:val="0"/>
        <w:spacing w:line="480" w:lineRule="exact"/>
        <w:rPr>
          <w:rFonts w:ascii="Times New Roman" w:hAnsi="Times New Roman" w:cs="Times New Roman"/>
          <w:color w:val="auto"/>
          <w:kern w:val="0"/>
          <w:sz w:val="32"/>
          <w:highlight w:val="none"/>
        </w:rPr>
      </w:pPr>
    </w:p>
    <w:p w14:paraId="4DC6A4D7">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投 标 人：</w:t>
      </w:r>
      <w:r>
        <w:rPr>
          <w:rFonts w:ascii="Times New Roman" w:hAnsi="Times New Roman" w:cs="Times New Roman"/>
          <w:bCs/>
          <w:color w:val="auto"/>
          <w:kern w:val="0"/>
          <w:highlight w:val="none"/>
          <w:u w:val="single"/>
        </w:rPr>
        <w:t xml:space="preserve">                                             </w:t>
      </w:r>
    </w:p>
    <w:p w14:paraId="072E97BB">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4014AC2C">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单位性质：</w:t>
      </w:r>
      <w:r>
        <w:rPr>
          <w:rFonts w:ascii="Times New Roman" w:hAnsi="Times New Roman" w:cs="Times New Roman"/>
          <w:bCs/>
          <w:color w:val="auto"/>
          <w:kern w:val="0"/>
          <w:highlight w:val="none"/>
          <w:u w:val="single"/>
        </w:rPr>
        <w:t xml:space="preserve">                                             </w:t>
      </w:r>
    </w:p>
    <w:p w14:paraId="17E51744">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7AF90AA6">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地 址：</w:t>
      </w:r>
      <w:r>
        <w:rPr>
          <w:rFonts w:ascii="Times New Roman" w:hAnsi="Times New Roman" w:cs="Times New Roman"/>
          <w:bCs/>
          <w:color w:val="auto"/>
          <w:kern w:val="0"/>
          <w:highlight w:val="none"/>
          <w:u w:val="single"/>
        </w:rPr>
        <w:t xml:space="preserve">                                                </w:t>
      </w:r>
    </w:p>
    <w:p w14:paraId="5AA3970E">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1AE70F0A">
      <w:pPr>
        <w:autoSpaceDE w:val="0"/>
        <w:autoSpaceDN w:val="0"/>
        <w:adjustRightInd w:val="0"/>
        <w:spacing w:line="400" w:lineRule="exact"/>
        <w:ind w:firstLine="1365" w:firstLineChars="650"/>
        <w:rPr>
          <w:rFonts w:ascii="Times New Roman" w:hAnsi="Times New Roman" w:cs="Times New Roman"/>
          <w:bCs/>
          <w:color w:val="auto"/>
          <w:kern w:val="0"/>
          <w:highlight w:val="none"/>
        </w:rPr>
      </w:pPr>
      <w:r>
        <w:rPr>
          <w:rFonts w:ascii="Times New Roman" w:hAnsi="Times New Roman" w:cs="Times New Roman"/>
          <w:bCs/>
          <w:color w:val="auto"/>
          <w:kern w:val="0"/>
          <w:highlight w:val="none"/>
        </w:rPr>
        <w:t xml:space="preserve">成立时间： </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年</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月</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日</w:t>
      </w:r>
    </w:p>
    <w:p w14:paraId="0A2D3D9F">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2A3B6F47">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经营期限：</w:t>
      </w:r>
      <w:r>
        <w:rPr>
          <w:rFonts w:ascii="Times New Roman" w:hAnsi="Times New Roman" w:cs="Times New Roman"/>
          <w:bCs/>
          <w:color w:val="auto"/>
          <w:kern w:val="0"/>
          <w:highlight w:val="none"/>
          <w:u w:val="single"/>
        </w:rPr>
        <w:t xml:space="preserve">                                             </w:t>
      </w:r>
    </w:p>
    <w:p w14:paraId="59C26586">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38E309EB">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姓 名：</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 xml:space="preserve"> 性 别：</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年 龄：</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职 务：</w:t>
      </w:r>
      <w:r>
        <w:rPr>
          <w:rFonts w:ascii="Times New Roman" w:hAnsi="Times New Roman" w:cs="Times New Roman"/>
          <w:bCs/>
          <w:color w:val="auto"/>
          <w:kern w:val="0"/>
          <w:highlight w:val="none"/>
          <w:u w:val="single"/>
        </w:rPr>
        <w:t xml:space="preserve">      </w:t>
      </w:r>
    </w:p>
    <w:p w14:paraId="0C39C3F0">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64646584">
      <w:pPr>
        <w:autoSpaceDE w:val="0"/>
        <w:autoSpaceDN w:val="0"/>
        <w:adjustRightInd w:val="0"/>
        <w:spacing w:line="400" w:lineRule="exact"/>
        <w:ind w:firstLine="1365" w:firstLineChars="650"/>
        <w:rPr>
          <w:rFonts w:ascii="Times New Roman" w:hAnsi="Times New Roman" w:cs="Times New Roman"/>
          <w:bCs/>
          <w:color w:val="auto"/>
          <w:kern w:val="0"/>
          <w:highlight w:val="none"/>
        </w:rPr>
      </w:pPr>
      <w:r>
        <w:rPr>
          <w:rFonts w:ascii="Times New Roman" w:hAnsi="Times New Roman" w:cs="Times New Roman"/>
          <w:bCs/>
          <w:color w:val="auto"/>
          <w:kern w:val="0"/>
          <w:highlight w:val="none"/>
        </w:rPr>
        <w:t xml:space="preserve">系 </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（投标人名称）的法定代表人。</w:t>
      </w:r>
    </w:p>
    <w:p w14:paraId="6216F023">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265CD841">
      <w:pPr>
        <w:autoSpaceDE w:val="0"/>
        <w:autoSpaceDN w:val="0"/>
        <w:adjustRightInd w:val="0"/>
        <w:spacing w:line="400" w:lineRule="exact"/>
        <w:ind w:firstLine="1365" w:firstLineChars="650"/>
        <w:rPr>
          <w:rFonts w:ascii="Times New Roman" w:hAnsi="Times New Roman" w:cs="Times New Roman"/>
          <w:bCs/>
          <w:color w:val="auto"/>
          <w:kern w:val="0"/>
          <w:highlight w:val="none"/>
        </w:rPr>
      </w:pPr>
      <w:r>
        <w:rPr>
          <w:rFonts w:ascii="Times New Roman" w:hAnsi="Times New Roman" w:cs="Times New Roman"/>
          <w:bCs/>
          <w:color w:val="auto"/>
          <w:kern w:val="0"/>
          <w:highlight w:val="none"/>
        </w:rPr>
        <w:t>特此证明。</w:t>
      </w:r>
    </w:p>
    <w:p w14:paraId="41EF976F">
      <w:pPr>
        <w:autoSpaceDE w:val="0"/>
        <w:autoSpaceDN w:val="0"/>
        <w:adjustRightInd w:val="0"/>
        <w:spacing w:line="400" w:lineRule="exact"/>
        <w:rPr>
          <w:rFonts w:ascii="Times New Roman" w:hAnsi="Times New Roman" w:cs="Times New Roman"/>
          <w:bCs/>
          <w:color w:val="auto"/>
          <w:kern w:val="0"/>
          <w:highlight w:val="none"/>
        </w:rPr>
      </w:pPr>
    </w:p>
    <w:p w14:paraId="3A6BCD6D">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4B586D87">
      <w:pPr>
        <w:autoSpaceDE w:val="0"/>
        <w:autoSpaceDN w:val="0"/>
        <w:adjustRightInd w:val="0"/>
        <w:spacing w:line="400" w:lineRule="exact"/>
        <w:ind w:firstLine="3360" w:firstLineChars="1600"/>
        <w:rPr>
          <w:rFonts w:ascii="Times New Roman" w:hAnsi="Times New Roman" w:cs="Times New Roman"/>
          <w:bCs/>
          <w:color w:val="auto"/>
          <w:kern w:val="0"/>
          <w:highlight w:val="none"/>
        </w:rPr>
      </w:pPr>
      <w:r>
        <w:rPr>
          <w:rFonts w:ascii="Times New Roman" w:hAnsi="Times New Roman" w:cs="Times New Roman"/>
          <w:bCs/>
          <w:color w:val="auto"/>
          <w:kern w:val="0"/>
          <w:highlight w:val="none"/>
        </w:rPr>
        <w:t>投标人：</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w:t>
      </w:r>
      <w:r>
        <w:rPr>
          <w:rFonts w:hint="eastAsia" w:cs="Times New Roman"/>
          <w:bCs/>
          <w:color w:val="auto"/>
          <w:kern w:val="0"/>
          <w:highlight w:val="none"/>
          <w:lang w:eastAsia="zh-CN"/>
        </w:rPr>
        <w:t>盖法人单位电子印章</w:t>
      </w:r>
      <w:r>
        <w:rPr>
          <w:rFonts w:ascii="Times New Roman" w:hAnsi="Times New Roman" w:cs="Times New Roman"/>
          <w:bCs/>
          <w:color w:val="auto"/>
          <w:kern w:val="0"/>
          <w:highlight w:val="none"/>
        </w:rPr>
        <w:t>）</w:t>
      </w:r>
    </w:p>
    <w:p w14:paraId="1C7B973C">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3C181805">
      <w:pPr>
        <w:spacing w:line="480" w:lineRule="exact"/>
        <w:ind w:firstLine="3885" w:firstLineChars="1850"/>
        <w:rPr>
          <w:rFonts w:hint="default" w:ascii="Times New Roman" w:hAnsi="Times New Roman" w:cs="Times New Roman"/>
          <w:color w:val="auto"/>
          <w:kern w:val="0"/>
          <w:highlight w:val="none"/>
        </w:rPr>
      </w:pPr>
      <w:r>
        <w:rPr>
          <w:rFonts w:ascii="Times New Roman" w:hAnsi="Times New Roman" w:cs="Times New Roman"/>
          <w:color w:val="auto"/>
          <w:kern w:val="0"/>
          <w:highlight w:val="none"/>
        </w:rPr>
        <w:t>日期：</w:t>
      </w:r>
      <w:r>
        <w:rPr>
          <w:rFonts w:ascii="Times New Roman" w:hAnsi="Times New Roman" w:cs="Times New Roman"/>
          <w:color w:val="auto"/>
          <w:kern w:val="0"/>
          <w:highlight w:val="none"/>
          <w:u w:val="single"/>
        </w:rPr>
        <w:t xml:space="preserve">  </w:t>
      </w:r>
      <w:r>
        <w:rPr>
          <w:rFonts w:hint="default" w:ascii="Times New Roman" w:hAnsi="Times New Roman" w:cs="Times New Roman"/>
          <w:color w:val="auto"/>
          <w:kern w:val="0"/>
          <w:highlight w:val="none"/>
          <w:u w:val="single"/>
        </w:rPr>
        <w:t xml:space="preserve">    </w:t>
      </w:r>
      <w:r>
        <w:rPr>
          <w:rFonts w:ascii="Times New Roman" w:hAnsi="Times New Roman" w:cs="Times New Roman"/>
          <w:color w:val="auto"/>
          <w:kern w:val="0"/>
          <w:highlight w:val="none"/>
          <w:u w:val="single"/>
        </w:rPr>
        <w:t xml:space="preserve">  </w:t>
      </w:r>
      <w:r>
        <w:rPr>
          <w:rFonts w:ascii="Times New Roman" w:hAnsi="Times New Roman" w:cs="Times New Roman"/>
          <w:color w:val="auto"/>
          <w:kern w:val="0"/>
          <w:highlight w:val="none"/>
        </w:rPr>
        <w:t>年</w:t>
      </w:r>
      <w:r>
        <w:rPr>
          <w:rFonts w:ascii="Times New Roman" w:hAnsi="Times New Roman" w:cs="Times New Roman"/>
          <w:color w:val="auto"/>
          <w:kern w:val="0"/>
          <w:highlight w:val="none"/>
          <w:u w:val="single"/>
        </w:rPr>
        <w:t xml:space="preserve">    </w:t>
      </w:r>
      <w:r>
        <w:rPr>
          <w:rFonts w:ascii="Times New Roman" w:hAnsi="Times New Roman" w:cs="Times New Roman"/>
          <w:color w:val="auto"/>
          <w:kern w:val="0"/>
          <w:highlight w:val="none"/>
        </w:rPr>
        <w:t>月</w:t>
      </w:r>
      <w:r>
        <w:rPr>
          <w:rFonts w:ascii="Times New Roman" w:hAnsi="Times New Roman" w:cs="Times New Roman"/>
          <w:color w:val="auto"/>
          <w:kern w:val="0"/>
          <w:highlight w:val="none"/>
          <w:u w:val="single"/>
        </w:rPr>
        <w:t xml:space="preserve">    </w:t>
      </w:r>
      <w:r>
        <w:rPr>
          <w:rFonts w:ascii="Times New Roman" w:hAnsi="Times New Roman" w:cs="Times New Roman"/>
          <w:color w:val="auto"/>
          <w:kern w:val="0"/>
          <w:highlight w:val="none"/>
        </w:rPr>
        <w:t>日</w:t>
      </w:r>
    </w:p>
    <w:p w14:paraId="69850953">
      <w:pPr>
        <w:spacing w:line="480" w:lineRule="exact"/>
        <w:ind w:firstLine="3885" w:firstLineChars="1850"/>
        <w:rPr>
          <w:rFonts w:hint="default" w:ascii="Times New Roman" w:hAnsi="Times New Roman" w:cs="Times New Roman"/>
          <w:color w:val="auto"/>
          <w:kern w:val="0"/>
          <w:highlight w:val="none"/>
        </w:rPr>
      </w:pPr>
    </w:p>
    <w:p w14:paraId="11F80BD0">
      <w:pPr>
        <w:spacing w:line="480" w:lineRule="exact"/>
        <w:ind w:firstLine="3885" w:firstLineChars="1850"/>
        <w:rPr>
          <w:rFonts w:hint="default" w:ascii="Times New Roman" w:hAnsi="Times New Roman" w:cs="Times New Roman"/>
          <w:color w:val="auto"/>
          <w:kern w:val="0"/>
          <w:highlight w:val="none"/>
        </w:rPr>
      </w:pPr>
    </w:p>
    <w:p w14:paraId="7FEA025A">
      <w:pPr>
        <w:widowControl/>
        <w:ind w:firstLine="420" w:firstLineChars="200"/>
        <w:jc w:val="left"/>
        <w:rPr>
          <w:rFonts w:ascii="Times New Roman" w:hAnsi="Times New Roman" w:cs="Times New Roman"/>
          <w:color w:val="auto"/>
          <w:highlight w:val="none"/>
        </w:rPr>
      </w:pPr>
      <w:r>
        <w:rPr>
          <w:rFonts w:hint="eastAsia" w:ascii="方正楷体_GB2312" w:hAnsi="方正楷体_GB2312" w:eastAsia="方正楷体_GB2312" w:cs="方正楷体_GB2312"/>
          <w:color w:val="auto"/>
          <w:highlight w:val="none"/>
        </w:rPr>
        <w:t>【备注：本证明只用于法人出席现场开标会时提供，并附法定代表人身份证原件扫描件】</w:t>
      </w:r>
    </w:p>
    <w:p w14:paraId="18E892C1">
      <w:pPr>
        <w:tabs>
          <w:tab w:val="left" w:pos="826"/>
        </w:tabs>
        <w:snapToGrid w:val="0"/>
        <w:spacing w:line="360" w:lineRule="auto"/>
        <w:ind w:firstLine="315" w:firstLineChars="150"/>
        <w:jc w:val="center"/>
        <w:rPr>
          <w:rFonts w:hint="default" w:ascii="Times New Roman" w:hAnsi="Times New Roman" w:cs="Times New Roman"/>
          <w:color w:val="auto"/>
          <w:highlight w:val="none"/>
        </w:rPr>
      </w:pPr>
    </w:p>
    <w:p w14:paraId="2D323900">
      <w:pPr>
        <w:spacing w:line="360" w:lineRule="auto"/>
        <w:rPr>
          <w:rFonts w:hint="default" w:ascii="Times New Roman" w:hAnsi="Times New Roman" w:cs="Times New Roman"/>
          <w:color w:val="auto"/>
          <w:highlight w:val="none"/>
        </w:rPr>
      </w:pPr>
    </w:p>
    <w:p w14:paraId="4CF37748">
      <w:pPr>
        <w:spacing w:line="480" w:lineRule="auto"/>
        <w:jc w:val="center"/>
        <w:rPr>
          <w:rFonts w:ascii="Times New Roman" w:hAnsi="Times New Roman" w:cs="Times New Roman"/>
          <w:color w:val="auto"/>
          <w:highlight w:val="none"/>
        </w:rPr>
      </w:pPr>
    </w:p>
    <w:p w14:paraId="65A4C3E5">
      <w:pPr>
        <w:spacing w:line="480" w:lineRule="auto"/>
        <w:jc w:val="center"/>
        <w:rPr>
          <w:rFonts w:ascii="Times New Roman" w:hAnsi="Times New Roman" w:cs="Times New Roman"/>
          <w:color w:val="auto"/>
          <w:highlight w:val="none"/>
        </w:rPr>
      </w:pPr>
    </w:p>
    <w:p w14:paraId="297F09F4">
      <w:pPr>
        <w:spacing w:line="480" w:lineRule="auto"/>
        <w:jc w:val="center"/>
        <w:rPr>
          <w:rFonts w:ascii="Times New Roman" w:hAnsi="Times New Roman" w:cs="Times New Roman"/>
          <w:color w:val="auto"/>
          <w:highlight w:val="none"/>
        </w:rPr>
      </w:pPr>
    </w:p>
    <w:p w14:paraId="0522A42B">
      <w:pPr>
        <w:spacing w:line="480" w:lineRule="auto"/>
        <w:jc w:val="center"/>
        <w:rPr>
          <w:rFonts w:hint="default" w:ascii="Times New Roman" w:hAnsi="Times New Roman" w:cs="Times New Roman"/>
          <w:color w:val="auto"/>
          <w:highlight w:val="none"/>
        </w:rPr>
      </w:pPr>
    </w:p>
    <w:p w14:paraId="24651A04">
      <w:pPr>
        <w:pStyle w:val="136"/>
        <w:jc w:val="center"/>
        <w:outlineLvl w:val="0"/>
        <w:rPr>
          <w:color w:val="auto"/>
          <w:sz w:val="28"/>
          <w:szCs w:val="28"/>
          <w:highlight w:val="none"/>
        </w:rPr>
      </w:pPr>
      <w:r>
        <w:rPr>
          <w:rFonts w:hint="eastAsia" w:cs="宋体"/>
          <w:b/>
          <w:bCs/>
          <w:color w:val="auto"/>
          <w:sz w:val="28"/>
          <w:szCs w:val="28"/>
          <w:highlight w:val="none"/>
          <w:lang w:val="en-US" w:eastAsia="zh-CN"/>
        </w:rPr>
        <w:t>2.</w:t>
      </w:r>
      <w:r>
        <w:rPr>
          <w:rFonts w:hint="eastAsia" w:cs="宋体"/>
          <w:b/>
          <w:bCs/>
          <w:color w:val="auto"/>
          <w:sz w:val="28"/>
          <w:szCs w:val="28"/>
          <w:highlight w:val="none"/>
        </w:rPr>
        <w:t>投标人基本情况表（包含联合体各方企业基本情况、营业执照、安全生产许可证、资质证书）</w:t>
      </w:r>
    </w:p>
    <w:p w14:paraId="0FC015EB">
      <w:pPr>
        <w:pStyle w:val="37"/>
        <w:snapToGrid w:val="0"/>
        <w:spacing w:line="300" w:lineRule="auto"/>
        <w:jc w:val="center"/>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企业基本情况 </w:t>
      </w:r>
    </w:p>
    <w:tbl>
      <w:tblPr>
        <w:tblStyle w:val="41"/>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55"/>
        <w:gridCol w:w="1476"/>
        <w:gridCol w:w="1470"/>
        <w:gridCol w:w="1974"/>
      </w:tblGrid>
      <w:tr w14:paraId="05E255F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CD3BC7F">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单位名称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0FE14CF2">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3927EE7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04421AF3">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D8EAA5F">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6BC5CB0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1381908">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注册地区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56F37C31">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r>
      <w:tr w14:paraId="4628406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B48DAAA">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邮政编码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0EF5E903">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c>
          <w:tcPr>
            <w:tcW w:w="1455" w:type="dxa"/>
            <w:tcBorders>
              <w:top w:val="outset" w:color="auto" w:sz="6" w:space="0"/>
              <w:left w:val="outset" w:color="auto" w:sz="6" w:space="0"/>
              <w:bottom w:val="outset" w:color="auto" w:sz="6" w:space="0"/>
              <w:right w:val="outset" w:color="auto" w:sz="6" w:space="0"/>
            </w:tcBorders>
            <w:noWrap w:val="0"/>
            <w:vAlign w:val="center"/>
          </w:tcPr>
          <w:p w14:paraId="42C637D0">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详细地址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3CCAFC1A">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66467403">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企业联系人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017BB047">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53EB2FC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1C95051">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单位联系电话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70AAFAA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3C8515C7">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法定代表人身份证号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75B5685D">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072F94AD">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手机号码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008830D6">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306247E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503BEC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传真号码</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3EFB5A98">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4907C6E1">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基本账户</w:t>
            </w:r>
          </w:p>
          <w:p w14:paraId="60B6A95A">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开户银行</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1CD097BD">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6AE8BA4F">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基本账户</w:t>
            </w:r>
          </w:p>
          <w:p w14:paraId="5BA69714">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开户账号</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6B777830">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58B0916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7540650">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企业</w:t>
            </w:r>
            <w:r>
              <w:rPr>
                <w:rFonts w:hint="default" w:ascii="宋体" w:hAnsi="宋体" w:eastAsia="宋体" w:cs="宋体"/>
                <w:color w:val="auto"/>
                <w:sz w:val="27"/>
                <w:szCs w:val="27"/>
                <w:highlight w:val="none"/>
                <w:lang w:bidi="ar"/>
              </w:rPr>
              <w:t>性质</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03445647">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bl>
    <w:p w14:paraId="5682278A">
      <w:pPr>
        <w:pStyle w:val="37"/>
        <w:snapToGrid w:val="0"/>
        <w:spacing w:line="300" w:lineRule="auto"/>
        <w:jc w:val="center"/>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企业营业执照 </w:t>
      </w:r>
    </w:p>
    <w:tbl>
      <w:tblPr>
        <w:tblStyle w:val="41"/>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275"/>
        <w:gridCol w:w="1656"/>
        <w:gridCol w:w="1470"/>
        <w:gridCol w:w="1974"/>
      </w:tblGrid>
      <w:tr w14:paraId="01161AA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0D2A7298">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38CA9D5">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16FA28D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0109E75">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37E7EB12">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319F748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1CCFA10">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注册资本（元）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3226D934">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c>
          <w:tcPr>
            <w:tcW w:w="1275" w:type="dxa"/>
            <w:tcBorders>
              <w:top w:val="outset" w:color="auto" w:sz="6" w:space="0"/>
              <w:left w:val="outset" w:color="auto" w:sz="6" w:space="0"/>
              <w:bottom w:val="outset" w:color="auto" w:sz="6" w:space="0"/>
              <w:right w:val="outset" w:color="auto" w:sz="6" w:space="0"/>
            </w:tcBorders>
            <w:noWrap w:val="0"/>
            <w:vAlign w:val="center"/>
          </w:tcPr>
          <w:p w14:paraId="2D8B797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类型 </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29259352">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47C012C3">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成立时间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608945C2">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02B8CCD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65" w:hRule="atLeast"/>
        </w:trPr>
        <w:tc>
          <w:tcPr>
            <w:tcW w:w="2383" w:type="dxa"/>
            <w:tcBorders>
              <w:top w:val="outset" w:color="auto" w:sz="6" w:space="0"/>
              <w:left w:val="outset" w:color="auto" w:sz="6" w:space="0"/>
              <w:bottom w:val="outset" w:color="auto" w:sz="6" w:space="0"/>
              <w:right w:val="outset" w:color="auto" w:sz="6" w:space="0"/>
            </w:tcBorders>
            <w:noWrap w:val="0"/>
            <w:vAlign w:val="center"/>
          </w:tcPr>
          <w:p w14:paraId="14F3BD6F">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经营范围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7AA5C166">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p w14:paraId="4115F62C">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1982A64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0AF649F8">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法定代表人</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48727A4B">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275" w:type="dxa"/>
            <w:tcBorders>
              <w:top w:val="outset" w:color="auto" w:sz="6" w:space="0"/>
              <w:left w:val="outset" w:color="auto" w:sz="6" w:space="0"/>
              <w:bottom w:val="outset" w:color="auto" w:sz="6" w:space="0"/>
              <w:right w:val="outset" w:color="auto" w:sz="6" w:space="0"/>
            </w:tcBorders>
            <w:noWrap w:val="0"/>
            <w:vAlign w:val="center"/>
          </w:tcPr>
          <w:p w14:paraId="063ABDB9">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营业期限</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79A08793">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0C4FD06C">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登记机关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16E653EB">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2B78CEB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7DF136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住所</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ABC195C">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bl>
    <w:p w14:paraId="1393CCEA">
      <w:pPr>
        <w:pStyle w:val="37"/>
        <w:snapToGrid w:val="0"/>
        <w:spacing w:line="300" w:lineRule="auto"/>
        <w:jc w:val="center"/>
        <w:rPr>
          <w:rFonts w:hint="eastAsia" w:ascii="黑体" w:eastAsia="黑体" w:cs="黑体"/>
          <w:b/>
          <w:snapToGrid w:val="0"/>
          <w:color w:val="auto"/>
          <w:sz w:val="36"/>
          <w:szCs w:val="36"/>
          <w:highlight w:val="none"/>
          <w:u w:val="single"/>
        </w:rPr>
      </w:pPr>
    </w:p>
    <w:p w14:paraId="42925A71">
      <w:pPr>
        <w:pStyle w:val="37"/>
        <w:snapToGrid w:val="0"/>
        <w:spacing w:line="300" w:lineRule="auto"/>
        <w:jc w:val="center"/>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企业安全生产许可证 </w:t>
      </w:r>
    </w:p>
    <w:tbl>
      <w:tblPr>
        <w:tblStyle w:val="41"/>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25"/>
        <w:gridCol w:w="1506"/>
        <w:gridCol w:w="1470"/>
        <w:gridCol w:w="1974"/>
      </w:tblGrid>
      <w:tr w14:paraId="1AC84FB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CBD791B">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25269EC9">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1A2F84A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A16E698">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065B691D">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61CE16E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65D344D">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证书编号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7D492C6F">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c>
          <w:tcPr>
            <w:tcW w:w="1425" w:type="dxa"/>
            <w:tcBorders>
              <w:top w:val="outset" w:color="auto" w:sz="6" w:space="0"/>
              <w:left w:val="outset" w:color="auto" w:sz="6" w:space="0"/>
              <w:bottom w:val="outset" w:color="auto" w:sz="6" w:space="0"/>
              <w:right w:val="outset" w:color="auto" w:sz="6" w:space="0"/>
            </w:tcBorders>
            <w:noWrap w:val="0"/>
            <w:vAlign w:val="center"/>
          </w:tcPr>
          <w:p w14:paraId="08E9199E">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主要负责人</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11382EB8">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79C693B7">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经济类型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0AA9F6DC">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235142E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EBCD169">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法定代表人</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6CF9803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3FC6C00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营业期限</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082A2342">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6542B05C">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发证机关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799382AE">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03C637B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DE7AE98">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有效期</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6E9E15D3">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39BFF9B3">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许可范围</w:t>
            </w:r>
          </w:p>
        </w:tc>
        <w:tc>
          <w:tcPr>
            <w:tcW w:w="4950" w:type="dxa"/>
            <w:gridSpan w:val="3"/>
            <w:tcBorders>
              <w:top w:val="outset" w:color="auto" w:sz="6" w:space="0"/>
              <w:left w:val="outset" w:color="auto" w:sz="6" w:space="0"/>
              <w:bottom w:val="outset" w:color="auto" w:sz="6" w:space="0"/>
              <w:right w:val="outset" w:color="auto" w:sz="6" w:space="0"/>
            </w:tcBorders>
            <w:noWrap w:val="0"/>
            <w:vAlign w:val="center"/>
          </w:tcPr>
          <w:p w14:paraId="509C1E8E">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62385CF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79F948B">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单位地址</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708E82E2">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bl>
    <w:p w14:paraId="37C95509">
      <w:pPr>
        <w:pStyle w:val="37"/>
        <w:snapToGrid w:val="0"/>
        <w:spacing w:line="300" w:lineRule="auto"/>
        <w:jc w:val="center"/>
        <w:rPr>
          <w:rFonts w:ascii="黑体" w:eastAsia="黑体" w:cs="黑体"/>
          <w:b/>
          <w:snapToGrid w:val="0"/>
          <w:color w:val="auto"/>
          <w:sz w:val="36"/>
          <w:szCs w:val="36"/>
          <w:highlight w:val="none"/>
        </w:rPr>
      </w:pPr>
    </w:p>
    <w:p w14:paraId="2D45AB91">
      <w:pPr>
        <w:pStyle w:val="37"/>
        <w:snapToGrid w:val="0"/>
        <w:spacing w:line="300" w:lineRule="auto"/>
        <w:jc w:val="center"/>
        <w:rPr>
          <w:rFonts w:ascii="黑体" w:eastAsia="黑体" w:cs="黑体"/>
          <w:b/>
          <w:color w:val="auto"/>
          <w:sz w:val="36"/>
          <w:szCs w:val="36"/>
          <w:highlight w:val="none"/>
        </w:rPr>
      </w:pPr>
      <w:r>
        <w:rPr>
          <w:rFonts w:hint="eastAsia" w:ascii="黑体" w:eastAsia="黑体" w:cs="黑体"/>
          <w:b/>
          <w:snapToGrid w:val="0"/>
          <w:color w:val="auto"/>
          <w:sz w:val="36"/>
          <w:szCs w:val="36"/>
          <w:highlight w:val="none"/>
          <w:u w:val="single"/>
        </w:rPr>
        <w:t xml:space="preserve">        </w:t>
      </w:r>
      <w:r>
        <w:rPr>
          <w:rFonts w:hint="eastAsia" w:ascii="黑体" w:eastAsia="黑体" w:cs="黑体"/>
          <w:b/>
          <w:snapToGrid w:val="0"/>
          <w:color w:val="auto"/>
          <w:sz w:val="36"/>
          <w:szCs w:val="36"/>
          <w:highlight w:val="none"/>
        </w:rPr>
        <w:t xml:space="preserve">企业资质证书 </w:t>
      </w:r>
    </w:p>
    <w:tbl>
      <w:tblPr>
        <w:tblStyle w:val="41"/>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25"/>
        <w:gridCol w:w="1506"/>
        <w:gridCol w:w="1470"/>
        <w:gridCol w:w="1974"/>
      </w:tblGrid>
      <w:tr w14:paraId="7674E99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B0D72D2">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E10873B">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25C0D03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FD54987">
            <w:pPr>
              <w:keepNext w:val="0"/>
              <w:keepLines w:val="0"/>
              <w:widowControl/>
              <w:suppressLineNumbers w:val="0"/>
              <w:spacing w:before="0" w:beforeAutospacing="0" w:after="0" w:afterAutospacing="0" w:line="384" w:lineRule="auto"/>
              <w:ind w:left="0" w:right="0"/>
              <w:jc w:val="center"/>
              <w:rPr>
                <w:rFonts w:hint="eastAsia"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217EE5FE">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10D598D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3457D67">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证书编号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7E32A7FF">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 </w:t>
            </w:r>
          </w:p>
        </w:tc>
        <w:tc>
          <w:tcPr>
            <w:tcW w:w="1425" w:type="dxa"/>
            <w:tcBorders>
              <w:top w:val="outset" w:color="auto" w:sz="6" w:space="0"/>
              <w:left w:val="outset" w:color="auto" w:sz="6" w:space="0"/>
              <w:bottom w:val="outset" w:color="auto" w:sz="6" w:space="0"/>
              <w:right w:val="outset" w:color="auto" w:sz="6" w:space="0"/>
            </w:tcBorders>
            <w:noWrap w:val="0"/>
            <w:vAlign w:val="center"/>
          </w:tcPr>
          <w:p w14:paraId="64D1D32D">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法定代表人</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4D4C32AF">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540E1A67">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r>
              <w:rPr>
                <w:rFonts w:hint="eastAsia" w:ascii="宋体" w:hAnsi="宋体" w:eastAsia="宋体" w:cs="宋体"/>
                <w:color w:val="auto"/>
                <w:sz w:val="27"/>
                <w:szCs w:val="27"/>
                <w:highlight w:val="none"/>
                <w:lang w:bidi="ar"/>
              </w:rPr>
              <w:t xml:space="preserve">经济性质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0124041E">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27DFEF6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97BC545">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是否主项资质</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5F11C8F0">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2A143B66">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有效期</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5A941649">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748B4D82">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发证机关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4C83FE4B">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r w14:paraId="79F2587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8B7E2AF">
            <w:pPr>
              <w:keepNext w:val="0"/>
              <w:keepLines w:val="0"/>
              <w:widowControl/>
              <w:suppressLineNumbers w:val="0"/>
              <w:spacing w:before="0" w:beforeAutospacing="0" w:after="0" w:afterAutospacing="0" w:line="384" w:lineRule="auto"/>
              <w:ind w:left="0" w:right="0"/>
              <w:jc w:val="center"/>
              <w:rPr>
                <w:rFonts w:hint="default" w:ascii="宋体" w:hAnsi="宋体" w:eastAsia="宋体" w:cs="宋体"/>
                <w:color w:val="auto"/>
                <w:sz w:val="27"/>
                <w:szCs w:val="27"/>
                <w:highlight w:val="none"/>
                <w:lang w:bidi="ar"/>
              </w:rPr>
            </w:pPr>
            <w:r>
              <w:rPr>
                <w:rFonts w:hint="eastAsia" w:ascii="宋体" w:hAnsi="宋体" w:eastAsia="宋体" w:cs="宋体"/>
                <w:color w:val="auto"/>
                <w:sz w:val="27"/>
                <w:szCs w:val="27"/>
                <w:highlight w:val="none"/>
                <w:lang w:bidi="ar"/>
              </w:rPr>
              <w:t>资质类别及等级</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5A95CA37">
            <w:pPr>
              <w:keepNext w:val="0"/>
              <w:keepLines w:val="0"/>
              <w:widowControl/>
              <w:suppressLineNumbers w:val="0"/>
              <w:spacing w:before="0" w:beforeAutospacing="0" w:after="0" w:afterAutospacing="0" w:line="384" w:lineRule="auto"/>
              <w:ind w:left="0" w:right="0"/>
              <w:jc w:val="left"/>
              <w:rPr>
                <w:rFonts w:hint="default" w:ascii="宋体" w:hAnsi="宋体" w:eastAsia="宋体" w:cs="宋体"/>
                <w:color w:val="auto"/>
                <w:sz w:val="27"/>
                <w:szCs w:val="27"/>
                <w:highlight w:val="none"/>
              </w:rPr>
            </w:pPr>
          </w:p>
        </w:tc>
      </w:tr>
    </w:tbl>
    <w:p w14:paraId="5F10C4D1">
      <w:pPr>
        <w:spacing w:line="440" w:lineRule="exact"/>
        <w:rPr>
          <w:color w:val="auto"/>
          <w:highlight w:val="none"/>
        </w:rPr>
      </w:pPr>
    </w:p>
    <w:p w14:paraId="557AAE4E">
      <w:pPr>
        <w:widowControl/>
        <w:ind w:firstLine="420" w:firstLineChars="200"/>
        <w:jc w:val="left"/>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szCs w:val="21"/>
          <w:highlight w:val="none"/>
        </w:rPr>
        <w:t>【备注：企业基本情况、营业执照、企业资质证书、安全生产许可证的信息</w:t>
      </w:r>
      <w:r>
        <w:rPr>
          <w:rFonts w:hint="eastAsia" w:ascii="方正楷体_GB2312" w:hAnsi="方正楷体_GB2312" w:eastAsia="方正楷体_GB2312" w:cs="方正楷体_GB2312"/>
          <w:color w:val="auto"/>
          <w:szCs w:val="21"/>
          <w:highlight w:val="none"/>
          <w:lang w:eastAsia="zh-CN"/>
        </w:rPr>
        <w:t>均需从“</w:t>
      </w:r>
      <w:r>
        <w:rPr>
          <w:rFonts w:hint="eastAsia" w:ascii="方正楷体_GB2312" w:hAnsi="方正楷体_GB2312" w:eastAsia="方正楷体_GB2312" w:cs="方正楷体_GB2312"/>
          <w:color w:val="auto"/>
          <w:szCs w:val="21"/>
          <w:highlight w:val="none"/>
        </w:rPr>
        <w:t>桂建云</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读取</w:t>
      </w:r>
      <w:r>
        <w:rPr>
          <w:rFonts w:hint="eastAsia" w:ascii="方正楷体_GB2312" w:hAnsi="方正楷体_GB2312" w:eastAsia="方正楷体_GB2312" w:cs="方正楷体_GB2312"/>
          <w:color w:val="auto"/>
          <w:szCs w:val="21"/>
          <w:highlight w:val="none"/>
          <w:lang w:eastAsia="zh-CN"/>
        </w:rPr>
        <w:t>，投标人不可修改，不要求提供扫描件</w:t>
      </w:r>
      <w:r>
        <w:rPr>
          <w:rFonts w:hint="eastAsia" w:ascii="方正楷体_GB2312" w:hAnsi="方正楷体_GB2312" w:eastAsia="方正楷体_GB2312" w:cs="方正楷体_GB2312"/>
          <w:color w:val="auto"/>
          <w:szCs w:val="21"/>
          <w:highlight w:val="none"/>
        </w:rPr>
        <w:t>，投标人</w:t>
      </w:r>
      <w:r>
        <w:rPr>
          <w:rFonts w:hint="eastAsia" w:ascii="方正楷体_GB2312" w:hAnsi="方正楷体_GB2312" w:eastAsia="方正楷体_GB2312" w:cs="方正楷体_GB2312"/>
          <w:color w:val="auto"/>
          <w:szCs w:val="21"/>
          <w:highlight w:val="none"/>
          <w:lang w:eastAsia="zh-CN"/>
        </w:rPr>
        <w:t>以上信息</w:t>
      </w:r>
      <w:r>
        <w:rPr>
          <w:rFonts w:hint="eastAsia" w:ascii="方正楷体_GB2312" w:hAnsi="方正楷体_GB2312" w:eastAsia="方正楷体_GB2312" w:cs="方正楷体_GB2312"/>
          <w:color w:val="auto"/>
          <w:szCs w:val="21"/>
          <w:highlight w:val="none"/>
        </w:rPr>
        <w:t>未通过</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桂建云</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读取的，在评审时不予承认</w:t>
      </w:r>
      <w:r>
        <w:rPr>
          <w:rFonts w:hint="eastAsia" w:ascii="方正楷体_GB2312" w:hAnsi="方正楷体_GB2312" w:eastAsia="方正楷体_GB2312" w:cs="方正楷体_GB2312"/>
          <w:color w:val="auto"/>
          <w:szCs w:val="21"/>
          <w:highlight w:val="none"/>
          <w:lang w:eastAsia="zh-CN"/>
        </w:rPr>
        <w:t>】</w:t>
      </w:r>
    </w:p>
    <w:p w14:paraId="5004293D">
      <w:pPr>
        <w:pStyle w:val="136"/>
        <w:jc w:val="center"/>
        <w:outlineLvl w:val="0"/>
        <w:rPr>
          <w:color w:val="auto"/>
          <w:sz w:val="28"/>
          <w:szCs w:val="28"/>
          <w:highlight w:val="none"/>
        </w:rPr>
      </w:pPr>
      <w:r>
        <w:rPr>
          <w:color w:val="auto"/>
          <w:highlight w:val="none"/>
        </w:rPr>
        <w:br w:type="page"/>
      </w:r>
      <w:r>
        <w:rPr>
          <w:rFonts w:hint="eastAsia" w:cs="宋体"/>
          <w:b/>
          <w:bCs/>
          <w:color w:val="auto"/>
          <w:sz w:val="28"/>
          <w:szCs w:val="28"/>
          <w:highlight w:val="none"/>
          <w:lang w:val="en-US" w:eastAsia="zh-CN"/>
        </w:rPr>
        <w:t>3.</w:t>
      </w:r>
      <w:r>
        <w:rPr>
          <w:rFonts w:hint="eastAsia" w:cs="宋体"/>
          <w:b/>
          <w:bCs/>
          <w:color w:val="auto"/>
          <w:sz w:val="28"/>
          <w:szCs w:val="28"/>
          <w:highlight w:val="none"/>
        </w:rPr>
        <w:t>联合体协议书（联合体投标人适用）</w:t>
      </w:r>
    </w:p>
    <w:p w14:paraId="7AE86C3A">
      <w:pPr>
        <w:spacing w:line="394" w:lineRule="exact"/>
        <w:rPr>
          <w:color w:val="auto"/>
          <w:highlight w:val="none"/>
        </w:rPr>
      </w:pPr>
      <w:r>
        <w:rPr>
          <w:rFonts w:hint="eastAsia" w:cs="宋体"/>
          <w:color w:val="auto"/>
          <w:highlight w:val="none"/>
        </w:rPr>
        <w:t>牵头人名称：</w:t>
      </w:r>
      <w:r>
        <w:rPr>
          <w:color w:val="auto"/>
          <w:highlight w:val="none"/>
          <w:u w:val="single"/>
        </w:rPr>
        <w:t xml:space="preserve">                                                  </w:t>
      </w:r>
    </w:p>
    <w:p w14:paraId="2E595EE5">
      <w:pPr>
        <w:spacing w:line="394" w:lineRule="exact"/>
        <w:rPr>
          <w:color w:val="auto"/>
          <w:highlight w:val="none"/>
        </w:rPr>
      </w:pPr>
      <w:r>
        <w:rPr>
          <w:rFonts w:hint="eastAsia" w:cs="宋体"/>
          <w:color w:val="auto"/>
          <w:highlight w:val="none"/>
        </w:rPr>
        <w:t>法定代表人：</w:t>
      </w:r>
      <w:r>
        <w:rPr>
          <w:color w:val="auto"/>
          <w:highlight w:val="none"/>
          <w:u w:val="single"/>
        </w:rPr>
        <w:t xml:space="preserve">                                                  </w:t>
      </w:r>
    </w:p>
    <w:p w14:paraId="274CB095">
      <w:pPr>
        <w:spacing w:line="394" w:lineRule="exact"/>
        <w:rPr>
          <w:color w:val="auto"/>
          <w:highlight w:val="none"/>
        </w:rPr>
      </w:pPr>
      <w:r>
        <w:rPr>
          <w:rFonts w:hint="eastAsia" w:cs="宋体"/>
          <w:color w:val="auto"/>
          <w:highlight w:val="none"/>
        </w:rPr>
        <w:t>法定住所：</w:t>
      </w:r>
      <w:r>
        <w:rPr>
          <w:color w:val="auto"/>
          <w:highlight w:val="none"/>
          <w:u w:val="single"/>
        </w:rPr>
        <w:t xml:space="preserve">                                                    </w:t>
      </w:r>
    </w:p>
    <w:p w14:paraId="771469E6">
      <w:pPr>
        <w:spacing w:line="394" w:lineRule="exact"/>
        <w:rPr>
          <w:color w:val="auto"/>
          <w:highlight w:val="none"/>
        </w:rPr>
      </w:pPr>
      <w:r>
        <w:rPr>
          <w:rFonts w:hint="eastAsia" w:cs="宋体"/>
          <w:color w:val="auto"/>
          <w:highlight w:val="none"/>
        </w:rPr>
        <w:t>成员二名称：</w:t>
      </w:r>
      <w:r>
        <w:rPr>
          <w:color w:val="auto"/>
          <w:highlight w:val="none"/>
          <w:u w:val="single"/>
        </w:rPr>
        <w:t xml:space="preserve">                                                  </w:t>
      </w:r>
    </w:p>
    <w:p w14:paraId="50FFFD0B">
      <w:pPr>
        <w:spacing w:line="394" w:lineRule="exact"/>
        <w:rPr>
          <w:color w:val="auto"/>
          <w:highlight w:val="none"/>
        </w:rPr>
      </w:pPr>
      <w:r>
        <w:rPr>
          <w:rFonts w:hint="eastAsia" w:cs="宋体"/>
          <w:color w:val="auto"/>
          <w:highlight w:val="none"/>
        </w:rPr>
        <w:t>法定代表人：</w:t>
      </w:r>
      <w:r>
        <w:rPr>
          <w:color w:val="auto"/>
          <w:highlight w:val="none"/>
          <w:u w:val="single"/>
        </w:rPr>
        <w:t xml:space="preserve">                                                  </w:t>
      </w:r>
    </w:p>
    <w:p w14:paraId="5041D868">
      <w:pPr>
        <w:spacing w:line="394" w:lineRule="exact"/>
        <w:rPr>
          <w:color w:val="auto"/>
          <w:highlight w:val="none"/>
          <w:u w:val="single"/>
        </w:rPr>
      </w:pPr>
      <w:r>
        <w:rPr>
          <w:rFonts w:hint="eastAsia" w:cs="宋体"/>
          <w:color w:val="auto"/>
          <w:highlight w:val="none"/>
        </w:rPr>
        <w:t>法定住所：</w:t>
      </w:r>
      <w:r>
        <w:rPr>
          <w:color w:val="auto"/>
          <w:highlight w:val="none"/>
          <w:u w:val="single"/>
        </w:rPr>
        <w:t xml:space="preserve">                                                    </w:t>
      </w:r>
    </w:p>
    <w:p w14:paraId="0CCCB2B6">
      <w:pPr>
        <w:spacing w:line="394" w:lineRule="exact"/>
        <w:rPr>
          <w:color w:val="auto"/>
          <w:highlight w:val="none"/>
        </w:rPr>
      </w:pPr>
      <w:r>
        <w:rPr>
          <w:color w:val="auto"/>
          <w:highlight w:val="none"/>
        </w:rPr>
        <w:t>……</w:t>
      </w:r>
    </w:p>
    <w:p w14:paraId="359F333F">
      <w:pPr>
        <w:spacing w:line="400" w:lineRule="exact"/>
        <w:ind w:firstLine="420" w:firstLineChars="200"/>
        <w:rPr>
          <w:color w:val="auto"/>
          <w:highlight w:val="none"/>
        </w:rPr>
      </w:pPr>
      <w:r>
        <w:rPr>
          <w:rFonts w:hint="eastAsia" w:cs="宋体"/>
          <w:color w:val="auto"/>
          <w:highlight w:val="none"/>
        </w:rPr>
        <w:t>鉴于上述各成员单位经过友好协商，自愿组成</w:t>
      </w:r>
      <w:r>
        <w:rPr>
          <w:color w:val="auto"/>
          <w:highlight w:val="none"/>
          <w:u w:val="single"/>
        </w:rPr>
        <w:t xml:space="preserve">                          </w:t>
      </w:r>
      <w:r>
        <w:rPr>
          <w:rFonts w:hint="eastAsia" w:cs="宋体"/>
          <w:color w:val="auto"/>
          <w:highlight w:val="none"/>
        </w:rPr>
        <w:t>（联合体名称）联合体，共同参加</w:t>
      </w:r>
      <w:r>
        <w:rPr>
          <w:color w:val="auto"/>
          <w:highlight w:val="none"/>
          <w:u w:val="single"/>
        </w:rPr>
        <w:t xml:space="preserve">                                     </w:t>
      </w:r>
      <w:r>
        <w:rPr>
          <w:rFonts w:hint="eastAsia" w:cs="宋体"/>
          <w:color w:val="auto"/>
          <w:highlight w:val="none"/>
        </w:rPr>
        <w:t>（招标人名称）（以下简称招标人）</w:t>
      </w:r>
    </w:p>
    <w:p w14:paraId="04C698AA">
      <w:pPr>
        <w:spacing w:line="400" w:lineRule="exact"/>
        <w:rPr>
          <w:color w:val="auto"/>
          <w:highlight w:val="none"/>
        </w:rPr>
      </w:pPr>
      <w:r>
        <w:rPr>
          <w:color w:val="auto"/>
          <w:highlight w:val="none"/>
          <w:u w:val="single"/>
        </w:rPr>
        <w:t xml:space="preserve">                           </w:t>
      </w:r>
      <w:r>
        <w:rPr>
          <w:rFonts w:hint="eastAsia" w:cs="宋体"/>
          <w:color w:val="auto"/>
          <w:highlight w:val="none"/>
          <w:lang w:eastAsia="zh-CN"/>
        </w:rPr>
        <w:t>广西警察学院长湖校区3号学员公寓楼改造工程（重）</w:t>
      </w:r>
      <w:r>
        <w:rPr>
          <w:rFonts w:hint="eastAsia" w:cs="宋体"/>
          <w:color w:val="auto"/>
          <w:highlight w:val="none"/>
        </w:rPr>
        <w:t>（以下简称本工程）的施工投标并争取赢得本工程施工承包合同（以下简称合同）。现就联合体投标事宜订立如下协议：</w:t>
      </w:r>
    </w:p>
    <w:p w14:paraId="46A8182C">
      <w:pPr>
        <w:spacing w:line="400" w:lineRule="exact"/>
        <w:ind w:firstLine="420" w:firstLineChars="200"/>
        <w:rPr>
          <w:color w:val="auto"/>
          <w:highlight w:val="none"/>
        </w:rPr>
      </w:pPr>
      <w:r>
        <w:rPr>
          <w:rFonts w:hint="eastAsia"/>
          <w:color w:val="auto"/>
          <w:highlight w:val="none"/>
          <w:lang w:eastAsia="zh-CN"/>
        </w:rPr>
        <w:t>1.</w:t>
      </w:r>
      <w:r>
        <w:rPr>
          <w:color w:val="auto"/>
          <w:highlight w:val="none"/>
          <w:u w:val="single"/>
        </w:rPr>
        <w:t xml:space="preserve">        </w:t>
      </w:r>
      <w:r>
        <w:rPr>
          <w:rFonts w:hint="eastAsia" w:cs="宋体"/>
          <w:color w:val="auto"/>
          <w:highlight w:val="none"/>
        </w:rPr>
        <w:t>（某成员单位名称）为</w:t>
      </w:r>
      <w:r>
        <w:rPr>
          <w:color w:val="auto"/>
          <w:highlight w:val="none"/>
          <w:u w:val="single"/>
        </w:rPr>
        <w:t xml:space="preserve">              </w:t>
      </w:r>
      <w:r>
        <w:rPr>
          <w:rFonts w:hint="eastAsia" w:cs="宋体"/>
          <w:color w:val="auto"/>
          <w:highlight w:val="none"/>
        </w:rPr>
        <w:t>（联合体名称）牵头人。</w:t>
      </w:r>
    </w:p>
    <w:p w14:paraId="44652F2F">
      <w:pPr>
        <w:spacing w:line="400" w:lineRule="exact"/>
        <w:ind w:firstLine="420" w:firstLineChars="200"/>
        <w:rPr>
          <w:color w:val="auto"/>
          <w:highlight w:val="none"/>
        </w:rPr>
      </w:pPr>
      <w:r>
        <w:rPr>
          <w:rFonts w:hint="eastAsia"/>
          <w:color w:val="auto"/>
          <w:highlight w:val="none"/>
          <w:lang w:eastAsia="zh-CN"/>
        </w:rPr>
        <w:t>2.</w:t>
      </w:r>
      <w:r>
        <w:rPr>
          <w:rFonts w:hint="eastAsia" w:cs="宋体"/>
          <w:color w:val="auto"/>
          <w:highlight w:val="none"/>
        </w:rPr>
        <w:t>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14:paraId="0859C6E9">
      <w:pPr>
        <w:spacing w:line="400" w:lineRule="exact"/>
        <w:ind w:firstLine="420" w:firstLineChars="200"/>
        <w:rPr>
          <w:color w:val="auto"/>
          <w:highlight w:val="none"/>
        </w:rPr>
      </w:pPr>
      <w:r>
        <w:rPr>
          <w:rFonts w:hint="eastAsia"/>
          <w:color w:val="auto"/>
          <w:highlight w:val="none"/>
          <w:lang w:eastAsia="zh-CN"/>
        </w:rPr>
        <w:t>3.</w:t>
      </w:r>
      <w:r>
        <w:rPr>
          <w:rFonts w:hint="eastAsia" w:cs="宋体"/>
          <w:color w:val="auto"/>
          <w:highlight w:val="none"/>
        </w:rPr>
        <w:t>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3EB83F59">
      <w:pPr>
        <w:spacing w:line="400" w:lineRule="exact"/>
        <w:ind w:firstLine="420" w:firstLineChars="200"/>
        <w:rPr>
          <w:color w:val="auto"/>
          <w:highlight w:val="none"/>
        </w:rPr>
      </w:pPr>
      <w:r>
        <w:rPr>
          <w:rFonts w:hint="eastAsia"/>
          <w:color w:val="auto"/>
          <w:highlight w:val="none"/>
          <w:lang w:eastAsia="zh-CN"/>
        </w:rPr>
        <w:t>4.</w:t>
      </w:r>
      <w:r>
        <w:rPr>
          <w:rFonts w:hint="eastAsia" w:cs="宋体"/>
          <w:color w:val="auto"/>
          <w:highlight w:val="none"/>
        </w:rPr>
        <w:t>联合体各成员单位内部的职责分工如下：</w:t>
      </w:r>
      <w:r>
        <w:rPr>
          <w:color w:val="auto"/>
          <w:highlight w:val="none"/>
          <w:u w:val="single"/>
        </w:rPr>
        <w:t xml:space="preserve">                                    </w:t>
      </w:r>
      <w:r>
        <w:rPr>
          <w:rFonts w:hint="eastAsia" w:cs="宋体"/>
          <w:color w:val="auto"/>
          <w:highlight w:val="none"/>
        </w:rPr>
        <w:t>。按照本条上述分工，联合体成员单位各自所承担的合同工作量比例如下：</w:t>
      </w:r>
      <w:r>
        <w:rPr>
          <w:color w:val="auto"/>
          <w:highlight w:val="none"/>
          <w:u w:val="single"/>
        </w:rPr>
        <w:t xml:space="preserve">               </w:t>
      </w:r>
      <w:r>
        <w:rPr>
          <w:rFonts w:hint="eastAsia" w:cs="宋体"/>
          <w:color w:val="auto"/>
          <w:highlight w:val="none"/>
        </w:rPr>
        <w:t>。</w:t>
      </w:r>
      <w:r>
        <w:rPr>
          <w:rFonts w:hint="eastAsia" w:ascii="Times New Roman" w:hAnsi="Times New Roman" w:cs="Times New Roman"/>
          <w:color w:val="auto"/>
          <w:szCs w:val="21"/>
          <w:highlight w:val="none"/>
          <w:u w:val="single"/>
        </w:rPr>
        <w:t>联合体小</w:t>
      </w:r>
      <w:r>
        <w:rPr>
          <w:rFonts w:hint="eastAsia" w:cs="Times New Roman"/>
          <w:color w:val="auto"/>
          <w:szCs w:val="21"/>
          <w:highlight w:val="none"/>
          <w:u w:val="single"/>
          <w:lang w:val="en-US" w:eastAsia="zh-CN"/>
        </w:rPr>
        <w:t>微</w:t>
      </w:r>
      <w:r>
        <w:rPr>
          <w:rFonts w:hint="eastAsia" w:ascii="Times New Roman" w:hAnsi="Times New Roman" w:cs="Times New Roman"/>
          <w:color w:val="auto"/>
          <w:szCs w:val="21"/>
          <w:highlight w:val="none"/>
          <w:u w:val="single"/>
        </w:rPr>
        <w:t>企业承担的部分达到的比例</w:t>
      </w:r>
      <w:r>
        <w:rPr>
          <w:rFonts w:hint="eastAsia" w:ascii="Times New Roman" w:hAnsi="Times New Roman" w:cs="Times New Roman"/>
          <w:color w:val="auto"/>
          <w:szCs w:val="21"/>
          <w:highlight w:val="none"/>
          <w:u w:val="single"/>
          <w:lang w:val="en-US" w:eastAsia="zh-CN"/>
        </w:rPr>
        <w:t>为     %。</w:t>
      </w:r>
    </w:p>
    <w:p w14:paraId="7B4D495C">
      <w:pPr>
        <w:spacing w:line="400" w:lineRule="exact"/>
        <w:ind w:firstLine="420" w:firstLineChars="200"/>
        <w:rPr>
          <w:color w:val="auto"/>
          <w:highlight w:val="none"/>
        </w:rPr>
      </w:pPr>
      <w:r>
        <w:rPr>
          <w:rFonts w:hint="eastAsia"/>
          <w:color w:val="auto"/>
          <w:highlight w:val="none"/>
          <w:lang w:eastAsia="zh-CN"/>
        </w:rPr>
        <w:t>5.</w:t>
      </w:r>
      <w:r>
        <w:rPr>
          <w:rFonts w:hint="eastAsia" w:cs="宋体"/>
          <w:color w:val="auto"/>
          <w:highlight w:val="none"/>
        </w:rPr>
        <w:t>投标工作和联合体在中标后工程实施过程中的有关费用按各自承担的工作量分摊。</w:t>
      </w:r>
    </w:p>
    <w:p w14:paraId="0E42F665">
      <w:pPr>
        <w:spacing w:line="400" w:lineRule="exact"/>
        <w:ind w:firstLine="420" w:firstLineChars="200"/>
        <w:rPr>
          <w:color w:val="auto"/>
          <w:highlight w:val="none"/>
        </w:rPr>
      </w:pPr>
      <w:r>
        <w:rPr>
          <w:rFonts w:hint="eastAsia"/>
          <w:color w:val="auto"/>
          <w:highlight w:val="none"/>
          <w:lang w:eastAsia="zh-CN"/>
        </w:rPr>
        <w:t>6.</w:t>
      </w:r>
      <w:r>
        <w:rPr>
          <w:rFonts w:hint="eastAsia" w:cs="宋体"/>
          <w:color w:val="auto"/>
          <w:highlight w:val="none"/>
        </w:rPr>
        <w:t>联合体中标后，本联合体协议是合同的附件，对联合体各成员单位有合同约束力。</w:t>
      </w:r>
    </w:p>
    <w:p w14:paraId="7E1685DF">
      <w:pPr>
        <w:spacing w:line="400" w:lineRule="exact"/>
        <w:ind w:firstLine="420" w:firstLineChars="200"/>
        <w:rPr>
          <w:color w:val="auto"/>
          <w:highlight w:val="none"/>
        </w:rPr>
      </w:pPr>
      <w:r>
        <w:rPr>
          <w:rFonts w:hint="eastAsia"/>
          <w:color w:val="auto"/>
          <w:highlight w:val="none"/>
          <w:lang w:eastAsia="zh-CN"/>
        </w:rPr>
        <w:t>7.</w:t>
      </w:r>
      <w:r>
        <w:rPr>
          <w:rFonts w:hint="eastAsia" w:cs="宋体"/>
          <w:color w:val="auto"/>
          <w:highlight w:val="none"/>
        </w:rPr>
        <w:t>本协议书自签署之日起生效，联合体未中标或者中标时合同履行完毕后自动失效。</w:t>
      </w:r>
    </w:p>
    <w:p w14:paraId="6D0E1BB6">
      <w:pPr>
        <w:spacing w:line="400" w:lineRule="exact"/>
        <w:ind w:firstLine="420" w:firstLineChars="200"/>
        <w:rPr>
          <w:color w:val="auto"/>
          <w:highlight w:val="none"/>
        </w:rPr>
      </w:pPr>
      <w:r>
        <w:rPr>
          <w:rFonts w:hint="eastAsia"/>
          <w:color w:val="auto"/>
          <w:highlight w:val="none"/>
          <w:lang w:eastAsia="zh-CN"/>
        </w:rPr>
        <w:t>8.</w:t>
      </w:r>
      <w:r>
        <w:rPr>
          <w:rFonts w:hint="eastAsia" w:cs="宋体"/>
          <w:color w:val="auto"/>
          <w:highlight w:val="none"/>
        </w:rPr>
        <w:t>本协议书一式</w:t>
      </w:r>
      <w:r>
        <w:rPr>
          <w:color w:val="auto"/>
          <w:highlight w:val="none"/>
          <w:u w:val="single"/>
        </w:rPr>
        <w:t xml:space="preserve">            </w:t>
      </w:r>
      <w:r>
        <w:rPr>
          <w:rFonts w:hint="eastAsia" w:cs="宋体"/>
          <w:color w:val="auto"/>
          <w:highlight w:val="none"/>
        </w:rPr>
        <w:t>份，联合体成员和招标人各执一份。</w:t>
      </w:r>
    </w:p>
    <w:p w14:paraId="61940EC3">
      <w:pPr>
        <w:spacing w:line="394" w:lineRule="exact"/>
        <w:rPr>
          <w:color w:val="auto"/>
          <w:highlight w:val="none"/>
        </w:rPr>
      </w:pPr>
    </w:p>
    <w:p w14:paraId="14B86F02">
      <w:pPr>
        <w:spacing w:line="394" w:lineRule="exact"/>
        <w:ind w:firstLine="1785" w:firstLineChars="850"/>
        <w:rPr>
          <w:color w:val="auto"/>
          <w:highlight w:val="none"/>
        </w:rPr>
      </w:pPr>
      <w:r>
        <w:rPr>
          <w:rFonts w:hint="eastAsia" w:cs="宋体"/>
          <w:color w:val="auto"/>
          <w:highlight w:val="none"/>
        </w:rPr>
        <w:t>牵头人名称：</w:t>
      </w:r>
      <w:r>
        <w:rPr>
          <w:color w:val="auto"/>
          <w:highlight w:val="none"/>
          <w:u w:val="single"/>
        </w:rPr>
        <w:t xml:space="preserve">                                    </w:t>
      </w:r>
      <w:r>
        <w:rPr>
          <w:rFonts w:hint="eastAsia" w:cs="宋体"/>
          <w:color w:val="auto"/>
          <w:highlight w:val="none"/>
        </w:rPr>
        <w:t>（盖</w:t>
      </w:r>
      <w:r>
        <w:rPr>
          <w:rFonts w:hint="eastAsia" w:cs="宋体"/>
          <w:color w:val="auto"/>
          <w:highlight w:val="none"/>
          <w:lang w:eastAsia="zh-CN"/>
        </w:rPr>
        <w:t>法人</w:t>
      </w:r>
      <w:r>
        <w:rPr>
          <w:rFonts w:hint="eastAsia" w:cs="宋体"/>
          <w:color w:val="auto"/>
          <w:highlight w:val="none"/>
        </w:rPr>
        <w:t>单位章）</w:t>
      </w:r>
    </w:p>
    <w:p w14:paraId="0E2E0740">
      <w:pPr>
        <w:spacing w:line="394" w:lineRule="exact"/>
        <w:ind w:firstLine="1785" w:firstLineChars="850"/>
        <w:rPr>
          <w:color w:val="auto"/>
          <w:highlight w:val="none"/>
        </w:rPr>
      </w:pPr>
    </w:p>
    <w:p w14:paraId="7E6E8F33">
      <w:pPr>
        <w:spacing w:line="394" w:lineRule="exact"/>
        <w:ind w:firstLine="1785" w:firstLineChars="850"/>
        <w:rPr>
          <w:color w:val="auto"/>
          <w:highlight w:val="none"/>
        </w:rPr>
      </w:pPr>
      <w:r>
        <w:rPr>
          <w:rFonts w:hint="eastAsia" w:cs="宋体"/>
          <w:color w:val="auto"/>
          <w:highlight w:val="none"/>
        </w:rPr>
        <w:t>成员二名称：</w:t>
      </w:r>
      <w:r>
        <w:rPr>
          <w:color w:val="auto"/>
          <w:highlight w:val="none"/>
          <w:u w:val="single"/>
        </w:rPr>
        <w:t xml:space="preserve">                                    </w:t>
      </w:r>
      <w:r>
        <w:rPr>
          <w:rFonts w:hint="eastAsia" w:cs="宋体"/>
          <w:color w:val="auto"/>
          <w:highlight w:val="none"/>
        </w:rPr>
        <w:t>（盖</w:t>
      </w:r>
      <w:r>
        <w:rPr>
          <w:rFonts w:hint="eastAsia" w:cs="宋体"/>
          <w:color w:val="auto"/>
          <w:highlight w:val="none"/>
          <w:lang w:eastAsia="zh-CN"/>
        </w:rPr>
        <w:t>法人</w:t>
      </w:r>
      <w:r>
        <w:rPr>
          <w:rFonts w:hint="eastAsia" w:cs="宋体"/>
          <w:color w:val="auto"/>
          <w:highlight w:val="none"/>
        </w:rPr>
        <w:t>单位章）</w:t>
      </w:r>
    </w:p>
    <w:p w14:paraId="3AF5A6E4">
      <w:pPr>
        <w:spacing w:line="394" w:lineRule="exact"/>
        <w:ind w:firstLine="1785" w:firstLineChars="850"/>
        <w:rPr>
          <w:color w:val="auto"/>
          <w:highlight w:val="none"/>
        </w:rPr>
      </w:pPr>
      <w:r>
        <w:rPr>
          <w:color w:val="auto"/>
          <w:highlight w:val="none"/>
        </w:rPr>
        <w:t>……</w:t>
      </w:r>
    </w:p>
    <w:p w14:paraId="31C053CC">
      <w:pPr>
        <w:wordWrap w:val="0"/>
        <w:spacing w:line="394" w:lineRule="exact"/>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1B347337">
      <w:pPr>
        <w:spacing w:line="394" w:lineRule="exact"/>
        <w:rPr>
          <w:color w:val="auto"/>
          <w:highlight w:val="none"/>
        </w:rPr>
      </w:pPr>
    </w:p>
    <w:p w14:paraId="4386063E">
      <w:pPr>
        <w:spacing w:line="394" w:lineRule="exact"/>
        <w:rPr>
          <w:color w:val="auto"/>
          <w:highlight w:val="none"/>
        </w:rPr>
      </w:pPr>
    </w:p>
    <w:p w14:paraId="3082D09C">
      <w:pPr>
        <w:spacing w:line="394" w:lineRule="exact"/>
        <w:rPr>
          <w:rFonts w:hint="eastAsia"/>
          <w:color w:val="auto"/>
          <w:highlight w:val="none"/>
        </w:rPr>
      </w:pPr>
    </w:p>
    <w:p w14:paraId="7595F285">
      <w:pPr>
        <w:spacing w:line="394" w:lineRule="exact"/>
        <w:rPr>
          <w:rFonts w:hint="eastAsia"/>
          <w:color w:val="auto"/>
          <w:highlight w:val="none"/>
        </w:rPr>
      </w:pPr>
    </w:p>
    <w:p w14:paraId="4C1BD38D">
      <w:pPr>
        <w:pStyle w:val="136"/>
        <w:jc w:val="center"/>
        <w:outlineLvl w:val="0"/>
        <w:rPr>
          <w:rFonts w:cs="宋体"/>
          <w:b/>
          <w:bCs/>
          <w:color w:val="auto"/>
          <w:sz w:val="28"/>
          <w:szCs w:val="28"/>
          <w:highlight w:val="none"/>
        </w:rPr>
      </w:pPr>
      <w:r>
        <w:rPr>
          <w:rFonts w:hint="eastAsia" w:cs="宋体"/>
          <w:b/>
          <w:bCs/>
          <w:color w:val="auto"/>
          <w:sz w:val="28"/>
          <w:szCs w:val="28"/>
          <w:highlight w:val="none"/>
          <w:lang w:val="en-US" w:eastAsia="zh-CN"/>
        </w:rPr>
        <w:t>4.</w:t>
      </w:r>
      <w:r>
        <w:rPr>
          <w:rFonts w:hint="eastAsia" w:cs="宋体"/>
          <w:b/>
          <w:bCs/>
          <w:color w:val="auto"/>
          <w:sz w:val="28"/>
          <w:szCs w:val="28"/>
          <w:highlight w:val="none"/>
        </w:rPr>
        <w:t>投标保证金</w:t>
      </w:r>
    </w:p>
    <w:p w14:paraId="2CDFFA4A">
      <w:pPr>
        <w:spacing w:line="480" w:lineRule="auto"/>
        <w:ind w:firstLine="525" w:firstLineChars="250"/>
        <w:jc w:val="left"/>
        <w:rPr>
          <w:rFonts w:cs="宋体"/>
          <w:color w:val="auto"/>
          <w:sz w:val="28"/>
          <w:szCs w:val="28"/>
          <w:highlight w:val="none"/>
        </w:rPr>
      </w:pPr>
      <w:r>
        <w:rPr>
          <w:rFonts w:hint="eastAsia" w:cs="宋体"/>
          <w:color w:val="auto"/>
          <w:highlight w:val="none"/>
        </w:rPr>
        <w:t>投标保证金的</w:t>
      </w:r>
      <w:r>
        <w:rPr>
          <w:rFonts w:hint="eastAsia" w:cs="宋体"/>
          <w:color w:val="auto"/>
          <w:highlight w:val="none"/>
          <w:lang w:eastAsia="zh-CN"/>
        </w:rPr>
        <w:t>转账</w:t>
      </w:r>
      <w:r>
        <w:rPr>
          <w:rFonts w:hint="eastAsia" w:cs="宋体"/>
          <w:color w:val="auto"/>
          <w:highlight w:val="none"/>
        </w:rPr>
        <w:t>（或电汇、网上支付）底单原件的扫描件、电子转账截图或保函（</w:t>
      </w:r>
      <w:r>
        <w:rPr>
          <w:rFonts w:hint="eastAsia" w:ascii="Times New Roman" w:hAnsi="宋体" w:eastAsia="宋体" w:cs="Times New Roman"/>
          <w:b w:val="0"/>
          <w:i w:val="0"/>
          <w:caps w:val="0"/>
          <w:color w:val="auto"/>
          <w:spacing w:val="0"/>
          <w:sz w:val="21"/>
          <w:szCs w:val="21"/>
          <w:highlight w:val="none"/>
          <w:shd w:val="clear" w:color="auto" w:fill="auto"/>
          <w:lang w:bidi="ar-SA"/>
        </w:rPr>
        <w:t>投标人使用</w:t>
      </w:r>
      <w:r>
        <w:rPr>
          <w:rFonts w:hint="eastAsia" w:hAnsi="宋体" w:cs="Times New Roman"/>
          <w:b w:val="0"/>
          <w:i w:val="0"/>
          <w:caps w:val="0"/>
          <w:color w:val="auto"/>
          <w:spacing w:val="0"/>
          <w:sz w:val="21"/>
          <w:szCs w:val="21"/>
          <w:highlight w:val="none"/>
          <w:shd w:val="clear" w:color="auto" w:fill="auto"/>
          <w:lang w:eastAsia="zh-CN" w:bidi="ar-SA"/>
        </w:rPr>
        <w:t>银行保函、电子保函、保证保险保函、工程担保保函</w:t>
      </w:r>
      <w:r>
        <w:rPr>
          <w:rFonts w:hint="eastAsia" w:ascii="Times New Roman" w:hAnsi="宋体" w:eastAsia="宋体" w:cs="Times New Roman"/>
          <w:b w:val="0"/>
          <w:i w:val="0"/>
          <w:caps w:val="0"/>
          <w:color w:val="auto"/>
          <w:spacing w:val="0"/>
          <w:sz w:val="21"/>
          <w:szCs w:val="21"/>
          <w:highlight w:val="none"/>
          <w:shd w:val="clear" w:color="auto" w:fill="auto"/>
          <w:lang w:bidi="ar-SA"/>
        </w:rPr>
        <w:t>时，投标人开具纸质保函的，需将保函原件扫描件作为投标文件的组成部分同步上传至全国公共资源交易平台(广西壮族自治区)，</w:t>
      </w:r>
      <w:r>
        <w:rPr>
          <w:rFonts w:hint="eastAsia" w:hAnsi="宋体" w:cs="Times New Roman"/>
          <w:b w:val="0"/>
          <w:i w:val="0"/>
          <w:caps w:val="0"/>
          <w:color w:val="auto"/>
          <w:spacing w:val="0"/>
          <w:sz w:val="21"/>
          <w:szCs w:val="21"/>
          <w:highlight w:val="none"/>
          <w:shd w:val="clear" w:color="auto" w:fill="auto"/>
          <w:lang w:eastAsia="zh-CN" w:bidi="ar-SA"/>
        </w:rPr>
        <w:t>采用工程担保保函的</w:t>
      </w:r>
      <w:r>
        <w:rPr>
          <w:rFonts w:hint="eastAsia" w:ascii="Times New Roman" w:hAnsi="宋体" w:eastAsia="宋体" w:cs="Times New Roman"/>
          <w:b w:val="0"/>
          <w:i w:val="0"/>
          <w:caps w:val="0"/>
          <w:color w:val="auto"/>
          <w:spacing w:val="0"/>
          <w:sz w:val="21"/>
          <w:szCs w:val="21"/>
          <w:highlight w:val="none"/>
          <w:shd w:val="clear" w:color="auto" w:fill="auto"/>
          <w:lang w:bidi="ar-SA"/>
        </w:rPr>
        <w:t>，工程担保保证人应将出具的纸质保函相关信息录入</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广西建筑市场监管云</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平台，以实现开标时保函的自动查询及验真通过，否则投标无效</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投标人开具电子保函的，需通过全国公共资源交易平台(广西壮族自治区)电子交易系统在开标时自动认证通过，否则投标无效</w:t>
      </w:r>
      <w:r>
        <w:rPr>
          <w:rFonts w:hint="eastAsia" w:ascii="Times New Roman" w:hAnsi="宋体" w:eastAsia="宋体" w:cs="Times New Roman"/>
          <w:b w:val="0"/>
          <w:i w:val="0"/>
          <w:caps w:val="0"/>
          <w:color w:val="auto"/>
          <w:spacing w:val="0"/>
          <w:sz w:val="21"/>
          <w:szCs w:val="21"/>
          <w:highlight w:val="none"/>
          <w:shd w:val="clear" w:color="auto" w:fill="auto"/>
          <w:lang w:eastAsia="zh-CN" w:bidi="ar-SA"/>
        </w:rPr>
        <w:t>）</w:t>
      </w:r>
      <w:r>
        <w:rPr>
          <w:rFonts w:hint="eastAsia" w:cs="宋体"/>
          <w:color w:val="auto"/>
          <w:sz w:val="28"/>
          <w:szCs w:val="28"/>
          <w:highlight w:val="none"/>
        </w:rPr>
        <w:t>。</w:t>
      </w:r>
    </w:p>
    <w:p w14:paraId="3AB11E1E">
      <w:pPr>
        <w:spacing w:line="360" w:lineRule="auto"/>
        <w:jc w:val="left"/>
        <w:rPr>
          <w:rFonts w:hint="eastAsia" w:ascii="黑体" w:hAnsi="黑体" w:eastAsia="黑体" w:cs="黑体"/>
          <w:b/>
          <w:bCs/>
          <w:color w:val="auto"/>
          <w:sz w:val="32"/>
          <w:szCs w:val="32"/>
          <w:highlight w:val="none"/>
        </w:rPr>
      </w:pPr>
    </w:p>
    <w:p w14:paraId="00FDCCEE">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投标保函示范文本</w:t>
      </w:r>
    </w:p>
    <w:p w14:paraId="31FA9A4F">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00FCA928">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701274B0">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6B9B599E">
      <w:pPr>
        <w:spacing w:line="360" w:lineRule="auto"/>
        <w:rPr>
          <w:rFonts w:ascii="宋体" w:hAnsi="宋体"/>
          <w:color w:val="auto"/>
          <w:sz w:val="24"/>
          <w:szCs w:val="24"/>
          <w:highlight w:val="none"/>
        </w:rPr>
      </w:pPr>
      <w:bookmarkStart w:id="1974" w:name="_Hlk40303117"/>
      <w:r>
        <w:rPr>
          <w:rFonts w:hint="eastAsia" w:ascii="宋体" w:hAnsi="宋体"/>
          <w:color w:val="auto"/>
          <w:sz w:val="24"/>
          <w:szCs w:val="24"/>
          <w:highlight w:val="none"/>
        </w:rPr>
        <w:t>申请人：</w:t>
      </w:r>
    </w:p>
    <w:p w14:paraId="6F9D303C">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1E4D6B10">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r>
        <w:rPr>
          <w:rFonts w:ascii="宋体" w:hAnsi="宋体"/>
          <w:color w:val="auto"/>
          <w:sz w:val="24"/>
          <w:szCs w:val="24"/>
          <w:highlight w:val="none"/>
        </w:rPr>
        <w:t xml:space="preserve"> </w:t>
      </w:r>
    </w:p>
    <w:p w14:paraId="797C33ED">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2F431D17">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bookmarkEnd w:id="1974"/>
    <w:p w14:paraId="32D2EF00">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2C4D00E3">
      <w:pPr>
        <w:spacing w:line="360" w:lineRule="auto"/>
        <w:rPr>
          <w:rFonts w:ascii="宋体" w:hAnsi="宋体"/>
          <w:color w:val="auto"/>
          <w:sz w:val="24"/>
          <w:szCs w:val="24"/>
          <w:highlight w:val="none"/>
        </w:rPr>
      </w:pPr>
    </w:p>
    <w:p w14:paraId="01773180">
      <w:pPr>
        <w:spacing w:line="360" w:lineRule="auto"/>
        <w:rPr>
          <w:rFonts w:ascii="宋体" w:hAnsi="宋体"/>
          <w:color w:val="auto"/>
          <w:sz w:val="24"/>
          <w:szCs w:val="24"/>
          <w:highlight w:val="none"/>
        </w:rPr>
      </w:pPr>
      <w:r>
        <w:rPr>
          <w:rFonts w:hint="eastAsia" w:ascii="宋体" w:hAnsi="宋体"/>
          <w:color w:val="auto"/>
          <w:sz w:val="24"/>
          <w:szCs w:val="24"/>
          <w:highlight w:val="none"/>
        </w:rPr>
        <w:t>致：（受益人名称）</w:t>
      </w:r>
    </w:p>
    <w:p w14:paraId="3C095881">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我方（即</w:t>
      </w:r>
      <w:r>
        <w:rPr>
          <w:rFonts w:hint="eastAsia" w:ascii="宋体" w:hAnsi="宋体"/>
          <w:color w:val="auto"/>
          <w:sz w:val="24"/>
          <w:szCs w:val="24"/>
          <w:highlight w:val="none"/>
          <w:lang w:eastAsia="zh-CN"/>
        </w:rPr>
        <w:t>“</w:t>
      </w:r>
      <w:r>
        <w:rPr>
          <w:rFonts w:hint="eastAsia" w:ascii="宋体" w:hAnsi="宋体"/>
          <w:color w:val="auto"/>
          <w:sz w:val="24"/>
          <w:szCs w:val="24"/>
          <w:highlight w:val="none"/>
        </w:rPr>
        <w:t>开立人</w:t>
      </w:r>
      <w:r>
        <w:rPr>
          <w:rFonts w:hint="eastAsia" w:ascii="宋体" w:hAnsi="宋体"/>
          <w:color w:val="auto"/>
          <w:sz w:val="24"/>
          <w:szCs w:val="24"/>
          <w:highlight w:val="none"/>
          <w:lang w:eastAsia="zh-CN"/>
        </w:rPr>
        <w:t>”</w:t>
      </w:r>
      <w:r>
        <w:rPr>
          <w:rFonts w:hint="eastAsia" w:ascii="宋体" w:hAnsi="宋体"/>
          <w:color w:val="auto"/>
          <w:sz w:val="24"/>
          <w:szCs w:val="24"/>
          <w:highlight w:val="none"/>
        </w:rPr>
        <w:t>）已获得通知，本保函申请人（即</w:t>
      </w:r>
      <w:r>
        <w:rPr>
          <w:rFonts w:hint="eastAsia" w:ascii="宋体" w:hAnsi="宋体"/>
          <w:color w:val="auto"/>
          <w:sz w:val="24"/>
          <w:szCs w:val="24"/>
          <w:highlight w:val="none"/>
          <w:lang w:eastAsia="zh-CN"/>
        </w:rPr>
        <w:t>“</w:t>
      </w:r>
      <w:r>
        <w:rPr>
          <w:rFonts w:hint="eastAsia" w:ascii="宋体" w:hAnsi="宋体"/>
          <w:color w:val="auto"/>
          <w:sz w:val="24"/>
          <w:szCs w:val="24"/>
          <w:highlight w:val="none"/>
        </w:rPr>
        <w:t>投标人</w:t>
      </w:r>
      <w:r>
        <w:rPr>
          <w:rFonts w:hint="eastAsia" w:ascii="宋体" w:hAnsi="宋体"/>
          <w:color w:val="auto"/>
          <w:sz w:val="24"/>
          <w:szCs w:val="24"/>
          <w:highlight w:val="none"/>
          <w:lang w:eastAsia="zh-CN"/>
        </w:rPr>
        <w:t>”</w:t>
      </w:r>
      <w:r>
        <w:rPr>
          <w:rFonts w:hint="eastAsia" w:ascii="宋体" w:hAnsi="宋体"/>
          <w:color w:val="auto"/>
          <w:sz w:val="24"/>
          <w:szCs w:val="24"/>
          <w:highlight w:val="none"/>
        </w:rPr>
        <w:t>）已响应贵方于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本工程</w:t>
      </w:r>
      <w:r>
        <w:rPr>
          <w:rFonts w:hint="eastAsia" w:ascii="宋体" w:hAnsi="宋体"/>
          <w:color w:val="auto"/>
          <w:sz w:val="24"/>
          <w:szCs w:val="24"/>
          <w:highlight w:val="none"/>
          <w:lang w:eastAsia="zh-CN"/>
        </w:rPr>
        <w:t>”</w:t>
      </w:r>
      <w:r>
        <w:rPr>
          <w:rFonts w:hint="eastAsia" w:ascii="宋体" w:hAnsi="宋体"/>
          <w:color w:val="auto"/>
          <w:sz w:val="24"/>
          <w:szCs w:val="24"/>
          <w:highlight w:val="none"/>
        </w:rPr>
        <w:t>）发出的招标文件，并已向招标人（即</w:t>
      </w:r>
      <w:r>
        <w:rPr>
          <w:rFonts w:hint="eastAsia" w:ascii="宋体" w:hAnsi="宋体"/>
          <w:color w:val="auto"/>
          <w:sz w:val="24"/>
          <w:szCs w:val="24"/>
          <w:highlight w:val="none"/>
          <w:lang w:eastAsia="zh-CN"/>
        </w:rPr>
        <w:t>“</w:t>
      </w:r>
      <w:r>
        <w:rPr>
          <w:rFonts w:hint="eastAsia" w:ascii="宋体" w:hAnsi="宋体"/>
          <w:color w:val="auto"/>
          <w:sz w:val="24"/>
          <w:szCs w:val="24"/>
          <w:highlight w:val="none"/>
        </w:rPr>
        <w:t>受益人</w:t>
      </w:r>
      <w:r>
        <w:rPr>
          <w:rFonts w:hint="eastAsia" w:ascii="宋体" w:hAnsi="宋体"/>
          <w:color w:val="auto"/>
          <w:sz w:val="24"/>
          <w:szCs w:val="24"/>
          <w:highlight w:val="none"/>
          <w:lang w:eastAsia="zh-CN"/>
        </w:rPr>
        <w:t>”</w:t>
      </w:r>
      <w:r>
        <w:rPr>
          <w:rFonts w:hint="eastAsia" w:ascii="宋体" w:hAnsi="宋体"/>
          <w:color w:val="auto"/>
          <w:sz w:val="24"/>
          <w:szCs w:val="24"/>
          <w:highlight w:val="none"/>
        </w:rPr>
        <w:t>）提交了投标文件（即</w:t>
      </w:r>
      <w:r>
        <w:rPr>
          <w:rFonts w:hint="eastAsia" w:ascii="宋体" w:hAnsi="宋体"/>
          <w:color w:val="auto"/>
          <w:sz w:val="24"/>
          <w:szCs w:val="24"/>
          <w:highlight w:val="none"/>
          <w:lang w:eastAsia="zh-CN"/>
        </w:rPr>
        <w:t>“</w:t>
      </w:r>
      <w:r>
        <w:rPr>
          <w:rFonts w:hint="eastAsia" w:ascii="宋体" w:hAnsi="宋体"/>
          <w:color w:val="auto"/>
          <w:sz w:val="24"/>
          <w:szCs w:val="24"/>
          <w:highlight w:val="none"/>
        </w:rPr>
        <w:t>基础交易</w:t>
      </w:r>
      <w:r>
        <w:rPr>
          <w:rFonts w:hint="eastAsia" w:ascii="宋体" w:hAnsi="宋体"/>
          <w:color w:val="auto"/>
          <w:sz w:val="24"/>
          <w:szCs w:val="24"/>
          <w:highlight w:val="none"/>
          <w:lang w:eastAsia="zh-CN"/>
        </w:rPr>
        <w:t>”</w:t>
      </w:r>
      <w:r>
        <w:rPr>
          <w:rFonts w:hint="eastAsia" w:ascii="宋体" w:hAnsi="宋体"/>
          <w:color w:val="auto"/>
          <w:sz w:val="24"/>
          <w:szCs w:val="24"/>
          <w:highlight w:val="none"/>
        </w:rPr>
        <w:t>）。</w:t>
      </w:r>
    </w:p>
    <w:p w14:paraId="10969EC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一、我方理解根据招标条件，投标人必须提交一份投标保函（以下简称</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本保函</w:t>
      </w:r>
      <w:r>
        <w:rPr>
          <w:rFonts w:hint="eastAsia" w:ascii="宋体" w:hAnsi="宋体"/>
          <w:color w:val="auto"/>
          <w:sz w:val="24"/>
          <w:szCs w:val="24"/>
          <w:highlight w:val="none"/>
          <w:lang w:eastAsia="zh-CN"/>
        </w:rPr>
        <w:t>”</w:t>
      </w:r>
      <w:r>
        <w:rPr>
          <w:rFonts w:hint="eastAsia" w:ascii="宋体" w:hAnsi="宋体"/>
          <w:color w:val="auto"/>
          <w:sz w:val="24"/>
          <w:szCs w:val="24"/>
          <w:highlight w:val="none"/>
        </w:rPr>
        <w:t>），以担保投标人诚信履行其在上述基础交易中承担的投标人义务。鉴此，应申请人要求，我方在此同意向贵方出具此投标保函，本保函担保金额最高不超过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w:t>
      </w:r>
    </w:p>
    <w:p w14:paraId="6437039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二、我方在投标人发生以下情形时承担保证担保责任：</w:t>
      </w:r>
      <w:r>
        <w:rPr>
          <w:rFonts w:ascii="宋体" w:hAnsi="宋体"/>
          <w:color w:val="auto"/>
          <w:sz w:val="24"/>
          <w:szCs w:val="24"/>
          <w:highlight w:val="none"/>
        </w:rPr>
        <w:t xml:space="preserve"> </w:t>
      </w:r>
    </w:p>
    <w:p w14:paraId="1CA8F8ED">
      <w:pPr>
        <w:pStyle w:val="152"/>
        <w:spacing w:line="360" w:lineRule="auto"/>
        <w:ind w:left="480" w:firstLine="0" w:firstLineChars="0"/>
        <w:rPr>
          <w:rFonts w:ascii="宋体" w:hAnsi="宋体"/>
          <w:color w:val="auto"/>
          <w:sz w:val="24"/>
          <w:szCs w:val="24"/>
          <w:highlight w:val="none"/>
        </w:rPr>
      </w:pPr>
      <w:r>
        <w:rPr>
          <w:rFonts w:hint="eastAsia" w:ascii="宋体" w:hAnsi="宋体"/>
          <w:color w:val="auto"/>
          <w:sz w:val="24"/>
          <w:szCs w:val="24"/>
          <w:highlight w:val="none"/>
        </w:rPr>
        <w:t>（1）投标</w:t>
      </w:r>
      <w:r>
        <w:rPr>
          <w:rFonts w:ascii="宋体" w:hAnsi="宋体"/>
          <w:color w:val="auto"/>
          <w:sz w:val="24"/>
          <w:szCs w:val="24"/>
          <w:highlight w:val="none"/>
        </w:rPr>
        <w:t xml:space="preserve">人在开标后和投标有效期满之前撤销投标的； </w:t>
      </w:r>
    </w:p>
    <w:p w14:paraId="15EF750C">
      <w:pPr>
        <w:pStyle w:val="152"/>
        <w:spacing w:line="360" w:lineRule="auto"/>
        <w:ind w:firstLine="480" w:firstLineChars="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投标人在收到中标通知后，</w:t>
      </w:r>
      <w:r>
        <w:rPr>
          <w:rFonts w:hint="eastAsia" w:ascii="宋体" w:hAnsi="宋体"/>
          <w:color w:val="auto"/>
          <w:sz w:val="24"/>
          <w:szCs w:val="24"/>
          <w:highlight w:val="none"/>
        </w:rPr>
        <w:t>不能或拒绝</w:t>
      </w:r>
      <w:r>
        <w:rPr>
          <w:rFonts w:ascii="宋体" w:hAnsi="宋体"/>
          <w:color w:val="auto"/>
          <w:sz w:val="24"/>
          <w:szCs w:val="24"/>
          <w:highlight w:val="none"/>
        </w:rPr>
        <w:t xml:space="preserve">在中标通知书规定的时间内与贵方签订合同； </w:t>
      </w:r>
    </w:p>
    <w:p w14:paraId="2CC853D7">
      <w:pPr>
        <w:pStyle w:val="152"/>
        <w:spacing w:line="360" w:lineRule="auto"/>
        <w:ind w:firstLine="480" w:firstLineChars="0"/>
        <w:rPr>
          <w:rFonts w:hint="eastAsia" w:ascii="宋体" w:hAnsi="宋体"/>
          <w:color w:val="auto"/>
          <w:sz w:val="24"/>
          <w:szCs w:val="24"/>
          <w:highlight w:val="none"/>
        </w:rPr>
      </w:pPr>
      <w:r>
        <w:rPr>
          <w:rFonts w:hint="eastAsia" w:ascii="宋体" w:hAnsi="宋体"/>
          <w:color w:val="auto"/>
          <w:sz w:val="24"/>
          <w:szCs w:val="24"/>
          <w:highlight w:val="none"/>
        </w:rPr>
        <w:t>（3）投标人在与贵方签订合同后，未在规定的时间内提交符合招标文件要求的履约担保；</w:t>
      </w:r>
    </w:p>
    <w:p w14:paraId="2F055EC1">
      <w:pPr>
        <w:pStyle w:val="152"/>
        <w:spacing w:line="360" w:lineRule="auto"/>
        <w:ind w:firstLine="480" w:firstLineChars="0"/>
        <w:rPr>
          <w:rFonts w:ascii="宋体" w:hAnsi="宋体"/>
          <w:color w:val="auto"/>
          <w:sz w:val="24"/>
          <w:szCs w:val="24"/>
          <w:highlight w:val="none"/>
        </w:rPr>
      </w:pPr>
      <w:r>
        <w:rPr>
          <w:rFonts w:hint="eastAsia" w:ascii="宋体" w:hAnsi="宋体"/>
          <w:color w:val="auto"/>
          <w:sz w:val="24"/>
          <w:szCs w:val="24"/>
          <w:highlight w:val="none"/>
        </w:rPr>
        <w:t>（4）投标人违反</w:t>
      </w:r>
      <w:r>
        <w:rPr>
          <w:rFonts w:ascii="宋体" w:hAnsi="宋体"/>
          <w:color w:val="auto"/>
          <w:sz w:val="24"/>
          <w:szCs w:val="24"/>
          <w:highlight w:val="none"/>
        </w:rPr>
        <w:t>招标文件规定</w:t>
      </w:r>
      <w:r>
        <w:rPr>
          <w:rFonts w:hint="eastAsia" w:ascii="宋体" w:hAnsi="宋体"/>
          <w:color w:val="auto"/>
          <w:sz w:val="24"/>
          <w:szCs w:val="24"/>
          <w:highlight w:val="none"/>
        </w:rPr>
        <w:t>的其他</w:t>
      </w:r>
      <w:r>
        <w:rPr>
          <w:rFonts w:ascii="宋体" w:hAnsi="宋体"/>
          <w:color w:val="auto"/>
          <w:sz w:val="24"/>
          <w:szCs w:val="24"/>
          <w:highlight w:val="none"/>
        </w:rPr>
        <w:t>情形。</w:t>
      </w:r>
    </w:p>
    <w:p w14:paraId="3B416F21">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三、本保函为</w:t>
      </w:r>
      <w:r>
        <w:rPr>
          <w:rFonts w:ascii="宋体" w:hAnsi="宋体"/>
          <w:color w:val="auto"/>
          <w:sz w:val="24"/>
          <w:szCs w:val="24"/>
          <w:highlight w:val="none"/>
        </w:rPr>
        <w:t>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w:t>
      </w:r>
      <w:r>
        <w:rPr>
          <w:rFonts w:ascii="宋体" w:hAnsi="宋体"/>
          <w:color w:val="auto"/>
          <w:sz w:val="24"/>
          <w:szCs w:val="24"/>
          <w:highlight w:val="none"/>
        </w:rPr>
        <w:t>。</w:t>
      </w:r>
      <w:r>
        <w:rPr>
          <w:rFonts w:hint="eastAsia" w:ascii="宋体" w:hAnsi="宋体"/>
          <w:color w:val="auto"/>
          <w:sz w:val="24"/>
          <w:szCs w:val="24"/>
          <w:highlight w:val="none"/>
        </w:rPr>
        <w:t>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投标有效期届满之日后的</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w:t>
      </w:r>
      <w:r>
        <w:rPr>
          <w:rFonts w:hint="eastAsia" w:ascii="宋体" w:hAnsi="宋体"/>
          <w:color w:val="auto"/>
          <w:sz w:val="24"/>
          <w:szCs w:val="24"/>
          <w:highlight w:val="none"/>
        </w:rPr>
        <w:t>投标有效期延长的，本保函有效期相应顺延</w:t>
      </w:r>
      <w:bookmarkStart w:id="1975" w:name="_Hlk58489417"/>
      <w:r>
        <w:rPr>
          <w:rFonts w:hint="eastAsia" w:ascii="宋体" w:hAnsi="宋体"/>
          <w:color w:val="auto"/>
          <w:sz w:val="24"/>
          <w:szCs w:val="24"/>
          <w:highlight w:val="none"/>
        </w:rPr>
        <w:t>，最迟不超过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bookmarkEnd w:id="1975"/>
      <w:r>
        <w:rPr>
          <w:rFonts w:hint="eastAsia" w:ascii="宋体" w:hAnsi="宋体"/>
          <w:color w:val="auto"/>
          <w:sz w:val="24"/>
          <w:szCs w:val="24"/>
          <w:highlight w:val="none"/>
        </w:rPr>
        <w:t>。</w:t>
      </w:r>
    </w:p>
    <w:p w14:paraId="6DE0C8A3">
      <w:pPr>
        <w:spacing w:line="360" w:lineRule="auto"/>
        <w:ind w:firstLine="480"/>
        <w:rPr>
          <w:rFonts w:ascii="宋体" w:hAnsi="宋体"/>
          <w:color w:val="auto"/>
          <w:sz w:val="24"/>
          <w:szCs w:val="24"/>
          <w:highlight w:val="none"/>
        </w:rPr>
      </w:pPr>
      <w:bookmarkStart w:id="1976" w:name="_Hlk40302764"/>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68146B76">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471EE042">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2C722137">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（3）</w:t>
      </w:r>
      <w:bookmarkStart w:id="1977" w:name="_Hlk40354215"/>
      <w:r>
        <w:rPr>
          <w:rFonts w:hint="eastAsia" w:ascii="宋体" w:hAnsi="宋体"/>
          <w:color w:val="auto"/>
          <w:sz w:val="24"/>
          <w:szCs w:val="24"/>
          <w:highlight w:val="none"/>
        </w:rPr>
        <w:t>载明申请人违反招投标文件规定的义务内容和具体条款；</w:t>
      </w:r>
      <w:bookmarkEnd w:id="1977"/>
    </w:p>
    <w:p w14:paraId="1CBD7D45">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（4）</w:t>
      </w:r>
      <w:bookmarkStart w:id="1978" w:name="_Hlk40354839"/>
      <w:r>
        <w:rPr>
          <w:rFonts w:hint="eastAsia" w:ascii="宋体" w:hAnsi="宋体"/>
          <w:color w:val="auto"/>
          <w:sz w:val="24"/>
          <w:szCs w:val="24"/>
          <w:highlight w:val="none"/>
        </w:rPr>
        <w:t>声明不存在招标文件规定或我国法律规定免除申请人或我方支付责任的情形；</w:t>
      </w:r>
      <w:bookmarkEnd w:id="1978"/>
    </w:p>
    <w:p w14:paraId="57ECF860">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（5）书面付款通知应在本保函有效期内到达的地址是：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bookmarkEnd w:id="1976"/>
    <w:p w14:paraId="3B886C1A">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bookmarkStart w:id="1979" w:name="_Hlk40303486"/>
      <w:r>
        <w:rPr>
          <w:rFonts w:hint="eastAsia" w:ascii="宋体" w:hAnsi="宋体"/>
          <w:color w:val="auto"/>
          <w:sz w:val="24"/>
          <w:szCs w:val="24"/>
          <w:highlight w:val="none"/>
        </w:rPr>
        <w:t>受益人发出的书面付款通知应由其为鉴明受益人法定代表人（负责人）或授权代理人签字并加盖公章。</w:t>
      </w:r>
      <w:bookmarkEnd w:id="1979"/>
    </w:p>
    <w:p w14:paraId="0011D67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w:t>
      </w:r>
      <w:r>
        <w:rPr>
          <w:rFonts w:hint="eastAsia" w:ascii="宋体" w:hAnsi="宋体"/>
          <w:color w:val="auto"/>
          <w:sz w:val="24"/>
          <w:szCs w:val="24"/>
          <w:highlight w:val="none"/>
        </w:rPr>
        <w:t>贵方</w:t>
      </w:r>
      <w:r>
        <w:rPr>
          <w:rFonts w:ascii="宋体" w:hAnsi="宋体"/>
          <w:color w:val="auto"/>
          <w:sz w:val="24"/>
          <w:szCs w:val="24"/>
          <w:highlight w:val="none"/>
        </w:rPr>
        <w:t>未经我方书面同意转让本保函或其项下任何权利，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08B1998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w:t>
      </w:r>
      <w:r>
        <w:rPr>
          <w:rFonts w:ascii="宋体" w:hAnsi="宋体"/>
          <w:color w:val="auto"/>
          <w:sz w:val="24"/>
          <w:szCs w:val="24"/>
          <w:highlight w:val="none"/>
        </w:rPr>
        <w:t xml:space="preserve">本保函项下的基础交易不成立、不生效、无效、被撤销、被解除，不影响本保函的独立有效。 </w:t>
      </w:r>
    </w:p>
    <w:p w14:paraId="13CFC9A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七、受益人</w:t>
      </w:r>
      <w:r>
        <w:rPr>
          <w:rFonts w:ascii="宋体" w:hAnsi="宋体"/>
          <w:color w:val="auto"/>
          <w:sz w:val="24"/>
          <w:szCs w:val="24"/>
          <w:highlight w:val="none"/>
        </w:rPr>
        <w:t>应在本保函到期后的</w:t>
      </w:r>
      <w:r>
        <w:rPr>
          <w:rFonts w:hint="eastAsia" w:ascii="宋体" w:hAnsi="宋体"/>
          <w:color w:val="auto"/>
          <w:sz w:val="24"/>
          <w:szCs w:val="24"/>
          <w:highlight w:val="none"/>
        </w:rPr>
        <w:t>七</w:t>
      </w:r>
      <w:r>
        <w:rPr>
          <w:rFonts w:ascii="宋体" w:hAnsi="宋体"/>
          <w:color w:val="auto"/>
          <w:sz w:val="24"/>
          <w:szCs w:val="24"/>
          <w:highlight w:val="none"/>
        </w:rPr>
        <w:t>日内将本保函正本退回我方</w:t>
      </w:r>
      <w:r>
        <w:rPr>
          <w:rFonts w:hint="eastAsia" w:ascii="宋体" w:hAnsi="宋体"/>
          <w:color w:val="auto"/>
          <w:sz w:val="24"/>
          <w:szCs w:val="24"/>
          <w:highlight w:val="none"/>
        </w:rPr>
        <w:t>注销</w:t>
      </w:r>
      <w:r>
        <w:rPr>
          <w:rFonts w:ascii="宋体" w:hAnsi="宋体"/>
          <w:color w:val="auto"/>
          <w:sz w:val="24"/>
          <w:szCs w:val="24"/>
          <w:highlight w:val="none"/>
        </w:rPr>
        <w:t>，但是不论</w:t>
      </w:r>
      <w:r>
        <w:rPr>
          <w:rFonts w:hint="eastAsia" w:ascii="宋体" w:hAnsi="宋体"/>
          <w:color w:val="auto"/>
          <w:sz w:val="24"/>
          <w:szCs w:val="24"/>
          <w:highlight w:val="none"/>
        </w:rPr>
        <w:t>受益人</w:t>
      </w:r>
      <w:r>
        <w:rPr>
          <w:rFonts w:ascii="宋体" w:hAnsi="宋体"/>
          <w:color w:val="auto"/>
          <w:sz w:val="24"/>
          <w:szCs w:val="24"/>
          <w:highlight w:val="none"/>
        </w:rPr>
        <w:t>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5DAD0C36">
      <w:pPr>
        <w:spacing w:line="360" w:lineRule="auto"/>
        <w:ind w:firstLine="480" w:firstLineChars="200"/>
        <w:rPr>
          <w:rFonts w:ascii="宋体" w:hAnsi="宋体"/>
          <w:color w:val="auto"/>
          <w:sz w:val="24"/>
          <w:szCs w:val="24"/>
          <w:highlight w:val="none"/>
        </w:rPr>
      </w:pPr>
      <w:bookmarkStart w:id="1980" w:name="_Hlk40303383"/>
      <w:bookmarkStart w:id="1981" w:name="_Hlk40354981"/>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bookmarkEnd w:id="1980"/>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bookmarkEnd w:id="1981"/>
    <w:p w14:paraId="350BA3E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r>
        <w:rPr>
          <w:rFonts w:hint="eastAsia" w:ascii="宋体" w:hAnsi="宋体"/>
          <w:color w:val="auto"/>
          <w:sz w:val="24"/>
          <w:szCs w:val="24"/>
          <w:highlight w:val="none"/>
        </w:rPr>
        <w:t>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5FB6E173">
      <w:pPr>
        <w:spacing w:line="360" w:lineRule="auto"/>
        <w:ind w:firstLine="480" w:firstLineChars="200"/>
        <w:rPr>
          <w:rFonts w:ascii="宋体" w:hAnsi="宋体"/>
          <w:color w:val="auto"/>
          <w:sz w:val="24"/>
          <w:szCs w:val="24"/>
          <w:highlight w:val="none"/>
        </w:rPr>
      </w:pPr>
    </w:p>
    <w:p w14:paraId="0AE1974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36A970C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 ：</w:t>
      </w:r>
      <w:r>
        <w:rPr>
          <w:rFonts w:ascii="宋体" w:hAnsi="宋体"/>
          <w:color w:val="auto"/>
          <w:sz w:val="24"/>
          <w:szCs w:val="24"/>
          <w:highlight w:val="none"/>
        </w:rPr>
        <w:t xml:space="preserve">               （签字） </w:t>
      </w:r>
    </w:p>
    <w:p w14:paraId="6B66E90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08A1461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75D0439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4D31961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6EE81C6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w:t>
      </w:r>
      <w:r>
        <w:rPr>
          <w:rFonts w:hint="eastAsia" w:ascii="宋体" w:hAnsi="宋体"/>
          <w:color w:val="auto"/>
          <w:sz w:val="24"/>
          <w:szCs w:val="24"/>
          <w:highlight w:val="none"/>
          <w:lang w:val="en-US" w:eastAsia="zh-CN"/>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日</w:t>
      </w:r>
    </w:p>
    <w:p w14:paraId="35372A41">
      <w:pPr>
        <w:spacing w:line="360" w:lineRule="auto"/>
        <w:ind w:firstLine="480" w:firstLineChars="200"/>
        <w:rPr>
          <w:rFonts w:ascii="宋体" w:hAnsi="宋体"/>
          <w:color w:val="auto"/>
          <w:sz w:val="24"/>
          <w:szCs w:val="24"/>
          <w:highlight w:val="none"/>
        </w:rPr>
      </w:pPr>
    </w:p>
    <w:p w14:paraId="66F93256">
      <w:pPr>
        <w:spacing w:line="360" w:lineRule="auto"/>
        <w:ind w:firstLine="420" w:firstLineChars="200"/>
        <w:rPr>
          <w:rFonts w:hint="eastAsia"/>
          <w:color w:val="auto"/>
          <w:highlight w:val="none"/>
        </w:rPr>
      </w:pPr>
    </w:p>
    <w:p w14:paraId="27FB8918">
      <w:pPr>
        <w:spacing w:line="360" w:lineRule="auto"/>
        <w:rPr>
          <w:color w:val="auto"/>
          <w:sz w:val="24"/>
          <w:szCs w:val="24"/>
          <w:highlight w:val="none"/>
        </w:rPr>
      </w:pPr>
    </w:p>
    <w:p w14:paraId="20B855AA">
      <w:pPr>
        <w:spacing w:line="360" w:lineRule="auto"/>
        <w:rPr>
          <w:color w:val="auto"/>
          <w:sz w:val="24"/>
          <w:szCs w:val="24"/>
          <w:highlight w:val="none"/>
        </w:rPr>
        <w:sectPr>
          <w:pgSz w:w="11907" w:h="16840"/>
          <w:pgMar w:top="1440" w:right="1440" w:bottom="1440" w:left="1797" w:header="851" w:footer="851" w:gutter="0"/>
          <w:cols w:space="720" w:num="1"/>
          <w:docGrid w:linePitch="312" w:charSpace="0"/>
        </w:sectPr>
      </w:pPr>
    </w:p>
    <w:p w14:paraId="56750213">
      <w:pPr>
        <w:pStyle w:val="136"/>
        <w:jc w:val="center"/>
        <w:outlineLvl w:val="0"/>
        <w:rPr>
          <w:rFonts w:cs="宋体"/>
          <w:b/>
          <w:bCs/>
          <w:strike/>
          <w:color w:val="auto"/>
          <w:sz w:val="28"/>
          <w:szCs w:val="28"/>
          <w:highlight w:val="none"/>
        </w:rPr>
      </w:pPr>
      <w:r>
        <w:rPr>
          <w:rFonts w:hint="eastAsia" w:cs="宋体"/>
          <w:b/>
          <w:bCs/>
          <w:color w:val="auto"/>
          <w:sz w:val="28"/>
          <w:szCs w:val="28"/>
          <w:highlight w:val="none"/>
          <w:lang w:val="en-US" w:eastAsia="zh-CN"/>
        </w:rPr>
        <w:t>5.</w:t>
      </w:r>
      <w:r>
        <w:rPr>
          <w:rFonts w:hint="eastAsia" w:cs="宋体"/>
          <w:b/>
          <w:bCs/>
          <w:strike w:val="0"/>
          <w:color w:val="auto"/>
          <w:sz w:val="28"/>
          <w:szCs w:val="28"/>
          <w:highlight w:val="none"/>
        </w:rPr>
        <w:t>建设工程项目管理承诺书</w:t>
      </w:r>
    </w:p>
    <w:p w14:paraId="4FCF61A3">
      <w:pPr>
        <w:spacing w:line="480" w:lineRule="auto"/>
        <w:jc w:val="left"/>
        <w:rPr>
          <w:color w:val="auto"/>
          <w:highlight w:val="none"/>
        </w:rPr>
      </w:pPr>
    </w:p>
    <w:p w14:paraId="315FA5F4">
      <w:pPr>
        <w:spacing w:line="480" w:lineRule="auto"/>
        <w:jc w:val="left"/>
        <w:rPr>
          <w:color w:val="auto"/>
          <w:highlight w:val="none"/>
        </w:rPr>
      </w:pPr>
      <w:r>
        <w:rPr>
          <w:rFonts w:hint="eastAsia" w:cs="宋体"/>
          <w:color w:val="auto"/>
          <w:highlight w:val="none"/>
        </w:rPr>
        <w:t>致</w:t>
      </w:r>
      <w:r>
        <w:rPr>
          <w:color w:val="auto"/>
          <w:highlight w:val="none"/>
          <w:u w:val="single"/>
        </w:rPr>
        <w:t xml:space="preserve">                        </w:t>
      </w:r>
      <w:r>
        <w:rPr>
          <w:rFonts w:hint="eastAsia" w:cs="宋体"/>
          <w:color w:val="auto"/>
          <w:highlight w:val="none"/>
        </w:rPr>
        <w:t>（招标人名称）：</w:t>
      </w:r>
    </w:p>
    <w:p w14:paraId="69DC186D">
      <w:pPr>
        <w:spacing w:line="520" w:lineRule="exact"/>
        <w:ind w:left="-10" w:firstLine="455" w:firstLineChars="217"/>
        <w:jc w:val="left"/>
        <w:rPr>
          <w:color w:val="auto"/>
          <w:highlight w:val="none"/>
        </w:rPr>
      </w:pPr>
      <w:r>
        <w:rPr>
          <w:rFonts w:hint="eastAsia" w:cs="宋体"/>
          <w:color w:val="auto"/>
          <w:highlight w:val="none"/>
        </w:rPr>
        <w:t>作为参与</w:t>
      </w:r>
      <w:r>
        <w:rPr>
          <w:color w:val="auto"/>
          <w:highlight w:val="none"/>
          <w:u w:val="single"/>
        </w:rPr>
        <w:t xml:space="preserve">                  </w:t>
      </w:r>
      <w:r>
        <w:rPr>
          <w:rFonts w:hint="eastAsia" w:cs="宋体"/>
          <w:color w:val="auto"/>
          <w:highlight w:val="none"/>
        </w:rPr>
        <w:t>（工程名称）项目的投标方，根据国家、自治区相关文件规定，我方在此向招标人承诺：</w:t>
      </w:r>
    </w:p>
    <w:p w14:paraId="2DAD3FBB">
      <w:pPr>
        <w:spacing w:line="520" w:lineRule="exact"/>
        <w:ind w:left="-10" w:firstLine="455" w:firstLineChars="217"/>
        <w:jc w:val="left"/>
        <w:rPr>
          <w:color w:val="auto"/>
          <w:highlight w:val="none"/>
        </w:rPr>
      </w:pPr>
      <w:r>
        <w:rPr>
          <w:rFonts w:hint="eastAsia"/>
          <w:color w:val="auto"/>
          <w:highlight w:val="none"/>
          <w:lang w:eastAsia="zh-CN"/>
        </w:rPr>
        <w:t>1.</w:t>
      </w:r>
      <w:r>
        <w:rPr>
          <w:color w:val="auto"/>
          <w:highlight w:val="none"/>
        </w:rPr>
        <w:t>一旦中标，我方保证按照政府相关部门的规定，</w:t>
      </w:r>
      <w:r>
        <w:rPr>
          <w:rFonts w:hint="eastAsia" w:ascii="宋体" w:hAnsi="宋体"/>
          <w:color w:val="auto"/>
          <w:highlight w:val="none"/>
        </w:rPr>
        <w:t>在中标后7个工作日内，按照《保障农民工工资支付条例》规定及广西壮族自治区有关规定开设农民工工资专用账户，并按</w:t>
      </w:r>
      <w:r>
        <w:rPr>
          <w:rFonts w:hint="eastAsia" w:ascii="宋体" w:hAnsi="宋体"/>
          <w:color w:val="auto"/>
          <w:highlight w:val="none"/>
          <w:u w:val="single"/>
          <w:lang w:eastAsia="zh-CN"/>
        </w:rPr>
        <w:t>要求</w:t>
      </w:r>
      <w:r>
        <w:rPr>
          <w:rFonts w:hint="eastAsia" w:ascii="宋体" w:hAnsi="宋体"/>
          <w:color w:val="auto"/>
          <w:highlight w:val="none"/>
        </w:rPr>
        <w:t>比例将农民工工资保证金存入</w:t>
      </w:r>
      <w:r>
        <w:rPr>
          <w:rFonts w:hint="eastAsia" w:ascii="宋体" w:hAnsi="宋体"/>
          <w:color w:val="auto"/>
          <w:highlight w:val="none"/>
          <w:lang w:eastAsia="zh-CN"/>
        </w:rPr>
        <w:t>账</w:t>
      </w:r>
      <w:r>
        <w:rPr>
          <w:rFonts w:hint="eastAsia" w:ascii="宋体" w:hAnsi="宋体"/>
          <w:color w:val="auto"/>
          <w:highlight w:val="none"/>
        </w:rPr>
        <w:t>户</w:t>
      </w:r>
      <w:r>
        <w:rPr>
          <w:rFonts w:hint="eastAsia"/>
          <w:color w:val="auto"/>
          <w:highlight w:val="none"/>
        </w:rPr>
        <w:t>，专项用于支付本工程提供劳动的农民工被拖欠的工资。</w:t>
      </w:r>
      <w:r>
        <w:rPr>
          <w:color w:val="auto"/>
          <w:highlight w:val="none"/>
        </w:rPr>
        <w:t>按照与农民工依法约定的工资支付周期和具体支付日期支付工资</w:t>
      </w:r>
      <w:r>
        <w:rPr>
          <w:rFonts w:hint="eastAsia"/>
          <w:color w:val="auto"/>
          <w:highlight w:val="none"/>
        </w:rPr>
        <w:t>，保证</w:t>
      </w:r>
      <w:r>
        <w:rPr>
          <w:color w:val="auto"/>
          <w:highlight w:val="none"/>
        </w:rPr>
        <w:t>每月至少向农民工足额支付一次工资。</w:t>
      </w:r>
    </w:p>
    <w:p w14:paraId="40FB0767">
      <w:pPr>
        <w:spacing w:line="520" w:lineRule="exact"/>
        <w:ind w:left="-10" w:firstLine="455" w:firstLineChars="217"/>
        <w:jc w:val="left"/>
        <w:rPr>
          <w:color w:val="auto"/>
          <w:highlight w:val="none"/>
        </w:rPr>
      </w:pPr>
      <w:r>
        <w:rPr>
          <w:rFonts w:hint="eastAsia"/>
          <w:color w:val="auto"/>
          <w:highlight w:val="none"/>
          <w:lang w:eastAsia="zh-CN"/>
        </w:rPr>
        <w:t>2.</w:t>
      </w:r>
      <w:r>
        <w:rPr>
          <w:color w:val="auto"/>
          <w:highlight w:val="none"/>
        </w:rPr>
        <w:t>一旦中标，我方保证在施工过程中，严格执行《广西壮族自治区建筑工程安全文明施工费使用管理细则》（桂建质〔20</w:t>
      </w:r>
      <w:r>
        <w:rPr>
          <w:rFonts w:hint="eastAsia"/>
          <w:color w:val="auto"/>
          <w:highlight w:val="none"/>
        </w:rPr>
        <w:t>15</w:t>
      </w:r>
      <w:r>
        <w:rPr>
          <w:color w:val="auto"/>
          <w:highlight w:val="none"/>
        </w:rPr>
        <w:t>〕</w:t>
      </w:r>
      <w:r>
        <w:rPr>
          <w:rFonts w:hint="eastAsia"/>
          <w:color w:val="auto"/>
          <w:highlight w:val="none"/>
        </w:rPr>
        <w:t>16</w:t>
      </w:r>
      <w:r>
        <w:rPr>
          <w:color w:val="auto"/>
          <w:highlight w:val="none"/>
        </w:rPr>
        <w:t>号）的有关规定，确保建设工程各项安全防护、文明施工措施落实到位。如我方在该项目的承包中出现未按桂建质〔20</w:t>
      </w:r>
      <w:r>
        <w:rPr>
          <w:rFonts w:hint="eastAsia"/>
          <w:color w:val="auto"/>
          <w:highlight w:val="none"/>
        </w:rPr>
        <w:t>15</w:t>
      </w:r>
      <w:r>
        <w:rPr>
          <w:color w:val="auto"/>
          <w:highlight w:val="none"/>
        </w:rPr>
        <w:t>〕</w:t>
      </w:r>
      <w:r>
        <w:rPr>
          <w:rFonts w:hint="eastAsia"/>
          <w:color w:val="auto"/>
          <w:highlight w:val="none"/>
        </w:rPr>
        <w:t>16</w:t>
      </w:r>
      <w:r>
        <w:rPr>
          <w:color w:val="auto"/>
          <w:highlight w:val="none"/>
        </w:rPr>
        <w:t>号文附件一规定执行的情形，我方愿意按照相关规定接受建设单位及有关主管部门的处罚。</w:t>
      </w:r>
    </w:p>
    <w:p w14:paraId="005F870E">
      <w:pPr>
        <w:spacing w:line="520" w:lineRule="exact"/>
        <w:ind w:left="-2" w:leftChars="-1" w:firstLine="449" w:firstLineChars="214"/>
        <w:jc w:val="left"/>
        <w:rPr>
          <w:color w:val="auto"/>
          <w:highlight w:val="none"/>
        </w:rPr>
      </w:pPr>
      <w:r>
        <w:rPr>
          <w:rFonts w:hint="eastAsia"/>
          <w:color w:val="auto"/>
          <w:highlight w:val="none"/>
          <w:lang w:eastAsia="zh-CN"/>
        </w:rPr>
        <w:t>3.</w:t>
      </w:r>
      <w:r>
        <w:rPr>
          <w:color w:val="auto"/>
          <w:highlight w:val="none"/>
        </w:rPr>
        <w:t>一旦中标，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07571931">
      <w:pPr>
        <w:spacing w:line="520" w:lineRule="exact"/>
        <w:ind w:left="-10" w:firstLine="455" w:firstLineChars="217"/>
        <w:jc w:val="left"/>
        <w:rPr>
          <w:color w:val="auto"/>
          <w:highlight w:val="none"/>
        </w:rPr>
      </w:pPr>
      <w:r>
        <w:rPr>
          <w:rFonts w:hint="eastAsia"/>
          <w:color w:val="auto"/>
          <w:highlight w:val="none"/>
          <w:lang w:eastAsia="zh-CN"/>
        </w:rPr>
        <w:t>4.</w:t>
      </w:r>
      <w:r>
        <w:rPr>
          <w:rFonts w:hint="eastAsia"/>
          <w:color w:val="auto"/>
          <w:highlight w:val="none"/>
        </w:rPr>
        <w:t>一旦中标，我方保证在施工过程中，严格执行《关于禁止使用不符合规范要求的竹脚手架的通知》（</w:t>
      </w:r>
      <w:r>
        <w:rPr>
          <w:color w:val="auto"/>
          <w:highlight w:val="none"/>
        </w:rPr>
        <w:t>桂建</w:t>
      </w:r>
      <w:r>
        <w:rPr>
          <w:rFonts w:hint="eastAsia"/>
          <w:color w:val="auto"/>
          <w:highlight w:val="none"/>
        </w:rPr>
        <w:t>管字</w:t>
      </w:r>
      <w:r>
        <w:rPr>
          <w:color w:val="auto"/>
          <w:highlight w:val="none"/>
        </w:rPr>
        <w:t>〔200</w:t>
      </w:r>
      <w:r>
        <w:rPr>
          <w:rFonts w:hint="eastAsia"/>
          <w:color w:val="auto"/>
          <w:highlight w:val="none"/>
        </w:rPr>
        <w:t>3</w:t>
      </w:r>
      <w:r>
        <w:rPr>
          <w:color w:val="auto"/>
          <w:highlight w:val="none"/>
        </w:rPr>
        <w:t>〕</w:t>
      </w:r>
      <w:r>
        <w:rPr>
          <w:rFonts w:hint="eastAsia"/>
          <w:color w:val="auto"/>
          <w:highlight w:val="none"/>
        </w:rPr>
        <w:t>40</w:t>
      </w:r>
      <w:r>
        <w:rPr>
          <w:color w:val="auto"/>
          <w:highlight w:val="none"/>
        </w:rPr>
        <w:t>号</w:t>
      </w:r>
      <w:r>
        <w:rPr>
          <w:rFonts w:hint="eastAsia"/>
          <w:color w:val="auto"/>
          <w:highlight w:val="none"/>
        </w:rPr>
        <w:t>）的有关规定，不使用竹脚手架。如我方在该</w:t>
      </w:r>
      <w:r>
        <w:rPr>
          <w:color w:val="auto"/>
          <w:highlight w:val="none"/>
        </w:rPr>
        <w:t>项目的承包中出现未按规定执行的情形，我方愿意按照相关规定接受建设单位及有关主管部门的处罚。</w:t>
      </w:r>
    </w:p>
    <w:p w14:paraId="232B3ACF">
      <w:pPr>
        <w:spacing w:line="520" w:lineRule="exact"/>
        <w:ind w:left="-10" w:firstLine="455" w:firstLineChars="217"/>
        <w:jc w:val="left"/>
        <w:rPr>
          <w:rFonts w:hint="eastAsia"/>
          <w:color w:val="auto"/>
          <w:highlight w:val="none"/>
        </w:rPr>
      </w:pPr>
      <w:r>
        <w:rPr>
          <w:rFonts w:hint="eastAsia"/>
          <w:color w:val="auto"/>
          <w:highlight w:val="none"/>
          <w:lang w:eastAsia="zh-CN"/>
        </w:rPr>
        <w:t>5.</w:t>
      </w:r>
      <w:r>
        <w:rPr>
          <w:rFonts w:hint="eastAsia"/>
          <w:color w:val="auto"/>
          <w:highlight w:val="none"/>
        </w:rPr>
        <w:t>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2453EB60">
      <w:pPr>
        <w:spacing w:line="520" w:lineRule="exact"/>
        <w:jc w:val="left"/>
        <w:rPr>
          <w:color w:val="auto"/>
          <w:highlight w:val="none"/>
        </w:rPr>
      </w:pPr>
    </w:p>
    <w:p w14:paraId="6A0EB53D">
      <w:pPr>
        <w:spacing w:line="360" w:lineRule="auto"/>
        <w:ind w:firstLine="4410" w:firstLineChars="2100"/>
        <w:jc w:val="left"/>
        <w:rPr>
          <w:rFonts w:cs="宋体"/>
          <w:color w:val="auto"/>
          <w:highlight w:val="none"/>
          <w:u w:val="single"/>
        </w:rPr>
      </w:pPr>
      <w:r>
        <w:rPr>
          <w:rFonts w:hint="eastAsia" w:cs="宋体"/>
          <w:color w:val="auto"/>
          <w:highlight w:val="none"/>
        </w:rPr>
        <w:t>投标人：</w:t>
      </w:r>
      <w:r>
        <w:rPr>
          <w:color w:val="auto"/>
          <w:highlight w:val="none"/>
          <w:u w:val="single"/>
        </w:rPr>
        <w:t xml:space="preserve">       </w:t>
      </w:r>
      <w:r>
        <w:rPr>
          <w:rFonts w:hint="eastAsia" w:cs="宋体"/>
          <w:color w:val="auto"/>
          <w:highlight w:val="none"/>
          <w:u w:val="single"/>
        </w:rPr>
        <w:t>（</w:t>
      </w:r>
      <w:r>
        <w:rPr>
          <w:rFonts w:hint="eastAsia" w:cs="宋体"/>
          <w:color w:val="auto"/>
          <w:highlight w:val="none"/>
          <w:u w:val="single"/>
          <w:lang w:eastAsia="zh-CN"/>
        </w:rPr>
        <w:t>盖法人单位电子印章</w:t>
      </w:r>
      <w:r>
        <w:rPr>
          <w:rFonts w:hint="eastAsia" w:cs="宋体"/>
          <w:color w:val="auto"/>
          <w:highlight w:val="none"/>
          <w:u w:val="single"/>
        </w:rPr>
        <w:t>）</w:t>
      </w:r>
    </w:p>
    <w:p w14:paraId="552030E3">
      <w:pPr>
        <w:spacing w:line="360" w:lineRule="auto"/>
        <w:ind w:firstLine="4410" w:firstLineChars="2100"/>
        <w:jc w:val="left"/>
        <w:rPr>
          <w:rFonts w:hint="eastAsia"/>
          <w:color w:val="auto"/>
          <w:highlight w:val="none"/>
          <w:u w:val="single"/>
        </w:rPr>
      </w:pPr>
    </w:p>
    <w:p w14:paraId="1DEBE4EA">
      <w:pPr>
        <w:spacing w:line="360" w:lineRule="auto"/>
        <w:ind w:firstLine="4515" w:firstLineChars="2150"/>
        <w:jc w:val="center"/>
        <w:rPr>
          <w:color w:val="auto"/>
          <w:highlight w:val="none"/>
        </w:rPr>
      </w:pPr>
      <w:r>
        <w:rPr>
          <w:rFonts w:hint="eastAsia" w:cs="宋体"/>
          <w:color w:val="auto"/>
          <w:highlight w:val="none"/>
        </w:rPr>
        <w:t>日期：</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r>
        <w:rPr>
          <w:color w:val="auto"/>
          <w:highlight w:val="none"/>
        </w:rPr>
        <w:br w:type="page"/>
      </w:r>
      <w:r>
        <w:rPr>
          <w:rFonts w:hint="eastAsia" w:cs="宋体"/>
          <w:b/>
          <w:bCs/>
          <w:color w:val="auto"/>
          <w:sz w:val="28"/>
          <w:szCs w:val="28"/>
          <w:highlight w:val="none"/>
        </w:rPr>
        <w:t>广西壮族自治区建筑工程安全文明施工措施项目清单内容</w:t>
      </w:r>
    </w:p>
    <w:p w14:paraId="33BD4398">
      <w:pPr>
        <w:spacing w:line="360" w:lineRule="auto"/>
        <w:ind w:firstLine="600" w:firstLineChars="250"/>
        <w:jc w:val="center"/>
        <w:rPr>
          <w:color w:val="auto"/>
          <w:sz w:val="24"/>
          <w:szCs w:val="24"/>
          <w:highlight w:val="none"/>
        </w:rPr>
      </w:pPr>
      <w:r>
        <w:rPr>
          <w:rFonts w:hint="eastAsia" w:cs="宋体"/>
          <w:color w:val="auto"/>
          <w:sz w:val="24"/>
          <w:szCs w:val="24"/>
          <w:highlight w:val="none"/>
        </w:rPr>
        <w:t>（桂建质〔</w:t>
      </w:r>
      <w:r>
        <w:rPr>
          <w:color w:val="auto"/>
          <w:sz w:val="24"/>
          <w:szCs w:val="24"/>
          <w:highlight w:val="none"/>
        </w:rPr>
        <w:t>2015</w:t>
      </w:r>
      <w:r>
        <w:rPr>
          <w:rFonts w:hint="eastAsia" w:cs="宋体"/>
          <w:color w:val="auto"/>
          <w:sz w:val="24"/>
          <w:szCs w:val="24"/>
          <w:highlight w:val="none"/>
        </w:rPr>
        <w:t>〕</w:t>
      </w:r>
      <w:r>
        <w:rPr>
          <w:color w:val="auto"/>
          <w:sz w:val="24"/>
          <w:szCs w:val="24"/>
          <w:highlight w:val="none"/>
        </w:rPr>
        <w:t>16</w:t>
      </w:r>
      <w:r>
        <w:rPr>
          <w:rFonts w:hint="eastAsia" w:cs="宋体"/>
          <w:color w:val="auto"/>
          <w:sz w:val="24"/>
          <w:szCs w:val="24"/>
          <w:highlight w:val="none"/>
        </w:rPr>
        <w:t>号文附件一）</w:t>
      </w:r>
    </w:p>
    <w:p w14:paraId="34E70B40">
      <w:pPr>
        <w:pStyle w:val="139"/>
        <w:spacing w:line="240" w:lineRule="atLeast"/>
        <w:jc w:val="center"/>
        <w:rPr>
          <w:rFonts w:ascii="宋体"/>
          <w:b/>
          <w:bCs/>
          <w:color w:val="auto"/>
          <w:sz w:val="24"/>
          <w:szCs w:val="24"/>
          <w:highlight w:val="none"/>
        </w:rPr>
      </w:pPr>
      <w:r>
        <w:rPr>
          <w:rFonts w:hint="eastAsia" w:ascii="宋体" w:hAnsi="宋体" w:cs="宋体"/>
          <w:b/>
          <w:bCs/>
          <w:color w:val="auto"/>
          <w:sz w:val="24"/>
          <w:szCs w:val="24"/>
          <w:highlight w:val="none"/>
        </w:rPr>
        <w:t>广西壮族自治区</w:t>
      </w:r>
    </w:p>
    <w:p w14:paraId="546A8E39">
      <w:pPr>
        <w:pStyle w:val="139"/>
        <w:spacing w:line="240" w:lineRule="atLeast"/>
        <w:ind w:firstLine="546"/>
        <w:jc w:val="center"/>
        <w:rPr>
          <w:b/>
          <w:bCs/>
          <w:color w:val="auto"/>
          <w:w w:val="90"/>
          <w:sz w:val="24"/>
          <w:szCs w:val="24"/>
          <w:highlight w:val="none"/>
        </w:rPr>
      </w:pPr>
      <w:r>
        <w:rPr>
          <w:rFonts w:hint="eastAsia" w:cs="宋体"/>
          <w:b/>
          <w:bCs/>
          <w:color w:val="auto"/>
          <w:w w:val="90"/>
          <w:sz w:val="24"/>
          <w:szCs w:val="24"/>
          <w:highlight w:val="none"/>
        </w:rPr>
        <w:t>建设工程安全文明施工措施项目清单内容</w:t>
      </w:r>
    </w:p>
    <w:p w14:paraId="53BB2CA4">
      <w:pPr>
        <w:pStyle w:val="139"/>
        <w:spacing w:line="240" w:lineRule="atLeast"/>
        <w:ind w:firstLine="546"/>
        <w:jc w:val="center"/>
        <w:rPr>
          <w:b/>
          <w:bCs/>
          <w:color w:val="auto"/>
          <w:w w:val="90"/>
          <w:sz w:val="24"/>
          <w:szCs w:val="24"/>
          <w:highlight w:val="none"/>
        </w:rPr>
      </w:pPr>
    </w:p>
    <w:tbl>
      <w:tblPr>
        <w:tblStyle w:val="41"/>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14:paraId="576BD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tcBorders>
            <w:noWrap w:val="0"/>
            <w:vAlign w:val="center"/>
          </w:tcPr>
          <w:p w14:paraId="21E8B44A">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b/>
                <w:bCs/>
                <w:color w:val="auto"/>
                <w:highlight w:val="none"/>
              </w:rPr>
            </w:pPr>
            <w:r>
              <w:rPr>
                <w:rFonts w:hint="eastAsia" w:ascii="方正仿宋_GBK" w:hAnsi="Calibri" w:eastAsia="方正仿宋_GBK" w:cs="方正仿宋_GBK"/>
                <w:b/>
                <w:bCs/>
                <w:color w:val="auto"/>
                <w:highlight w:val="none"/>
              </w:rPr>
              <w:t>类别</w:t>
            </w:r>
          </w:p>
        </w:tc>
        <w:tc>
          <w:tcPr>
            <w:tcW w:w="2070" w:type="dxa"/>
            <w:gridSpan w:val="2"/>
            <w:tcBorders>
              <w:top w:val="single" w:color="auto" w:sz="12" w:space="0"/>
            </w:tcBorders>
            <w:noWrap w:val="0"/>
            <w:vAlign w:val="center"/>
          </w:tcPr>
          <w:p w14:paraId="728A9A4C">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b/>
                <w:bCs/>
                <w:color w:val="auto"/>
                <w:highlight w:val="none"/>
              </w:rPr>
            </w:pPr>
            <w:r>
              <w:rPr>
                <w:rFonts w:hint="eastAsia" w:ascii="方正仿宋_GBK" w:hAnsi="Calibri" w:eastAsia="方正仿宋_GBK" w:cs="方正仿宋_GBK"/>
                <w:b/>
                <w:bCs/>
                <w:color w:val="auto"/>
                <w:highlight w:val="none"/>
              </w:rPr>
              <w:t>项目名称</w:t>
            </w:r>
          </w:p>
        </w:tc>
        <w:tc>
          <w:tcPr>
            <w:tcW w:w="6645" w:type="dxa"/>
            <w:tcBorders>
              <w:top w:val="single" w:color="auto" w:sz="12" w:space="0"/>
            </w:tcBorders>
            <w:noWrap w:val="0"/>
            <w:vAlign w:val="center"/>
          </w:tcPr>
          <w:p w14:paraId="7080908F">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b/>
                <w:bCs/>
                <w:color w:val="auto"/>
                <w:highlight w:val="none"/>
              </w:rPr>
            </w:pPr>
            <w:r>
              <w:rPr>
                <w:rFonts w:hint="eastAsia" w:ascii="方正仿宋_GBK" w:hAnsi="Calibri" w:eastAsia="方正仿宋_GBK" w:cs="方正仿宋_GBK"/>
                <w:b/>
                <w:bCs/>
                <w:color w:val="auto"/>
                <w:highlight w:val="none"/>
              </w:rPr>
              <w:t>主要内容和要求</w:t>
            </w:r>
          </w:p>
        </w:tc>
      </w:tr>
      <w:tr w14:paraId="1D5AE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32EFE976">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文明</w:t>
            </w:r>
          </w:p>
          <w:p w14:paraId="702DDCF4">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施工</w:t>
            </w:r>
          </w:p>
          <w:p w14:paraId="2F0CC487">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与</w:t>
            </w:r>
          </w:p>
          <w:p w14:paraId="68FEA93F">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环境</w:t>
            </w:r>
          </w:p>
          <w:p w14:paraId="21D5C155">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保护</w:t>
            </w:r>
          </w:p>
        </w:tc>
        <w:tc>
          <w:tcPr>
            <w:tcW w:w="2070" w:type="dxa"/>
            <w:gridSpan w:val="2"/>
            <w:noWrap w:val="0"/>
            <w:vAlign w:val="center"/>
          </w:tcPr>
          <w:p w14:paraId="6AB5055A">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安全警示</w:t>
            </w:r>
          </w:p>
          <w:p w14:paraId="7252FF5B">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标志牌</w:t>
            </w:r>
          </w:p>
        </w:tc>
        <w:tc>
          <w:tcPr>
            <w:tcW w:w="6645" w:type="dxa"/>
            <w:noWrap w:val="0"/>
            <w:vAlign w:val="center"/>
          </w:tcPr>
          <w:p w14:paraId="0CF2A126">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在易发伤亡事故（或危险）处设置明显的、符合国家标准要求的安全警示标志牌。</w:t>
            </w:r>
          </w:p>
        </w:tc>
      </w:tr>
      <w:tr w14:paraId="2A1B9A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FB24849">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63BD3A93">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现场围挡</w:t>
            </w:r>
          </w:p>
        </w:tc>
        <w:tc>
          <w:tcPr>
            <w:tcW w:w="6645" w:type="dxa"/>
            <w:noWrap w:val="0"/>
            <w:vAlign w:val="center"/>
          </w:tcPr>
          <w:p w14:paraId="7B33F837">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1. </w:t>
            </w:r>
            <w:r>
              <w:rPr>
                <w:rFonts w:hint="eastAsia" w:ascii="方正仿宋_GBK" w:hAnsi="Calibri" w:eastAsia="方正仿宋_GBK" w:cs="方正仿宋_GBK"/>
                <w:color w:val="auto"/>
                <w:highlight w:val="none"/>
              </w:rPr>
              <w:t>现场采用封闭围挡，高度不小于</w:t>
            </w:r>
            <w:r>
              <w:rPr>
                <w:rFonts w:hint="default" w:ascii="方正仿宋_GBK" w:hAnsi="Calibri" w:eastAsia="方正仿宋_GBK" w:cs="方正仿宋_GBK"/>
                <w:color w:val="auto"/>
                <w:highlight w:val="none"/>
              </w:rPr>
              <w:t>1.8m</w:t>
            </w:r>
            <w:r>
              <w:rPr>
                <w:rFonts w:hint="eastAsia" w:ascii="方正仿宋_GBK" w:hAnsi="Calibri" w:eastAsia="方正仿宋_GBK" w:cs="方正仿宋_GBK"/>
                <w:color w:val="auto"/>
                <w:highlight w:val="none"/>
              </w:rPr>
              <w:t>。</w:t>
            </w:r>
          </w:p>
          <w:p w14:paraId="6172841E">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围挡材料可用彩色、定型钢板，砌块等墙体。</w:t>
            </w:r>
          </w:p>
        </w:tc>
      </w:tr>
      <w:tr w14:paraId="1DEE57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BC18A0B">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5E1F345D">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七牌二图</w:t>
            </w:r>
          </w:p>
        </w:tc>
        <w:tc>
          <w:tcPr>
            <w:tcW w:w="6645" w:type="dxa"/>
            <w:noWrap w:val="0"/>
            <w:vAlign w:val="center"/>
          </w:tcPr>
          <w:p w14:paraId="7D8D8556">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在进门处悬挂工程概况、现场出入制度、管理人员名单及监督电话、安全生产规定、文明施工、消防保卫、节能公示等七牌以及施工现场总平面图、工程效果图。</w:t>
            </w:r>
          </w:p>
        </w:tc>
      </w:tr>
      <w:tr w14:paraId="04C65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noWrap w:val="0"/>
            <w:vAlign w:val="center"/>
          </w:tcPr>
          <w:p w14:paraId="6618C052">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5ED73CEF">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企业标志</w:t>
            </w:r>
          </w:p>
        </w:tc>
        <w:tc>
          <w:tcPr>
            <w:tcW w:w="6645" w:type="dxa"/>
            <w:noWrap w:val="0"/>
            <w:vAlign w:val="center"/>
          </w:tcPr>
          <w:p w14:paraId="66143A44">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现场出入的大门应设有本企业标志或企业标识。</w:t>
            </w:r>
          </w:p>
        </w:tc>
      </w:tr>
      <w:tr w14:paraId="7E7E9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4FAE8D0">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3F509BA9">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场容场貌</w:t>
            </w:r>
          </w:p>
        </w:tc>
        <w:tc>
          <w:tcPr>
            <w:tcW w:w="6645" w:type="dxa"/>
            <w:noWrap w:val="0"/>
            <w:vAlign w:val="center"/>
          </w:tcPr>
          <w:p w14:paraId="0462354C">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1. </w:t>
            </w:r>
            <w:r>
              <w:rPr>
                <w:rFonts w:hint="eastAsia" w:ascii="方正仿宋_GBK" w:hAnsi="Calibri" w:eastAsia="方正仿宋_GBK" w:cs="方正仿宋_GBK"/>
                <w:color w:val="auto"/>
                <w:highlight w:val="none"/>
              </w:rPr>
              <w:t>道路畅通。</w:t>
            </w:r>
          </w:p>
          <w:p w14:paraId="0C84747A">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排水设施齐全畅通。</w:t>
            </w:r>
          </w:p>
          <w:p w14:paraId="79D9FFBD">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3. </w:t>
            </w:r>
            <w:r>
              <w:rPr>
                <w:rFonts w:hint="eastAsia" w:ascii="方正仿宋_GBK" w:hAnsi="Calibri" w:eastAsia="方正仿宋_GBK" w:cs="方正仿宋_GBK"/>
                <w:color w:val="auto"/>
                <w:highlight w:val="none"/>
              </w:rPr>
              <w:t>工地地面硬化处理（办公区、生活区、现场道路、材料堆放、混凝土搅拌、砂浆搅拌、钢筋加工等场地和外脚手架基础等）。</w:t>
            </w:r>
          </w:p>
        </w:tc>
      </w:tr>
      <w:tr w14:paraId="4BC43B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C9DC9C1">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206FF791">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材料堆放</w:t>
            </w:r>
          </w:p>
        </w:tc>
        <w:tc>
          <w:tcPr>
            <w:tcW w:w="6645" w:type="dxa"/>
            <w:noWrap w:val="0"/>
            <w:vAlign w:val="center"/>
          </w:tcPr>
          <w:p w14:paraId="395BAECD">
            <w:pPr>
              <w:pStyle w:val="139"/>
              <w:keepNext w:val="0"/>
              <w:keepLines w:val="0"/>
              <w:numPr>
                <w:ilvl w:val="0"/>
                <w:numId w:val="7"/>
              </w:numPr>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材料、构件、料具等堆放时，应有名称、品种、规格等标牌。</w:t>
            </w:r>
          </w:p>
          <w:p w14:paraId="54912FE0">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水泥和其它易飞扬细颗粒建筑材料应封闭存放或采取覆盖等措施。</w:t>
            </w:r>
          </w:p>
          <w:p w14:paraId="0FF82C2B">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3. </w:t>
            </w:r>
            <w:r>
              <w:rPr>
                <w:rFonts w:hint="eastAsia" w:ascii="方正仿宋_GBK" w:hAnsi="Calibri" w:eastAsia="方正仿宋_GBK" w:cs="方正仿宋_GBK"/>
                <w:color w:val="auto"/>
                <w:highlight w:val="none"/>
              </w:rPr>
              <w:t>易燃、易爆和有毒有害物品分类存放。</w:t>
            </w:r>
          </w:p>
        </w:tc>
      </w:tr>
      <w:tr w14:paraId="3A665B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7785CB74">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4DDCB01E">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现场防火</w:t>
            </w:r>
          </w:p>
        </w:tc>
        <w:tc>
          <w:tcPr>
            <w:tcW w:w="6645" w:type="dxa"/>
            <w:noWrap w:val="0"/>
            <w:vAlign w:val="center"/>
          </w:tcPr>
          <w:p w14:paraId="022766E9">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消防器材配置合理，符合消防要求。</w:t>
            </w:r>
          </w:p>
        </w:tc>
      </w:tr>
      <w:tr w14:paraId="6DBCC6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58DD2DA">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4342F96F">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垃圾清运</w:t>
            </w:r>
          </w:p>
        </w:tc>
        <w:tc>
          <w:tcPr>
            <w:tcW w:w="6645" w:type="dxa"/>
            <w:noWrap w:val="0"/>
            <w:vAlign w:val="center"/>
          </w:tcPr>
          <w:p w14:paraId="39FA2AE7">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1. </w:t>
            </w:r>
            <w:r>
              <w:rPr>
                <w:rFonts w:hint="eastAsia" w:ascii="方正仿宋_GBK" w:hAnsi="Calibri" w:eastAsia="方正仿宋_GBK" w:cs="方正仿宋_GBK"/>
                <w:color w:val="auto"/>
                <w:highlight w:val="none"/>
              </w:rPr>
              <w:t>施工现场应设置密闭式垃圾站，施工垃圾、生活垃圾应分类存放。</w:t>
            </w:r>
          </w:p>
          <w:p w14:paraId="4854ABBC">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施工垃圾必须采用相应容器或管道运输。</w:t>
            </w:r>
          </w:p>
        </w:tc>
      </w:tr>
      <w:tr w14:paraId="691E3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38482CC">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18E8AE0E">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宣传栏、环保及不扰民措施</w:t>
            </w:r>
          </w:p>
        </w:tc>
        <w:tc>
          <w:tcPr>
            <w:tcW w:w="6645" w:type="dxa"/>
            <w:noWrap w:val="0"/>
            <w:vAlign w:val="center"/>
          </w:tcPr>
          <w:p w14:paraId="7AD90663">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宣传栏、安全宣传标语等，洗车（防止污染市区道路）、粉尘、噪声控制和排污（污水、废气）措施等。</w:t>
            </w:r>
          </w:p>
        </w:tc>
      </w:tr>
      <w:tr w14:paraId="2B4B90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6A85C739">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临时设施</w:t>
            </w:r>
          </w:p>
        </w:tc>
        <w:tc>
          <w:tcPr>
            <w:tcW w:w="2070" w:type="dxa"/>
            <w:gridSpan w:val="2"/>
            <w:noWrap w:val="0"/>
            <w:vAlign w:val="center"/>
          </w:tcPr>
          <w:p w14:paraId="7396589A">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现场办公</w:t>
            </w:r>
          </w:p>
          <w:p w14:paraId="2C29C87C">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生活设施</w:t>
            </w:r>
          </w:p>
        </w:tc>
        <w:tc>
          <w:tcPr>
            <w:tcW w:w="6645" w:type="dxa"/>
            <w:noWrap w:val="0"/>
            <w:vAlign w:val="center"/>
          </w:tcPr>
          <w:p w14:paraId="66EB30F6">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1. </w:t>
            </w:r>
            <w:r>
              <w:rPr>
                <w:rFonts w:hint="eastAsia" w:ascii="方正仿宋_GBK" w:hAnsi="Calibri" w:eastAsia="方正仿宋_GBK" w:cs="方正仿宋_GBK"/>
                <w:color w:val="auto"/>
                <w:highlight w:val="none"/>
              </w:rPr>
              <w:t>施工现场办公、生活区与作业区分开设置，保持安全距离。</w:t>
            </w:r>
          </w:p>
          <w:p w14:paraId="356550DC">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工地办公室、现场宿舍、食堂、厕所、饮水、沐浴、休息场所等符合卫生、消防安全要求。</w:t>
            </w:r>
          </w:p>
        </w:tc>
      </w:tr>
      <w:tr w14:paraId="65528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47ECE27">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restart"/>
            <w:noWrap w:val="0"/>
            <w:vAlign w:val="center"/>
          </w:tcPr>
          <w:p w14:paraId="6F963942">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施工现场</w:t>
            </w:r>
          </w:p>
          <w:p w14:paraId="0C087829">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临时用电</w:t>
            </w:r>
          </w:p>
        </w:tc>
        <w:tc>
          <w:tcPr>
            <w:tcW w:w="1545" w:type="dxa"/>
            <w:noWrap w:val="0"/>
            <w:vAlign w:val="center"/>
          </w:tcPr>
          <w:p w14:paraId="0E188F13">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配电线路</w:t>
            </w:r>
          </w:p>
        </w:tc>
        <w:tc>
          <w:tcPr>
            <w:tcW w:w="6645" w:type="dxa"/>
            <w:noWrap w:val="0"/>
            <w:vAlign w:val="center"/>
          </w:tcPr>
          <w:p w14:paraId="3B64E9D7">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1. </w:t>
            </w:r>
            <w:r>
              <w:rPr>
                <w:rFonts w:hint="eastAsia" w:ascii="方正仿宋_GBK" w:hAnsi="Calibri" w:eastAsia="方正仿宋_GBK" w:cs="方正仿宋_GBK"/>
                <w:color w:val="auto"/>
                <w:highlight w:val="none"/>
              </w:rPr>
              <w:t>按照</w:t>
            </w:r>
            <w:r>
              <w:rPr>
                <w:rFonts w:hint="default" w:ascii="方正仿宋_GBK" w:hAnsi="Calibri" w:eastAsia="方正仿宋_GBK" w:cs="方正仿宋_GBK"/>
                <w:color w:val="auto"/>
                <w:highlight w:val="none"/>
              </w:rPr>
              <w:t>TN-S</w:t>
            </w:r>
            <w:r>
              <w:rPr>
                <w:rFonts w:hint="eastAsia" w:ascii="方正仿宋_GBK" w:hAnsi="Calibri" w:eastAsia="方正仿宋_GBK" w:cs="方正仿宋_GBK"/>
                <w:color w:val="auto"/>
                <w:highlight w:val="none"/>
              </w:rPr>
              <w:t>系统要求配备五芯电缆、四芯电缆和三芯电缆。</w:t>
            </w:r>
          </w:p>
          <w:p w14:paraId="59D06DEF">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按要求架设临时用电线路的电杆、横担、瓷夹、瓷瓶等，或电缆埋地的地沟。</w:t>
            </w:r>
          </w:p>
          <w:p w14:paraId="56CB7DF0">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3. </w:t>
            </w:r>
            <w:r>
              <w:rPr>
                <w:rFonts w:hint="eastAsia" w:ascii="方正仿宋_GBK" w:hAnsi="Calibri" w:eastAsia="方正仿宋_GBK" w:cs="方正仿宋_GBK"/>
                <w:color w:val="auto"/>
                <w:highlight w:val="none"/>
              </w:rPr>
              <w:t>对靠近施工现场的外电线路，设置木质、塑料等绝缘体的防护设施。</w:t>
            </w:r>
          </w:p>
        </w:tc>
      </w:tr>
      <w:tr w14:paraId="52FB92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41E11B3">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5F6F1690">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1B4822B4">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配电箱</w:t>
            </w:r>
          </w:p>
          <w:p w14:paraId="760D67F8">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开关箱</w:t>
            </w:r>
          </w:p>
        </w:tc>
        <w:tc>
          <w:tcPr>
            <w:tcW w:w="6645" w:type="dxa"/>
            <w:noWrap w:val="0"/>
            <w:vAlign w:val="center"/>
          </w:tcPr>
          <w:p w14:paraId="048B8CAC">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1. </w:t>
            </w:r>
            <w:r>
              <w:rPr>
                <w:rFonts w:hint="eastAsia" w:ascii="方正仿宋_GBK" w:hAnsi="Calibri" w:eastAsia="方正仿宋_GBK" w:cs="方正仿宋_GBK"/>
                <w:color w:val="auto"/>
                <w:highlight w:val="none"/>
              </w:rPr>
              <w:t>按三级配电要求，配备总配电箱、分配电箱、开关箱三类（铁质）标准电箱，开关箱应符合</w:t>
            </w:r>
            <w:r>
              <w:rPr>
                <w:rFonts w:hint="eastAsia" w:ascii="方正仿宋_GBK" w:hAnsi="Calibri" w:eastAsia="方正仿宋_GBK" w:cs="方正仿宋_GBK"/>
                <w:color w:val="auto"/>
                <w:highlight w:val="none"/>
                <w:lang w:eastAsia="zh-CN"/>
              </w:rPr>
              <w:t>“</w:t>
            </w:r>
            <w:r>
              <w:rPr>
                <w:rFonts w:hint="eastAsia" w:ascii="方正仿宋_GBK" w:hAnsi="Calibri" w:eastAsia="方正仿宋_GBK" w:cs="方正仿宋_GBK"/>
                <w:color w:val="auto"/>
                <w:highlight w:val="none"/>
              </w:rPr>
              <w:t>一机、一箱、一闸、一漏</w:t>
            </w:r>
            <w:r>
              <w:rPr>
                <w:rFonts w:hint="eastAsia" w:ascii="方正仿宋_GBK" w:hAnsi="Calibri" w:eastAsia="方正仿宋_GBK" w:cs="方正仿宋_GBK"/>
                <w:color w:val="auto"/>
                <w:highlight w:val="none"/>
                <w:lang w:eastAsia="zh-CN"/>
              </w:rPr>
              <w:t>”</w:t>
            </w:r>
            <w:r>
              <w:rPr>
                <w:rFonts w:hint="eastAsia" w:ascii="方正仿宋_GBK" w:hAnsi="Calibri" w:eastAsia="方正仿宋_GBK" w:cs="方正仿宋_GBK"/>
                <w:color w:val="auto"/>
                <w:highlight w:val="none"/>
              </w:rPr>
              <w:t>，三类电箱中的各类电器应是合格品。</w:t>
            </w:r>
          </w:p>
          <w:p w14:paraId="17EBAD96">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按两级保护的要求，选取符合容量要求和质量合格的总配电箱和开关箱中的漏电保护器。</w:t>
            </w:r>
          </w:p>
          <w:p w14:paraId="03673F9D">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3. </w:t>
            </w:r>
            <w:r>
              <w:rPr>
                <w:rFonts w:hint="eastAsia" w:ascii="方正仿宋_GBK" w:hAnsi="Calibri" w:eastAsia="方正仿宋_GBK" w:cs="方正仿宋_GBK"/>
                <w:color w:val="auto"/>
                <w:highlight w:val="none"/>
              </w:rPr>
              <w:t>对大型、落地式分配电箱、开关箱设置防护棚和通透式围挡。</w:t>
            </w:r>
          </w:p>
        </w:tc>
      </w:tr>
      <w:tr w14:paraId="47E287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noWrap w:val="0"/>
            <w:vAlign w:val="center"/>
          </w:tcPr>
          <w:p w14:paraId="0D9B935B">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0A870B28">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59F6E75A">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接地装置</w:t>
            </w:r>
          </w:p>
        </w:tc>
        <w:tc>
          <w:tcPr>
            <w:tcW w:w="6645" w:type="dxa"/>
            <w:noWrap w:val="0"/>
            <w:vAlign w:val="center"/>
          </w:tcPr>
          <w:p w14:paraId="3B2FBBE5">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施工现场应设置不少于三处的重复接地装置。</w:t>
            </w:r>
          </w:p>
        </w:tc>
      </w:tr>
      <w:tr w14:paraId="52AAB1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noWrap w:val="0"/>
            <w:vAlign w:val="center"/>
          </w:tcPr>
          <w:p w14:paraId="003A0FBD">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4B02D441">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1139A165">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现场变配电装置</w:t>
            </w:r>
          </w:p>
        </w:tc>
        <w:tc>
          <w:tcPr>
            <w:tcW w:w="6645" w:type="dxa"/>
            <w:noWrap w:val="0"/>
            <w:vAlign w:val="center"/>
          </w:tcPr>
          <w:p w14:paraId="2D051615">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总配电房建筑材料必须达到消防防火要求，室内做硬地坪、电缆沟。</w:t>
            </w:r>
          </w:p>
        </w:tc>
      </w:tr>
      <w:tr w14:paraId="5E49B1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noWrap w:val="0"/>
            <w:vAlign w:val="center"/>
          </w:tcPr>
          <w:p w14:paraId="7DFC24D7">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b/>
                <w:bCs/>
                <w:color w:val="auto"/>
                <w:highlight w:val="none"/>
              </w:rPr>
            </w:pPr>
            <w:r>
              <w:rPr>
                <w:rFonts w:hint="eastAsia" w:ascii="方正仿宋_GBK" w:hAnsi="Calibri" w:eastAsia="方正仿宋_GBK" w:cs="方正仿宋_GBK"/>
                <w:b/>
                <w:bCs/>
                <w:color w:val="auto"/>
                <w:highlight w:val="none"/>
              </w:rPr>
              <w:t>类别</w:t>
            </w:r>
          </w:p>
        </w:tc>
        <w:tc>
          <w:tcPr>
            <w:tcW w:w="2070" w:type="dxa"/>
            <w:gridSpan w:val="2"/>
            <w:noWrap w:val="0"/>
            <w:vAlign w:val="center"/>
          </w:tcPr>
          <w:p w14:paraId="34450644">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b/>
                <w:bCs/>
                <w:color w:val="auto"/>
                <w:highlight w:val="none"/>
              </w:rPr>
            </w:pPr>
            <w:r>
              <w:rPr>
                <w:rFonts w:hint="eastAsia" w:ascii="方正仿宋_GBK" w:hAnsi="Calibri" w:eastAsia="方正仿宋_GBK" w:cs="方正仿宋_GBK"/>
                <w:b/>
                <w:bCs/>
                <w:color w:val="auto"/>
                <w:highlight w:val="none"/>
              </w:rPr>
              <w:t>项目名称</w:t>
            </w:r>
          </w:p>
        </w:tc>
        <w:tc>
          <w:tcPr>
            <w:tcW w:w="6645" w:type="dxa"/>
            <w:noWrap w:val="0"/>
            <w:vAlign w:val="center"/>
          </w:tcPr>
          <w:p w14:paraId="24B0B033">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b/>
                <w:bCs/>
                <w:color w:val="auto"/>
                <w:highlight w:val="none"/>
              </w:rPr>
            </w:pPr>
            <w:r>
              <w:rPr>
                <w:rFonts w:hint="eastAsia" w:ascii="方正仿宋_GBK" w:hAnsi="Calibri" w:eastAsia="方正仿宋_GBK" w:cs="方正仿宋_GBK"/>
                <w:b/>
                <w:bCs/>
                <w:color w:val="auto"/>
                <w:highlight w:val="none"/>
              </w:rPr>
              <w:t>主要内容和要求</w:t>
            </w:r>
          </w:p>
        </w:tc>
      </w:tr>
      <w:tr w14:paraId="74BF35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19CB1EF1">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安全施工</w:t>
            </w:r>
          </w:p>
        </w:tc>
        <w:tc>
          <w:tcPr>
            <w:tcW w:w="525" w:type="dxa"/>
            <w:vMerge w:val="restart"/>
            <w:noWrap w:val="0"/>
            <w:vAlign w:val="center"/>
          </w:tcPr>
          <w:p w14:paraId="1FBE202D">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高处作业防护</w:t>
            </w:r>
          </w:p>
        </w:tc>
        <w:tc>
          <w:tcPr>
            <w:tcW w:w="1545" w:type="dxa"/>
            <w:noWrap w:val="0"/>
            <w:vAlign w:val="center"/>
          </w:tcPr>
          <w:p w14:paraId="3550B371">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楼层、屋面、阳台等临边</w:t>
            </w:r>
          </w:p>
        </w:tc>
        <w:tc>
          <w:tcPr>
            <w:tcW w:w="6645" w:type="dxa"/>
            <w:noWrap w:val="0"/>
            <w:vAlign w:val="center"/>
          </w:tcPr>
          <w:p w14:paraId="52EFAE16">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设两道防护栏杆和</w:t>
            </w:r>
            <w:r>
              <w:rPr>
                <w:rFonts w:hint="default" w:ascii="方正仿宋_GBK" w:hAnsi="Calibri" w:eastAsia="方正仿宋_GBK" w:cs="方正仿宋_GBK"/>
                <w:color w:val="auto"/>
                <w:highlight w:val="none"/>
              </w:rPr>
              <w:t>18cm</w:t>
            </w:r>
            <w:r>
              <w:rPr>
                <w:rFonts w:hint="eastAsia" w:ascii="方正仿宋_GBK" w:hAnsi="Calibri" w:eastAsia="方正仿宋_GBK" w:cs="方正仿宋_GBK"/>
                <w:color w:val="auto"/>
                <w:highlight w:val="none"/>
              </w:rPr>
              <w:t>高的踢脚板，用密目式安全立网全封闭。</w:t>
            </w:r>
          </w:p>
        </w:tc>
      </w:tr>
      <w:tr w14:paraId="780B3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42330A6">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35B3BB7B">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4740B58D">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通道口</w:t>
            </w:r>
          </w:p>
        </w:tc>
        <w:tc>
          <w:tcPr>
            <w:tcW w:w="6645" w:type="dxa"/>
            <w:noWrap w:val="0"/>
            <w:vAlign w:val="center"/>
          </w:tcPr>
          <w:p w14:paraId="750BBF21">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设防护棚，防护棚应为不小于</w:t>
            </w:r>
            <w:r>
              <w:rPr>
                <w:rFonts w:hint="default" w:ascii="方正仿宋_GBK" w:hAnsi="Calibri" w:eastAsia="方正仿宋_GBK" w:cs="方正仿宋_GBK"/>
                <w:color w:val="auto"/>
                <w:highlight w:val="none"/>
              </w:rPr>
              <w:t>5cm</w:t>
            </w:r>
            <w:r>
              <w:rPr>
                <w:rFonts w:hint="eastAsia" w:ascii="方正仿宋_GBK" w:hAnsi="Calibri" w:eastAsia="方正仿宋_GBK" w:cs="方正仿宋_GBK"/>
                <w:color w:val="auto"/>
                <w:highlight w:val="none"/>
              </w:rPr>
              <w:t>厚的木板或两道相距</w:t>
            </w:r>
            <w:r>
              <w:rPr>
                <w:rFonts w:hint="default" w:ascii="方正仿宋_GBK" w:hAnsi="Calibri" w:eastAsia="方正仿宋_GBK" w:cs="方正仿宋_GBK"/>
                <w:color w:val="auto"/>
                <w:highlight w:val="none"/>
              </w:rPr>
              <w:t>50cm</w:t>
            </w:r>
            <w:r>
              <w:rPr>
                <w:rFonts w:hint="eastAsia" w:ascii="方正仿宋_GBK" w:hAnsi="Calibri" w:eastAsia="方正仿宋_GBK" w:cs="方正仿宋_GBK"/>
                <w:color w:val="auto"/>
                <w:highlight w:val="none"/>
              </w:rPr>
              <w:t>的竹笆。两侧应沿栏杆架用密目式安全网封闭。</w:t>
            </w:r>
          </w:p>
        </w:tc>
      </w:tr>
      <w:tr w14:paraId="497DE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A84133A">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78C896BE">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380F96C5">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预留洞口</w:t>
            </w:r>
          </w:p>
        </w:tc>
        <w:tc>
          <w:tcPr>
            <w:tcW w:w="6645" w:type="dxa"/>
            <w:noWrap w:val="0"/>
            <w:vAlign w:val="center"/>
          </w:tcPr>
          <w:p w14:paraId="20528250">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用硬质材料全封闭，短边超过</w:t>
            </w:r>
            <w:r>
              <w:rPr>
                <w:rFonts w:hint="default" w:ascii="方正仿宋_GBK" w:hAnsi="Calibri" w:eastAsia="方正仿宋_GBK" w:cs="方正仿宋_GBK"/>
                <w:color w:val="auto"/>
                <w:highlight w:val="none"/>
              </w:rPr>
              <w:t>1.5m</w:t>
            </w:r>
            <w:r>
              <w:rPr>
                <w:rFonts w:hint="eastAsia" w:ascii="方正仿宋_GBK" w:hAnsi="Calibri" w:eastAsia="方正仿宋_GBK" w:cs="方正仿宋_GBK"/>
                <w:color w:val="auto"/>
                <w:highlight w:val="none"/>
              </w:rPr>
              <w:t>长的洞口，除封闭外四周还应设有防护栏杆。</w:t>
            </w:r>
          </w:p>
        </w:tc>
      </w:tr>
      <w:tr w14:paraId="23696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noWrap w:val="0"/>
            <w:vAlign w:val="center"/>
          </w:tcPr>
          <w:p w14:paraId="2D7A2659">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7976A8CA">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69870579">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电梯井口</w:t>
            </w:r>
          </w:p>
        </w:tc>
        <w:tc>
          <w:tcPr>
            <w:tcW w:w="6645" w:type="dxa"/>
            <w:noWrap w:val="0"/>
            <w:vAlign w:val="center"/>
          </w:tcPr>
          <w:p w14:paraId="55D8BA7F">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设置定型化、工具化的防护门，在电梯井内每隔</w:t>
            </w:r>
            <w:r>
              <w:rPr>
                <w:rFonts w:hint="default" w:ascii="方正仿宋_GBK" w:hAnsi="Calibri" w:eastAsia="方正仿宋_GBK" w:cs="方正仿宋_GBK"/>
                <w:color w:val="auto"/>
                <w:highlight w:val="none"/>
              </w:rPr>
              <w:t>2</w:t>
            </w:r>
            <w:r>
              <w:rPr>
                <w:rFonts w:hint="eastAsia" w:ascii="方正仿宋_GBK" w:hAnsi="Calibri" w:eastAsia="方正仿宋_GBK" w:cs="方正仿宋_GBK"/>
                <w:color w:val="auto"/>
                <w:highlight w:val="none"/>
              </w:rPr>
              <w:t>层（不大于</w:t>
            </w:r>
            <w:r>
              <w:rPr>
                <w:rFonts w:hint="default" w:ascii="方正仿宋_GBK" w:hAnsi="Calibri" w:eastAsia="方正仿宋_GBK" w:cs="方正仿宋_GBK"/>
                <w:color w:val="auto"/>
                <w:highlight w:val="none"/>
              </w:rPr>
              <w:t>10m</w:t>
            </w:r>
            <w:r>
              <w:rPr>
                <w:rFonts w:hint="eastAsia" w:ascii="方正仿宋_GBK" w:hAnsi="Calibri" w:eastAsia="方正仿宋_GBK" w:cs="方正仿宋_GBK"/>
                <w:color w:val="auto"/>
                <w:highlight w:val="none"/>
              </w:rPr>
              <w:t>）设置一道水平防护。</w:t>
            </w:r>
          </w:p>
        </w:tc>
      </w:tr>
      <w:tr w14:paraId="72CCB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6079DE6">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6AF491F4">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00135DC8">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楼梯边</w:t>
            </w:r>
          </w:p>
        </w:tc>
        <w:tc>
          <w:tcPr>
            <w:tcW w:w="6645" w:type="dxa"/>
            <w:noWrap w:val="0"/>
            <w:vAlign w:val="center"/>
          </w:tcPr>
          <w:p w14:paraId="51CBDE04">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设</w:t>
            </w:r>
            <w:r>
              <w:rPr>
                <w:rFonts w:hint="default" w:ascii="方正仿宋_GBK" w:hAnsi="Calibri" w:eastAsia="方正仿宋_GBK" w:cs="方正仿宋_GBK"/>
                <w:color w:val="auto"/>
                <w:highlight w:val="none"/>
              </w:rPr>
              <w:t>1.2m</w:t>
            </w:r>
            <w:r>
              <w:rPr>
                <w:rFonts w:hint="eastAsia" w:ascii="方正仿宋_GBK" w:hAnsi="Calibri" w:eastAsia="方正仿宋_GBK" w:cs="方正仿宋_GBK"/>
                <w:color w:val="auto"/>
                <w:highlight w:val="none"/>
              </w:rPr>
              <w:t>高的定型化、工具化的防护栏，</w:t>
            </w:r>
            <w:r>
              <w:rPr>
                <w:rFonts w:hint="default" w:ascii="方正仿宋_GBK" w:hAnsi="Calibri" w:eastAsia="方正仿宋_GBK" w:cs="方正仿宋_GBK"/>
                <w:color w:val="auto"/>
                <w:highlight w:val="none"/>
              </w:rPr>
              <w:t>18cm</w:t>
            </w:r>
            <w:r>
              <w:rPr>
                <w:rFonts w:hint="eastAsia" w:ascii="方正仿宋_GBK" w:hAnsi="Calibri" w:eastAsia="方正仿宋_GBK" w:cs="方正仿宋_GBK"/>
                <w:color w:val="auto"/>
                <w:highlight w:val="none"/>
              </w:rPr>
              <w:t>高的踢脚板。</w:t>
            </w:r>
          </w:p>
        </w:tc>
      </w:tr>
      <w:tr w14:paraId="1113D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9E6496A">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556EAE84">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5218635E">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垂直方向交叉作业</w:t>
            </w:r>
          </w:p>
        </w:tc>
        <w:tc>
          <w:tcPr>
            <w:tcW w:w="6645" w:type="dxa"/>
            <w:noWrap w:val="0"/>
            <w:vAlign w:val="center"/>
          </w:tcPr>
          <w:p w14:paraId="66786A2D">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设置防护隔离棚或其它设施。</w:t>
            </w:r>
          </w:p>
        </w:tc>
      </w:tr>
      <w:tr w14:paraId="6F43B1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3A16F45">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6389C053">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502CD3E1">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高处作业</w:t>
            </w:r>
          </w:p>
        </w:tc>
        <w:tc>
          <w:tcPr>
            <w:tcW w:w="6645" w:type="dxa"/>
            <w:noWrap w:val="0"/>
            <w:vAlign w:val="center"/>
          </w:tcPr>
          <w:p w14:paraId="4804720C">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有悬挂安全带的悬索或其它设施，有操作平台，有上下的梯子或其它形式的通道。</w:t>
            </w:r>
          </w:p>
        </w:tc>
      </w:tr>
      <w:tr w14:paraId="06E33E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4F9073C">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0FE8DB7D">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73C99625">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基坑、物料平台</w:t>
            </w:r>
          </w:p>
        </w:tc>
        <w:tc>
          <w:tcPr>
            <w:tcW w:w="6645" w:type="dxa"/>
            <w:noWrap w:val="0"/>
            <w:vAlign w:val="center"/>
          </w:tcPr>
          <w:p w14:paraId="175CB9DD">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设</w:t>
            </w:r>
            <w:r>
              <w:rPr>
                <w:rFonts w:hint="default" w:ascii="方正仿宋_GBK" w:hAnsi="Calibri" w:eastAsia="方正仿宋_GBK" w:cs="方正仿宋_GBK"/>
                <w:color w:val="auto"/>
                <w:highlight w:val="none"/>
              </w:rPr>
              <w:t>1.2m</w:t>
            </w:r>
            <w:r>
              <w:rPr>
                <w:rFonts w:hint="eastAsia" w:ascii="方正仿宋_GBK" w:hAnsi="Calibri" w:eastAsia="方正仿宋_GBK" w:cs="方正仿宋_GBK"/>
                <w:color w:val="auto"/>
                <w:highlight w:val="none"/>
              </w:rPr>
              <w:t>高标准化的防护栏，用密目式安全立网封闭，悬挂标识。</w:t>
            </w:r>
          </w:p>
        </w:tc>
      </w:tr>
      <w:tr w14:paraId="080F04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CCC0F0A">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4D1AF3E2">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安全防护用品</w:t>
            </w:r>
          </w:p>
        </w:tc>
        <w:tc>
          <w:tcPr>
            <w:tcW w:w="6645" w:type="dxa"/>
            <w:noWrap w:val="0"/>
            <w:vAlign w:val="center"/>
          </w:tcPr>
          <w:p w14:paraId="7E7BF9D3">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安全帽、安全带、特种作业人员（电工、焊工、架子工等）防护服装、用品等。</w:t>
            </w:r>
          </w:p>
        </w:tc>
      </w:tr>
      <w:tr w14:paraId="655B6D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noWrap w:val="0"/>
            <w:vAlign w:val="center"/>
          </w:tcPr>
          <w:p w14:paraId="536F0BC7">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其它</w:t>
            </w:r>
          </w:p>
        </w:tc>
        <w:tc>
          <w:tcPr>
            <w:tcW w:w="525" w:type="dxa"/>
            <w:vMerge w:val="restart"/>
            <w:noWrap w:val="0"/>
            <w:vAlign w:val="center"/>
          </w:tcPr>
          <w:p w14:paraId="37A89932">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机械设备防护</w:t>
            </w:r>
          </w:p>
        </w:tc>
        <w:tc>
          <w:tcPr>
            <w:tcW w:w="1545" w:type="dxa"/>
            <w:noWrap w:val="0"/>
            <w:vAlign w:val="center"/>
          </w:tcPr>
          <w:p w14:paraId="47500C73">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中小型机械</w:t>
            </w:r>
          </w:p>
        </w:tc>
        <w:tc>
          <w:tcPr>
            <w:tcW w:w="6645" w:type="dxa"/>
            <w:noWrap w:val="0"/>
            <w:vAlign w:val="center"/>
          </w:tcPr>
          <w:p w14:paraId="54BA4AF1">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设防护棚（同通道口防护并有防雨措施）。</w:t>
            </w:r>
          </w:p>
        </w:tc>
      </w:tr>
      <w:tr w14:paraId="270319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B5D27B0">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525" w:type="dxa"/>
            <w:vMerge w:val="continue"/>
            <w:noWrap w:val="0"/>
            <w:vAlign w:val="center"/>
          </w:tcPr>
          <w:p w14:paraId="430990C6">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1545" w:type="dxa"/>
            <w:noWrap w:val="0"/>
            <w:vAlign w:val="center"/>
          </w:tcPr>
          <w:p w14:paraId="41EE2DFA">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垂直运输设备</w:t>
            </w:r>
          </w:p>
        </w:tc>
        <w:tc>
          <w:tcPr>
            <w:tcW w:w="6645" w:type="dxa"/>
            <w:noWrap w:val="0"/>
            <w:vAlign w:val="center"/>
          </w:tcPr>
          <w:p w14:paraId="54070BF2">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1. </w:t>
            </w:r>
            <w:r>
              <w:rPr>
                <w:rFonts w:hint="eastAsia" w:ascii="方正仿宋_GBK" w:hAnsi="Calibri" w:eastAsia="方正仿宋_GBK" w:cs="方正仿宋_GBK"/>
                <w:color w:val="auto"/>
                <w:highlight w:val="none"/>
              </w:rPr>
              <w:t>垂直运输设备检测、检验、日常维护、保养等。</w:t>
            </w:r>
          </w:p>
          <w:p w14:paraId="5C70A2AD">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default" w:ascii="方正仿宋_GBK" w:hAnsi="Calibri" w:eastAsia="方正仿宋_GBK" w:cs="方正仿宋_GBK"/>
                <w:color w:val="auto"/>
                <w:highlight w:val="none"/>
              </w:rPr>
              <w:t xml:space="preserve">2. </w:t>
            </w:r>
            <w:r>
              <w:rPr>
                <w:rFonts w:hint="eastAsia" w:ascii="方正仿宋_GBK" w:hAnsi="Calibri" w:eastAsia="方正仿宋_GBK" w:cs="方正仿宋_GBK"/>
                <w:color w:val="auto"/>
                <w:highlight w:val="none"/>
              </w:rPr>
              <w:t>物料提升机、施工电梯等物料平台搭设、外侧用密目式安全立网全封闭，有安全通道、安全防护门、防护棚等。</w:t>
            </w:r>
          </w:p>
        </w:tc>
      </w:tr>
      <w:tr w14:paraId="6362D3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3F29A970">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3D84AAE2">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专家论证审查</w:t>
            </w:r>
          </w:p>
        </w:tc>
        <w:tc>
          <w:tcPr>
            <w:tcW w:w="6645" w:type="dxa"/>
            <w:noWrap w:val="0"/>
            <w:vAlign w:val="center"/>
          </w:tcPr>
          <w:p w14:paraId="4E511B5A">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超过一定规模的危险性较大分部分项工程专家论证审查。</w:t>
            </w:r>
          </w:p>
        </w:tc>
      </w:tr>
      <w:tr w14:paraId="4C3541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59EADA63">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noWrap w:val="0"/>
            <w:vAlign w:val="center"/>
          </w:tcPr>
          <w:p w14:paraId="4D60A154">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应急救援预案</w:t>
            </w:r>
          </w:p>
        </w:tc>
        <w:tc>
          <w:tcPr>
            <w:tcW w:w="6645" w:type="dxa"/>
            <w:noWrap w:val="0"/>
            <w:vAlign w:val="center"/>
          </w:tcPr>
          <w:p w14:paraId="36CB5E39">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救援器材准备及演练等。</w:t>
            </w:r>
          </w:p>
        </w:tc>
      </w:tr>
      <w:tr w14:paraId="2A1CB7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bottom w:val="single" w:color="auto" w:sz="12" w:space="0"/>
            </w:tcBorders>
            <w:noWrap w:val="0"/>
            <w:vAlign w:val="center"/>
          </w:tcPr>
          <w:p w14:paraId="2B3EB023">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p>
        </w:tc>
        <w:tc>
          <w:tcPr>
            <w:tcW w:w="2070" w:type="dxa"/>
            <w:gridSpan w:val="2"/>
            <w:tcBorders>
              <w:bottom w:val="single" w:color="auto" w:sz="12" w:space="0"/>
            </w:tcBorders>
            <w:noWrap w:val="0"/>
            <w:vAlign w:val="center"/>
          </w:tcPr>
          <w:p w14:paraId="0F162AF7">
            <w:pPr>
              <w:pStyle w:val="139"/>
              <w:keepNext w:val="0"/>
              <w:keepLines w:val="0"/>
              <w:suppressLineNumbers w:val="0"/>
              <w:spacing w:before="0" w:beforeAutospacing="0" w:after="0" w:afterAutospacing="0" w:line="300" w:lineRule="exact"/>
              <w:ind w:left="0" w:right="0"/>
              <w:jc w:val="center"/>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非正常情况施工</w:t>
            </w:r>
          </w:p>
        </w:tc>
        <w:tc>
          <w:tcPr>
            <w:tcW w:w="6645" w:type="dxa"/>
            <w:tcBorders>
              <w:bottom w:val="single" w:color="auto" w:sz="12" w:space="0"/>
            </w:tcBorders>
            <w:noWrap w:val="0"/>
            <w:vAlign w:val="center"/>
          </w:tcPr>
          <w:p w14:paraId="672803FE">
            <w:pPr>
              <w:pStyle w:val="139"/>
              <w:keepNext w:val="0"/>
              <w:keepLines w:val="0"/>
              <w:suppressLineNumbers w:val="0"/>
              <w:spacing w:before="0" w:beforeAutospacing="0" w:after="0" w:afterAutospacing="0" w:line="300" w:lineRule="exact"/>
              <w:ind w:left="0" w:right="0"/>
              <w:rPr>
                <w:rFonts w:hint="default" w:ascii="方正仿宋_GBK" w:hAnsi="Calibri" w:eastAsia="方正仿宋_GBK" w:cs="Times New Roman"/>
                <w:color w:val="auto"/>
                <w:highlight w:val="none"/>
              </w:rPr>
            </w:pPr>
            <w:r>
              <w:rPr>
                <w:rFonts w:hint="eastAsia" w:ascii="方正仿宋_GBK" w:hAnsi="Calibri" w:eastAsia="方正仿宋_GBK" w:cs="方正仿宋_GBK"/>
                <w:color w:val="auto"/>
                <w:highlight w:val="none"/>
              </w:rPr>
              <w:t>其它特殊情况下的防护费用，如：城市主干道、人流密集、河边等处施工及文物、古建筑、古树保护等。</w:t>
            </w:r>
          </w:p>
        </w:tc>
      </w:tr>
    </w:tbl>
    <w:p w14:paraId="4D666BA4">
      <w:pPr>
        <w:pStyle w:val="139"/>
        <w:spacing w:line="240" w:lineRule="atLeast"/>
        <w:ind w:firstLine="546"/>
        <w:jc w:val="center"/>
        <w:rPr>
          <w:rFonts w:hint="eastAsia"/>
          <w:b/>
          <w:bCs/>
          <w:color w:val="auto"/>
          <w:w w:val="90"/>
          <w:sz w:val="24"/>
          <w:szCs w:val="24"/>
          <w:highlight w:val="none"/>
        </w:rPr>
      </w:pPr>
    </w:p>
    <w:p w14:paraId="103E8211">
      <w:pPr>
        <w:spacing w:before="120" w:beforeLines="50"/>
        <w:ind w:firstLine="420" w:firstLineChars="200"/>
        <w:rPr>
          <w:rFonts w:cs="宋体"/>
          <w:color w:val="auto"/>
          <w:highlight w:val="none"/>
        </w:rPr>
      </w:pPr>
      <w:r>
        <w:rPr>
          <w:rFonts w:hint="eastAsia" w:cs="宋体"/>
          <w:color w:val="auto"/>
          <w:highlight w:val="none"/>
        </w:rPr>
        <w:t>注：本表所列建筑工程安全文明施工费，是依据现行法律法规及标准规范确定的。如法律法规和标准规范修订，本表所列项目应按照修订后的法律法规和标准规范进行调整。</w:t>
      </w:r>
    </w:p>
    <w:p w14:paraId="2A7EFAC8">
      <w:pPr>
        <w:spacing w:before="120" w:beforeLines="50"/>
        <w:ind w:firstLine="420" w:firstLineChars="200"/>
        <w:rPr>
          <w:rFonts w:cs="宋体"/>
          <w:color w:val="auto"/>
          <w:highlight w:val="none"/>
        </w:rPr>
      </w:pPr>
    </w:p>
    <w:p w14:paraId="0B2A584E">
      <w:pPr>
        <w:spacing w:before="120" w:beforeLines="50"/>
        <w:ind w:firstLine="420" w:firstLineChars="200"/>
        <w:rPr>
          <w:rFonts w:cs="宋体"/>
          <w:color w:val="auto"/>
          <w:highlight w:val="none"/>
        </w:rPr>
      </w:pPr>
    </w:p>
    <w:p w14:paraId="469797F5">
      <w:pPr>
        <w:spacing w:before="120" w:beforeLines="50"/>
        <w:ind w:firstLine="420" w:firstLineChars="200"/>
        <w:rPr>
          <w:rFonts w:cs="宋体"/>
          <w:color w:val="auto"/>
          <w:highlight w:val="none"/>
        </w:rPr>
      </w:pPr>
    </w:p>
    <w:p w14:paraId="3B75E9B2">
      <w:pPr>
        <w:spacing w:before="120" w:beforeLines="50"/>
        <w:ind w:firstLine="420" w:firstLineChars="200"/>
        <w:rPr>
          <w:rFonts w:cs="宋体"/>
          <w:color w:val="auto"/>
          <w:highlight w:val="none"/>
        </w:rPr>
      </w:pPr>
    </w:p>
    <w:p w14:paraId="135191D5">
      <w:pPr>
        <w:spacing w:before="120" w:beforeLines="50"/>
        <w:ind w:firstLine="420" w:firstLineChars="200"/>
        <w:rPr>
          <w:rFonts w:hint="eastAsia" w:cs="宋体"/>
          <w:color w:val="auto"/>
          <w:highlight w:val="none"/>
        </w:rPr>
      </w:pPr>
    </w:p>
    <w:p w14:paraId="0BD66D00">
      <w:pPr>
        <w:spacing w:before="120" w:beforeLines="50"/>
        <w:ind w:firstLine="420" w:firstLineChars="200"/>
        <w:rPr>
          <w:rFonts w:cs="宋体"/>
          <w:color w:val="auto"/>
          <w:highlight w:val="none"/>
        </w:rPr>
      </w:pPr>
    </w:p>
    <w:p w14:paraId="6123D148">
      <w:pPr>
        <w:spacing w:before="120" w:beforeLines="50"/>
        <w:ind w:firstLine="420" w:firstLineChars="200"/>
        <w:rPr>
          <w:rFonts w:hint="eastAsia"/>
          <w:color w:val="auto"/>
          <w:highlight w:val="none"/>
        </w:rPr>
      </w:pPr>
    </w:p>
    <w:p w14:paraId="79581C83">
      <w:pPr>
        <w:ind w:firstLine="420" w:firstLineChars="200"/>
        <w:rPr>
          <w:color w:val="auto"/>
          <w:highlight w:val="none"/>
        </w:rPr>
      </w:pPr>
    </w:p>
    <w:p w14:paraId="19DE1A7B">
      <w:pPr>
        <w:pStyle w:val="136"/>
        <w:spacing w:line="360" w:lineRule="auto"/>
        <w:jc w:val="left"/>
        <w:outlineLvl w:val="0"/>
        <w:rPr>
          <w:rFonts w:cs="宋体"/>
          <w:b/>
          <w:bCs/>
          <w:color w:val="auto"/>
          <w:sz w:val="28"/>
          <w:szCs w:val="28"/>
          <w:highlight w:val="none"/>
        </w:rPr>
      </w:pPr>
      <w:r>
        <w:rPr>
          <w:rFonts w:hint="eastAsia" w:cs="宋体"/>
          <w:b/>
          <w:bCs/>
          <w:color w:val="auto"/>
          <w:sz w:val="28"/>
          <w:szCs w:val="28"/>
          <w:highlight w:val="none"/>
          <w:lang w:val="en-US" w:eastAsia="zh-CN"/>
        </w:rPr>
        <w:t>6.</w:t>
      </w:r>
      <w:r>
        <w:rPr>
          <w:rFonts w:hint="eastAsia" w:cs="宋体"/>
          <w:b/>
          <w:bCs/>
          <w:color w:val="auto"/>
          <w:sz w:val="28"/>
          <w:szCs w:val="28"/>
          <w:highlight w:val="none"/>
        </w:rPr>
        <w:t>项目经理简历表</w:t>
      </w:r>
    </w:p>
    <w:p w14:paraId="022F3B82">
      <w:pPr>
        <w:spacing w:before="120" w:beforeLines="50"/>
        <w:ind w:firstLine="643" w:firstLineChars="200"/>
        <w:jc w:val="center"/>
        <w:rPr>
          <w:rFonts w:cs="宋体"/>
          <w:b/>
          <w:color w:val="auto"/>
          <w:sz w:val="32"/>
          <w:szCs w:val="32"/>
          <w:highlight w:val="none"/>
        </w:rPr>
      </w:pPr>
      <w:r>
        <w:rPr>
          <w:rFonts w:hint="eastAsia" w:cs="宋体"/>
          <w:b/>
          <w:color w:val="auto"/>
          <w:sz w:val="32"/>
          <w:szCs w:val="32"/>
          <w:highlight w:val="none"/>
        </w:rPr>
        <w:t>项目经理简历表</w:t>
      </w:r>
    </w:p>
    <w:p w14:paraId="057950BF">
      <w:pPr>
        <w:pStyle w:val="136"/>
        <w:rPr>
          <w:color w:val="auto"/>
          <w:highlight w:val="none"/>
          <w:u w:val="single"/>
        </w:rPr>
      </w:pPr>
    </w:p>
    <w:p w14:paraId="4378D9CE">
      <w:pPr>
        <w:pStyle w:val="136"/>
        <w:rPr>
          <w:color w:val="auto"/>
          <w:highlight w:val="none"/>
        </w:rPr>
      </w:pPr>
      <w:r>
        <w:rPr>
          <w:color w:val="auto"/>
          <w:highlight w:val="none"/>
          <w:u w:val="single"/>
        </w:rPr>
        <w:t xml:space="preserve">            </w:t>
      </w:r>
      <w:r>
        <w:rPr>
          <w:rFonts w:hint="eastAsia" w:cs="宋体"/>
          <w:color w:val="auto"/>
          <w:highlight w:val="none"/>
          <w:u w:val="single"/>
          <w:lang w:eastAsia="zh-CN"/>
        </w:rPr>
        <w:t>广西警察学院长湖校区3号学员公寓楼改造工程（重）</w:t>
      </w:r>
      <w:r>
        <w:rPr>
          <w:color w:val="auto"/>
          <w:highlight w:val="none"/>
          <w:u w:val="single"/>
        </w:rPr>
        <w:t xml:space="preserve">        </w:t>
      </w:r>
      <w:r>
        <w:rPr>
          <w:color w:val="auto"/>
          <w:highlight w:val="none"/>
        </w:rPr>
        <w:t xml:space="preserve"> </w:t>
      </w:r>
      <w:r>
        <w:rPr>
          <w:rFonts w:hint="eastAsia" w:cs="宋体"/>
          <w:color w:val="auto"/>
          <w:highlight w:val="none"/>
        </w:rPr>
        <w:t>工程</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774"/>
        <w:gridCol w:w="328"/>
        <w:gridCol w:w="300"/>
        <w:gridCol w:w="989"/>
        <w:gridCol w:w="220"/>
        <w:gridCol w:w="384"/>
        <w:gridCol w:w="467"/>
        <w:gridCol w:w="621"/>
        <w:gridCol w:w="497"/>
        <w:gridCol w:w="1108"/>
        <w:gridCol w:w="36"/>
        <w:gridCol w:w="184"/>
        <w:gridCol w:w="313"/>
        <w:gridCol w:w="987"/>
        <w:gridCol w:w="11"/>
      </w:tblGrid>
      <w:tr w14:paraId="169A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524C55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姓名</w:t>
            </w:r>
          </w:p>
        </w:tc>
        <w:tc>
          <w:tcPr>
            <w:tcW w:w="2340" w:type="dxa"/>
            <w:gridSpan w:val="5"/>
            <w:noWrap w:val="0"/>
            <w:vAlign w:val="center"/>
          </w:tcPr>
          <w:p w14:paraId="48ED9F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93" w:type="dxa"/>
            <w:gridSpan w:val="4"/>
            <w:noWrap w:val="0"/>
            <w:vAlign w:val="center"/>
          </w:tcPr>
          <w:p w14:paraId="147B17F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性别</w:t>
            </w:r>
          </w:p>
        </w:tc>
        <w:tc>
          <w:tcPr>
            <w:tcW w:w="1585" w:type="dxa"/>
            <w:gridSpan w:val="3"/>
            <w:noWrap w:val="0"/>
            <w:vAlign w:val="center"/>
          </w:tcPr>
          <w:p w14:paraId="37DEEC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376B314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年龄</w:t>
            </w:r>
          </w:p>
        </w:tc>
        <w:tc>
          <w:tcPr>
            <w:tcW w:w="1531" w:type="dxa"/>
            <w:gridSpan w:val="5"/>
            <w:noWrap w:val="0"/>
            <w:vAlign w:val="center"/>
          </w:tcPr>
          <w:p w14:paraId="20D3266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F76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13B1350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岗位</w:t>
            </w:r>
          </w:p>
        </w:tc>
        <w:tc>
          <w:tcPr>
            <w:tcW w:w="2340" w:type="dxa"/>
            <w:gridSpan w:val="5"/>
            <w:noWrap w:val="0"/>
            <w:vAlign w:val="center"/>
          </w:tcPr>
          <w:p w14:paraId="31A3517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项目经理</w:t>
            </w:r>
          </w:p>
        </w:tc>
        <w:tc>
          <w:tcPr>
            <w:tcW w:w="1893" w:type="dxa"/>
            <w:gridSpan w:val="4"/>
            <w:noWrap w:val="0"/>
            <w:vAlign w:val="center"/>
          </w:tcPr>
          <w:p w14:paraId="13E171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职称</w:t>
            </w:r>
          </w:p>
        </w:tc>
        <w:tc>
          <w:tcPr>
            <w:tcW w:w="1585" w:type="dxa"/>
            <w:gridSpan w:val="3"/>
            <w:noWrap w:val="0"/>
            <w:vAlign w:val="center"/>
          </w:tcPr>
          <w:p w14:paraId="027164E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2B1854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学历</w:t>
            </w:r>
          </w:p>
        </w:tc>
        <w:tc>
          <w:tcPr>
            <w:tcW w:w="1531" w:type="dxa"/>
            <w:gridSpan w:val="5"/>
            <w:noWrap w:val="0"/>
            <w:vAlign w:val="center"/>
          </w:tcPr>
          <w:p w14:paraId="34FDEA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49D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0C2EF6E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从业开始时间</w:t>
            </w:r>
          </w:p>
        </w:tc>
        <w:tc>
          <w:tcPr>
            <w:tcW w:w="2340" w:type="dxa"/>
            <w:gridSpan w:val="5"/>
            <w:noWrap w:val="0"/>
            <w:vAlign w:val="center"/>
          </w:tcPr>
          <w:p w14:paraId="3C0404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93" w:type="dxa"/>
            <w:gridSpan w:val="4"/>
            <w:noWrap w:val="0"/>
            <w:vAlign w:val="center"/>
          </w:tcPr>
          <w:p w14:paraId="41F201AD">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职称</w:t>
            </w:r>
            <w:r>
              <w:rPr>
                <w:rFonts w:hint="default" w:ascii="Calibri" w:hAnsi="Calibri" w:eastAsia="宋体" w:cs="宋体"/>
                <w:color w:val="auto"/>
                <w:highlight w:val="none"/>
              </w:rPr>
              <w:t>获</w:t>
            </w:r>
            <w:r>
              <w:rPr>
                <w:rFonts w:hint="eastAsia" w:ascii="Calibri" w:hAnsi="Calibri" w:eastAsia="宋体" w:cs="宋体"/>
                <w:color w:val="auto"/>
                <w:highlight w:val="none"/>
              </w:rPr>
              <w:t>得</w:t>
            </w:r>
            <w:r>
              <w:rPr>
                <w:rFonts w:hint="default" w:ascii="Calibri" w:hAnsi="Calibri" w:eastAsia="宋体" w:cs="宋体"/>
                <w:color w:val="auto"/>
                <w:highlight w:val="none"/>
              </w:rPr>
              <w:t>时间</w:t>
            </w:r>
          </w:p>
        </w:tc>
        <w:tc>
          <w:tcPr>
            <w:tcW w:w="1585" w:type="dxa"/>
            <w:gridSpan w:val="3"/>
            <w:noWrap w:val="0"/>
            <w:vAlign w:val="center"/>
          </w:tcPr>
          <w:p w14:paraId="3A660A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11968A1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毕业时间</w:t>
            </w:r>
          </w:p>
        </w:tc>
        <w:tc>
          <w:tcPr>
            <w:tcW w:w="1531" w:type="dxa"/>
            <w:gridSpan w:val="5"/>
            <w:noWrap w:val="0"/>
            <w:vAlign w:val="center"/>
          </w:tcPr>
          <w:p w14:paraId="794A79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46CD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01CB28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担任项目经理年限</w:t>
            </w:r>
          </w:p>
        </w:tc>
        <w:tc>
          <w:tcPr>
            <w:tcW w:w="1161" w:type="dxa"/>
            <w:gridSpan w:val="2"/>
            <w:noWrap w:val="0"/>
            <w:vAlign w:val="center"/>
          </w:tcPr>
          <w:p w14:paraId="014C98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02" w:type="dxa"/>
            <w:gridSpan w:val="3"/>
            <w:noWrap w:val="0"/>
            <w:vAlign w:val="center"/>
          </w:tcPr>
          <w:p w14:paraId="7E8634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身份</w:t>
            </w:r>
            <w:r>
              <w:rPr>
                <w:rFonts w:hint="default" w:ascii="Calibri" w:hAnsi="Calibri" w:eastAsia="宋体" w:cs="Times New Roman"/>
                <w:color w:val="auto"/>
                <w:highlight w:val="none"/>
              </w:rPr>
              <w:t>证号码</w:t>
            </w:r>
          </w:p>
        </w:tc>
        <w:tc>
          <w:tcPr>
            <w:tcW w:w="1209" w:type="dxa"/>
            <w:gridSpan w:val="2"/>
            <w:noWrap w:val="0"/>
            <w:vAlign w:val="center"/>
          </w:tcPr>
          <w:p w14:paraId="380A43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610" w:type="dxa"/>
            <w:gridSpan w:val="8"/>
            <w:noWrap w:val="0"/>
            <w:vAlign w:val="center"/>
          </w:tcPr>
          <w:p w14:paraId="4DFAA9C1">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社保所附证明材料索引号</w:t>
            </w:r>
          </w:p>
        </w:tc>
        <w:tc>
          <w:tcPr>
            <w:tcW w:w="998" w:type="dxa"/>
            <w:gridSpan w:val="2"/>
            <w:noWrap w:val="0"/>
            <w:vAlign w:val="center"/>
          </w:tcPr>
          <w:p w14:paraId="07487E1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BAC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CA546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证书名称</w:t>
            </w:r>
          </w:p>
        </w:tc>
        <w:tc>
          <w:tcPr>
            <w:tcW w:w="1161" w:type="dxa"/>
            <w:gridSpan w:val="2"/>
            <w:noWrap w:val="0"/>
            <w:vAlign w:val="center"/>
          </w:tcPr>
          <w:p w14:paraId="1C6C03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注册专业</w:t>
            </w:r>
          </w:p>
        </w:tc>
        <w:tc>
          <w:tcPr>
            <w:tcW w:w="1102" w:type="dxa"/>
            <w:gridSpan w:val="2"/>
            <w:noWrap w:val="0"/>
            <w:vAlign w:val="center"/>
          </w:tcPr>
          <w:p w14:paraId="148824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级别</w:t>
            </w:r>
          </w:p>
        </w:tc>
        <w:tc>
          <w:tcPr>
            <w:tcW w:w="1289" w:type="dxa"/>
            <w:gridSpan w:val="2"/>
            <w:noWrap w:val="0"/>
            <w:vAlign w:val="center"/>
          </w:tcPr>
          <w:p w14:paraId="10C4DA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证书编号</w:t>
            </w:r>
          </w:p>
        </w:tc>
        <w:tc>
          <w:tcPr>
            <w:tcW w:w="1071" w:type="dxa"/>
            <w:gridSpan w:val="3"/>
            <w:noWrap w:val="0"/>
            <w:vAlign w:val="center"/>
          </w:tcPr>
          <w:p w14:paraId="0913E6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注册时间</w:t>
            </w:r>
          </w:p>
        </w:tc>
        <w:tc>
          <w:tcPr>
            <w:tcW w:w="1118" w:type="dxa"/>
            <w:gridSpan w:val="2"/>
            <w:noWrap w:val="0"/>
            <w:vAlign w:val="center"/>
          </w:tcPr>
          <w:p w14:paraId="48DB0C74">
            <w:pPr>
              <w:keepNext w:val="0"/>
              <w:keepLines w:val="0"/>
              <w:suppressLineNumbers w:val="0"/>
              <w:spacing w:before="0" w:beforeAutospacing="0" w:after="0" w:afterAutospacing="0"/>
              <w:ind w:left="0" w:right="0"/>
              <w:jc w:val="center"/>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highlight w:val="none"/>
              </w:rPr>
              <w:t>注册单位</w:t>
            </w:r>
          </w:p>
        </w:tc>
        <w:tc>
          <w:tcPr>
            <w:tcW w:w="1328" w:type="dxa"/>
            <w:gridSpan w:val="3"/>
            <w:noWrap w:val="0"/>
            <w:vAlign w:val="center"/>
          </w:tcPr>
          <w:p w14:paraId="4D07F80D">
            <w:pPr>
              <w:keepNext w:val="0"/>
              <w:keepLines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highlight w:val="none"/>
              </w:rPr>
              <w:t>注册有效期</w:t>
            </w:r>
          </w:p>
        </w:tc>
        <w:tc>
          <w:tcPr>
            <w:tcW w:w="1311" w:type="dxa"/>
            <w:gridSpan w:val="3"/>
            <w:noWrap w:val="0"/>
            <w:vAlign w:val="center"/>
          </w:tcPr>
          <w:p w14:paraId="37E4C23B">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lang w:eastAsia="zh-CN"/>
              </w:rPr>
              <w:t>使用限期</w:t>
            </w:r>
          </w:p>
        </w:tc>
      </w:tr>
      <w:tr w14:paraId="21F8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49892C8F">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161" w:type="dxa"/>
            <w:gridSpan w:val="2"/>
            <w:noWrap w:val="0"/>
            <w:vAlign w:val="center"/>
          </w:tcPr>
          <w:p w14:paraId="3C70F188">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102" w:type="dxa"/>
            <w:gridSpan w:val="2"/>
            <w:noWrap w:val="0"/>
            <w:vAlign w:val="center"/>
          </w:tcPr>
          <w:p w14:paraId="57A70B7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p>
        </w:tc>
        <w:tc>
          <w:tcPr>
            <w:tcW w:w="1289" w:type="dxa"/>
            <w:gridSpan w:val="2"/>
            <w:noWrap w:val="0"/>
            <w:vAlign w:val="center"/>
          </w:tcPr>
          <w:p w14:paraId="6F058BD8">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071" w:type="dxa"/>
            <w:gridSpan w:val="3"/>
            <w:noWrap w:val="0"/>
            <w:vAlign w:val="center"/>
          </w:tcPr>
          <w:p w14:paraId="48BA7670">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118" w:type="dxa"/>
            <w:gridSpan w:val="2"/>
            <w:noWrap w:val="0"/>
            <w:vAlign w:val="center"/>
          </w:tcPr>
          <w:p w14:paraId="0738BAFC">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328" w:type="dxa"/>
            <w:gridSpan w:val="3"/>
            <w:noWrap w:val="0"/>
            <w:vAlign w:val="center"/>
          </w:tcPr>
          <w:p w14:paraId="65AD10DE">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311" w:type="dxa"/>
            <w:gridSpan w:val="3"/>
            <w:noWrap w:val="0"/>
            <w:vAlign w:val="center"/>
          </w:tcPr>
          <w:p w14:paraId="0551F01B">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r>
      <w:tr w14:paraId="57A5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29E19AEE">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安全生产考核合格证书</w:t>
            </w:r>
          </w:p>
        </w:tc>
        <w:tc>
          <w:tcPr>
            <w:tcW w:w="1161" w:type="dxa"/>
            <w:gridSpan w:val="2"/>
            <w:noWrap w:val="0"/>
            <w:vAlign w:val="center"/>
          </w:tcPr>
          <w:p w14:paraId="54E97403">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102" w:type="dxa"/>
            <w:gridSpan w:val="2"/>
            <w:noWrap w:val="0"/>
            <w:vAlign w:val="center"/>
          </w:tcPr>
          <w:p w14:paraId="3CE5DD1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Times New Roman"/>
                <w:color w:val="auto"/>
                <w:highlight w:val="none"/>
              </w:rPr>
              <w:t>B类</w:t>
            </w:r>
          </w:p>
        </w:tc>
        <w:tc>
          <w:tcPr>
            <w:tcW w:w="1289" w:type="dxa"/>
            <w:gridSpan w:val="2"/>
            <w:noWrap w:val="0"/>
            <w:vAlign w:val="center"/>
          </w:tcPr>
          <w:p w14:paraId="68ABAD10">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071" w:type="dxa"/>
            <w:gridSpan w:val="3"/>
            <w:noWrap w:val="0"/>
            <w:vAlign w:val="center"/>
          </w:tcPr>
          <w:p w14:paraId="7FF3769A">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118" w:type="dxa"/>
            <w:gridSpan w:val="2"/>
            <w:noWrap w:val="0"/>
            <w:vAlign w:val="center"/>
          </w:tcPr>
          <w:p w14:paraId="2C9B0FEA">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328" w:type="dxa"/>
            <w:gridSpan w:val="3"/>
            <w:noWrap w:val="0"/>
            <w:vAlign w:val="center"/>
          </w:tcPr>
          <w:p w14:paraId="61DECA48">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311" w:type="dxa"/>
            <w:gridSpan w:val="3"/>
            <w:noWrap w:val="0"/>
            <w:vAlign w:val="center"/>
          </w:tcPr>
          <w:p w14:paraId="13CCD5C6">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r>
      <w:tr w14:paraId="78F5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9"/>
            <w:noWrap w:val="0"/>
            <w:vAlign w:val="center"/>
          </w:tcPr>
          <w:p w14:paraId="7E3D3B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在建和已完工程项目情况</w:t>
            </w:r>
          </w:p>
        </w:tc>
      </w:tr>
      <w:tr w14:paraId="6D871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2AEF1F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gridSpan w:val="2"/>
            <w:noWrap w:val="0"/>
            <w:vAlign w:val="center"/>
          </w:tcPr>
          <w:p w14:paraId="36E91C81">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gridSpan w:val="4"/>
            <w:noWrap w:val="0"/>
            <w:vAlign w:val="center"/>
          </w:tcPr>
          <w:p w14:paraId="4C1DC1A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gridSpan w:val="3"/>
            <w:noWrap w:val="0"/>
            <w:vAlign w:val="center"/>
          </w:tcPr>
          <w:p w14:paraId="270A88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gridSpan w:val="3"/>
            <w:noWrap w:val="0"/>
            <w:vAlign w:val="center"/>
          </w:tcPr>
          <w:p w14:paraId="0E1EC8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gridSpan w:val="3"/>
            <w:noWrap w:val="0"/>
            <w:vAlign w:val="center"/>
          </w:tcPr>
          <w:p w14:paraId="191EAFE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1B5C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315F83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gridSpan w:val="2"/>
            <w:noWrap w:val="0"/>
            <w:vAlign w:val="center"/>
          </w:tcPr>
          <w:p w14:paraId="4DDED0D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07FC254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3D8576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44BD226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9BEC6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AED0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6E8AB1DF">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gridSpan w:val="2"/>
            <w:noWrap w:val="0"/>
            <w:vAlign w:val="center"/>
          </w:tcPr>
          <w:p w14:paraId="4A015AD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3BACE9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A21F1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153B4F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CD07B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877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CE7F7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gridSpan w:val="2"/>
            <w:noWrap w:val="0"/>
            <w:vAlign w:val="center"/>
          </w:tcPr>
          <w:p w14:paraId="3392C0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D793ED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3794E8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2F2D9A4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2CEFF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F11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D5FCC1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gridSpan w:val="2"/>
            <w:noWrap w:val="0"/>
            <w:vAlign w:val="center"/>
          </w:tcPr>
          <w:p w14:paraId="5FAAE2E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0CAFB0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6C459D8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2BED487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DFE889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AE9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01DBA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gridSpan w:val="2"/>
            <w:noWrap w:val="0"/>
            <w:vAlign w:val="center"/>
          </w:tcPr>
          <w:p w14:paraId="003754F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0E86F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508F5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3ECA2B5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DFBA4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D2E4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71C52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gridSpan w:val="2"/>
            <w:noWrap w:val="0"/>
            <w:vAlign w:val="center"/>
          </w:tcPr>
          <w:p w14:paraId="05D1FE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ACFD3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347F622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2851135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8D7CF0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440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10275A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gridSpan w:val="2"/>
            <w:noWrap w:val="0"/>
            <w:vAlign w:val="center"/>
          </w:tcPr>
          <w:p w14:paraId="219B26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0A7555E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C6E163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58705AD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1153BC6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707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FBC237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gridSpan w:val="2"/>
            <w:noWrap w:val="0"/>
            <w:vAlign w:val="center"/>
          </w:tcPr>
          <w:p w14:paraId="4A7C36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E7087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2267E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1F2B9B3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20DB79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13BF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26B468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gridSpan w:val="2"/>
            <w:noWrap w:val="0"/>
            <w:vAlign w:val="center"/>
          </w:tcPr>
          <w:p w14:paraId="2A7845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0D91DC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729076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2AD7A6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9962D4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08F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8AE3B6C">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gridSpan w:val="2"/>
            <w:noWrap w:val="0"/>
            <w:vAlign w:val="center"/>
          </w:tcPr>
          <w:p w14:paraId="0D4A04E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744F2A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5AD1BE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50811A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13E484E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35F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91DCB0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gridSpan w:val="2"/>
            <w:noWrap w:val="0"/>
            <w:vAlign w:val="center"/>
          </w:tcPr>
          <w:p w14:paraId="3FE50FF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2CD368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942E5C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76398B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E27B5B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B01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F74046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gridSpan w:val="2"/>
            <w:noWrap w:val="0"/>
            <w:vAlign w:val="center"/>
          </w:tcPr>
          <w:p w14:paraId="3090F5E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329B31E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62FF8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25BA69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1ACCB27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75C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6057DC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gridSpan w:val="2"/>
            <w:noWrap w:val="0"/>
            <w:vAlign w:val="center"/>
          </w:tcPr>
          <w:p w14:paraId="34929B4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4B743E4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1F494B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24931E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EC3E9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860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165C43D">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gridSpan w:val="2"/>
            <w:noWrap w:val="0"/>
            <w:vAlign w:val="center"/>
          </w:tcPr>
          <w:p w14:paraId="47F9ACE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D1BE81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D9A2A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449EFC4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1F4BEC4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F26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2176A92">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gridSpan w:val="2"/>
            <w:noWrap w:val="0"/>
            <w:vAlign w:val="center"/>
          </w:tcPr>
          <w:p w14:paraId="0ECEA6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51349B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27C9FE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288ABF3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DA1DB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C68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356A4F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gridSpan w:val="2"/>
            <w:noWrap w:val="0"/>
            <w:vAlign w:val="center"/>
          </w:tcPr>
          <w:p w14:paraId="46004F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033A298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08B3E7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427698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5C0B69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F3B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BF6478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gridSpan w:val="2"/>
            <w:noWrap w:val="0"/>
            <w:vAlign w:val="center"/>
          </w:tcPr>
          <w:p w14:paraId="41BC15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23ACF7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1E644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430AEC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F61D30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DBF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AF31E7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gridSpan w:val="2"/>
            <w:noWrap w:val="0"/>
            <w:vAlign w:val="center"/>
          </w:tcPr>
          <w:p w14:paraId="074EB8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368FD90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36233F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47B00B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401CC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479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5AB3FE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人员角色</w:t>
            </w:r>
          </w:p>
        </w:tc>
        <w:tc>
          <w:tcPr>
            <w:tcW w:w="1548" w:type="dxa"/>
            <w:gridSpan w:val="2"/>
            <w:noWrap w:val="0"/>
            <w:vAlign w:val="center"/>
          </w:tcPr>
          <w:p w14:paraId="4D6597D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2EAB6D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C0102F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5DC9BC7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18BE59F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603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A5A24D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在建或已完</w:t>
            </w:r>
          </w:p>
        </w:tc>
        <w:tc>
          <w:tcPr>
            <w:tcW w:w="1548" w:type="dxa"/>
            <w:gridSpan w:val="2"/>
            <w:noWrap w:val="0"/>
            <w:vAlign w:val="center"/>
          </w:tcPr>
          <w:p w14:paraId="5ABA84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1E09CD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95596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4FAE9E3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DE65A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A56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2B8BE9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gridSpan w:val="2"/>
            <w:noWrap w:val="0"/>
            <w:vAlign w:val="center"/>
          </w:tcPr>
          <w:p w14:paraId="79CFCF2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7F8F74D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246D43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3"/>
            <w:noWrap w:val="0"/>
            <w:vAlign w:val="center"/>
          </w:tcPr>
          <w:p w14:paraId="0278658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1EA56F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10CA0184">
      <w:pPr>
        <w:spacing w:line="360" w:lineRule="auto"/>
        <w:rPr>
          <w:color w:val="auto"/>
          <w:highlight w:val="none"/>
        </w:rPr>
      </w:pPr>
    </w:p>
    <w:p w14:paraId="4E7847F6">
      <w:pPr>
        <w:spacing w:line="360" w:lineRule="auto"/>
        <w:rPr>
          <w:rFonts w:eastAsia="楷体_GB2312"/>
          <w:color w:val="auto"/>
          <w:highlight w:val="none"/>
        </w:rPr>
      </w:pPr>
      <w:r>
        <w:rPr>
          <w:rFonts w:hint="eastAsia" w:eastAsia="楷体_GB2312" w:cs="楷体_GB2312"/>
          <w:color w:val="auto"/>
          <w:highlight w:val="none"/>
        </w:rPr>
        <w:t>备注：</w:t>
      </w:r>
    </w:p>
    <w:p w14:paraId="3CA71E54">
      <w:pPr>
        <w:spacing w:line="360" w:lineRule="auto"/>
        <w:ind w:firstLine="420" w:firstLineChars="200"/>
        <w:rPr>
          <w:rFonts w:eastAsia="楷体_GB2312"/>
          <w:color w:val="auto"/>
          <w:highlight w:val="none"/>
        </w:rPr>
      </w:pPr>
      <w:r>
        <w:rPr>
          <w:rFonts w:hint="eastAsia" w:eastAsia="楷体_GB2312"/>
          <w:color w:val="auto"/>
          <w:highlight w:val="none"/>
          <w:lang w:eastAsia="zh-CN"/>
        </w:rPr>
        <w:t>1.</w:t>
      </w:r>
      <w:r>
        <w:rPr>
          <w:rFonts w:hint="default" w:eastAsia="楷体_GB2312"/>
          <w:color w:val="auto"/>
          <w:highlight w:val="none"/>
        </w:rPr>
        <w:t>人员注册证书信息、安全生产考核合格证书、个人业绩的信息均需从</w:t>
      </w:r>
      <w:r>
        <w:rPr>
          <w:rFonts w:hint="eastAsia" w:eastAsia="楷体_GB2312"/>
          <w:color w:val="auto"/>
          <w:highlight w:val="none"/>
          <w:lang w:eastAsia="zh-CN"/>
        </w:rPr>
        <w:t>“</w:t>
      </w:r>
      <w:r>
        <w:rPr>
          <w:rFonts w:hint="default" w:eastAsia="楷体_GB2312"/>
          <w:color w:val="auto"/>
          <w:highlight w:val="none"/>
        </w:rPr>
        <w:t>桂建云</w:t>
      </w:r>
      <w:r>
        <w:rPr>
          <w:rFonts w:hint="eastAsia" w:eastAsia="楷体_GB2312"/>
          <w:color w:val="auto"/>
          <w:highlight w:val="none"/>
          <w:lang w:eastAsia="zh-CN"/>
        </w:rPr>
        <w:t>”</w:t>
      </w:r>
      <w:r>
        <w:rPr>
          <w:rFonts w:hint="default" w:eastAsia="楷体_GB2312"/>
          <w:color w:val="auto"/>
          <w:highlight w:val="none"/>
        </w:rPr>
        <w:t>读取，投标人不可修改，业绩不需要提供扫描件</w:t>
      </w:r>
      <w:r>
        <w:rPr>
          <w:rFonts w:hint="eastAsia" w:eastAsia="楷体_GB2312"/>
          <w:color w:val="auto"/>
          <w:highlight w:val="none"/>
          <w:lang w:eastAsia="zh-CN"/>
        </w:rPr>
        <w:t>，</w:t>
      </w:r>
      <w:r>
        <w:rPr>
          <w:rFonts w:hint="default" w:eastAsia="楷体_GB2312"/>
          <w:color w:val="auto"/>
          <w:highlight w:val="none"/>
        </w:rPr>
        <w:t>职称证</w:t>
      </w:r>
      <w:r>
        <w:rPr>
          <w:rFonts w:hint="eastAsia" w:eastAsia="楷体_GB2312"/>
          <w:color w:val="auto"/>
          <w:highlight w:val="none"/>
          <w:lang w:eastAsia="zh-CN"/>
        </w:rPr>
        <w:t>、</w:t>
      </w:r>
      <w:r>
        <w:rPr>
          <w:rFonts w:hint="eastAsia" w:eastAsia="楷体_GB2312"/>
          <w:color w:val="auto"/>
          <w:highlight w:val="none"/>
          <w:lang w:val="en-US" w:eastAsia="zh-CN"/>
        </w:rPr>
        <w:t>社保证明</w:t>
      </w:r>
      <w:r>
        <w:rPr>
          <w:rFonts w:hint="default" w:eastAsia="楷体_GB2312"/>
          <w:color w:val="auto"/>
          <w:highlight w:val="none"/>
        </w:rPr>
        <w:t>需提供扫描件</w:t>
      </w:r>
      <w:r>
        <w:rPr>
          <w:rFonts w:hint="eastAsia" w:eastAsia="楷体_GB2312"/>
          <w:color w:val="auto"/>
          <w:highlight w:val="none"/>
          <w:lang w:eastAsia="zh-CN"/>
        </w:rPr>
        <w:t>。</w:t>
      </w:r>
      <w:r>
        <w:rPr>
          <w:rFonts w:hint="default" w:eastAsia="楷体_GB2312"/>
          <w:color w:val="auto"/>
          <w:highlight w:val="none"/>
        </w:rPr>
        <w:t>投标人以上信息未通过</w:t>
      </w:r>
      <w:r>
        <w:rPr>
          <w:rFonts w:hint="eastAsia" w:eastAsia="楷体_GB2312"/>
          <w:color w:val="auto"/>
          <w:highlight w:val="none"/>
          <w:lang w:eastAsia="zh-CN"/>
        </w:rPr>
        <w:t>“</w:t>
      </w:r>
      <w:r>
        <w:rPr>
          <w:rFonts w:hint="default" w:eastAsia="楷体_GB2312"/>
          <w:color w:val="auto"/>
          <w:highlight w:val="none"/>
        </w:rPr>
        <w:t>桂建云</w:t>
      </w:r>
      <w:r>
        <w:rPr>
          <w:rFonts w:hint="eastAsia" w:eastAsia="楷体_GB2312"/>
          <w:color w:val="auto"/>
          <w:highlight w:val="none"/>
          <w:lang w:eastAsia="zh-CN"/>
        </w:rPr>
        <w:t>”</w:t>
      </w:r>
      <w:r>
        <w:rPr>
          <w:rFonts w:hint="default" w:eastAsia="楷体_GB2312"/>
          <w:color w:val="auto"/>
          <w:highlight w:val="none"/>
        </w:rPr>
        <w:t>读取的，在评审时不予承认。</w:t>
      </w:r>
    </w:p>
    <w:p w14:paraId="353266D5">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2.</w:t>
      </w:r>
      <w:r>
        <w:rPr>
          <w:rFonts w:hint="eastAsia" w:eastAsia="楷体_GB2312"/>
          <w:color w:val="auto"/>
          <w:highlight w:val="none"/>
        </w:rPr>
        <w:t>项目</w:t>
      </w:r>
      <w:r>
        <w:rPr>
          <w:rFonts w:eastAsia="楷体_GB2312"/>
          <w:color w:val="auto"/>
          <w:highlight w:val="none"/>
        </w:rPr>
        <w:t>数</w:t>
      </w:r>
      <w:r>
        <w:rPr>
          <w:rFonts w:hint="eastAsia" w:eastAsia="楷体_GB2312"/>
          <w:color w:val="auto"/>
          <w:highlight w:val="none"/>
        </w:rPr>
        <w:t>可</w:t>
      </w:r>
      <w:r>
        <w:rPr>
          <w:rFonts w:eastAsia="楷体_GB2312"/>
          <w:color w:val="auto"/>
          <w:highlight w:val="none"/>
        </w:rPr>
        <w:t>以根据需要增加</w:t>
      </w:r>
      <w:r>
        <w:rPr>
          <w:rFonts w:hint="eastAsia" w:eastAsia="楷体_GB2312"/>
          <w:color w:val="auto"/>
          <w:highlight w:val="none"/>
        </w:rPr>
        <w:t>。</w:t>
      </w:r>
    </w:p>
    <w:p w14:paraId="344D287D">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3BECD980">
      <w:pPr>
        <w:spacing w:line="360" w:lineRule="auto"/>
        <w:ind w:firstLine="525" w:firstLineChars="250"/>
        <w:rPr>
          <w:color w:val="auto"/>
          <w:highlight w:val="none"/>
        </w:rPr>
      </w:pPr>
    </w:p>
    <w:p w14:paraId="37E941D9">
      <w:pPr>
        <w:spacing w:line="360" w:lineRule="auto"/>
        <w:ind w:firstLine="525" w:firstLineChars="250"/>
        <w:rPr>
          <w:color w:val="auto"/>
          <w:highlight w:val="none"/>
        </w:rPr>
        <w:sectPr>
          <w:pgSz w:w="11907" w:h="16840"/>
          <w:pgMar w:top="1440" w:right="1440" w:bottom="1440" w:left="1797" w:header="851" w:footer="851" w:gutter="0"/>
          <w:cols w:space="720" w:num="1"/>
          <w:docGrid w:linePitch="312" w:charSpace="0"/>
        </w:sectPr>
      </w:pPr>
    </w:p>
    <w:p w14:paraId="2552ADC4">
      <w:pPr>
        <w:pStyle w:val="136"/>
        <w:spacing w:line="360" w:lineRule="auto"/>
        <w:jc w:val="left"/>
        <w:outlineLvl w:val="0"/>
        <w:rPr>
          <w:rFonts w:cs="宋体"/>
          <w:b/>
          <w:bCs/>
          <w:color w:val="auto"/>
          <w:sz w:val="28"/>
          <w:szCs w:val="28"/>
          <w:highlight w:val="none"/>
        </w:rPr>
      </w:pPr>
      <w:r>
        <w:rPr>
          <w:rFonts w:hint="eastAsia" w:cs="宋体"/>
          <w:b/>
          <w:bCs/>
          <w:color w:val="auto"/>
          <w:sz w:val="28"/>
          <w:szCs w:val="28"/>
          <w:highlight w:val="none"/>
          <w:lang w:val="en-US" w:eastAsia="zh-CN"/>
        </w:rPr>
        <w:t>7.</w:t>
      </w:r>
      <w:r>
        <w:rPr>
          <w:rFonts w:hint="eastAsia" w:cs="宋体"/>
          <w:b/>
          <w:bCs/>
          <w:color w:val="auto"/>
          <w:sz w:val="28"/>
          <w:szCs w:val="28"/>
          <w:highlight w:val="none"/>
        </w:rPr>
        <w:t>项目技术负责</w:t>
      </w:r>
      <w:r>
        <w:rPr>
          <w:rFonts w:cs="宋体"/>
          <w:b/>
          <w:bCs/>
          <w:color w:val="auto"/>
          <w:sz w:val="28"/>
          <w:szCs w:val="28"/>
          <w:highlight w:val="none"/>
        </w:rPr>
        <w:t>人</w:t>
      </w:r>
      <w:r>
        <w:rPr>
          <w:rFonts w:hint="eastAsia" w:cs="宋体"/>
          <w:b/>
          <w:bCs/>
          <w:color w:val="auto"/>
          <w:sz w:val="28"/>
          <w:szCs w:val="28"/>
          <w:highlight w:val="none"/>
        </w:rPr>
        <w:t>简历表</w:t>
      </w:r>
    </w:p>
    <w:p w14:paraId="52009A67">
      <w:pPr>
        <w:spacing w:before="120" w:beforeLines="50"/>
        <w:ind w:firstLine="643" w:firstLineChars="200"/>
        <w:jc w:val="center"/>
        <w:rPr>
          <w:rFonts w:cs="宋体"/>
          <w:b/>
          <w:color w:val="auto"/>
          <w:sz w:val="32"/>
          <w:szCs w:val="32"/>
          <w:highlight w:val="none"/>
        </w:rPr>
      </w:pPr>
      <w:r>
        <w:rPr>
          <w:rFonts w:hint="eastAsia" w:cs="宋体"/>
          <w:b/>
          <w:color w:val="auto"/>
          <w:sz w:val="32"/>
          <w:szCs w:val="32"/>
          <w:highlight w:val="none"/>
        </w:rPr>
        <w:t>项目技术负责人简历表</w:t>
      </w:r>
    </w:p>
    <w:p w14:paraId="7E9CC7C2">
      <w:pPr>
        <w:pStyle w:val="136"/>
        <w:rPr>
          <w:color w:val="auto"/>
          <w:highlight w:val="none"/>
          <w:u w:val="single"/>
        </w:rPr>
      </w:pPr>
    </w:p>
    <w:p w14:paraId="1B15B3D1">
      <w:pPr>
        <w:pStyle w:val="136"/>
        <w:rPr>
          <w:color w:val="auto"/>
          <w:highlight w:val="none"/>
        </w:rPr>
      </w:pPr>
      <w:r>
        <w:rPr>
          <w:color w:val="auto"/>
          <w:highlight w:val="none"/>
          <w:u w:val="single"/>
        </w:rPr>
        <w:t xml:space="preserve">            </w:t>
      </w:r>
      <w:r>
        <w:rPr>
          <w:rFonts w:hint="eastAsia" w:cs="宋体"/>
          <w:color w:val="auto"/>
          <w:highlight w:val="none"/>
          <w:u w:val="single"/>
          <w:lang w:eastAsia="zh-CN"/>
        </w:rPr>
        <w:t>广西警察学院长湖校区3号学员公寓楼改造工程（重）</w:t>
      </w:r>
      <w:r>
        <w:rPr>
          <w:color w:val="auto"/>
          <w:highlight w:val="none"/>
          <w:u w:val="single"/>
        </w:rPr>
        <w:t xml:space="preserve">        </w:t>
      </w:r>
      <w:r>
        <w:rPr>
          <w:color w:val="auto"/>
          <w:highlight w:val="none"/>
        </w:rPr>
        <w:t xml:space="preserve"> </w:t>
      </w:r>
      <w:r>
        <w:rPr>
          <w:rFonts w:hint="eastAsia" w:cs="宋体"/>
          <w:color w:val="auto"/>
          <w:highlight w:val="none"/>
        </w:rPr>
        <w:t>工程</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774"/>
        <w:gridCol w:w="774"/>
        <w:gridCol w:w="217"/>
        <w:gridCol w:w="111"/>
        <w:gridCol w:w="300"/>
        <w:gridCol w:w="739"/>
        <w:gridCol w:w="854"/>
        <w:gridCol w:w="230"/>
        <w:gridCol w:w="858"/>
        <w:gridCol w:w="142"/>
        <w:gridCol w:w="1463"/>
        <w:gridCol w:w="533"/>
        <w:gridCol w:w="987"/>
        <w:gridCol w:w="11"/>
      </w:tblGrid>
      <w:tr w14:paraId="0C82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397" w:hRule="atLeast"/>
          <w:jc w:val="center"/>
        </w:trPr>
        <w:tc>
          <w:tcPr>
            <w:tcW w:w="1154" w:type="dxa"/>
            <w:noWrap w:val="0"/>
            <w:vAlign w:val="center"/>
          </w:tcPr>
          <w:p w14:paraId="7BC418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姓名</w:t>
            </w:r>
          </w:p>
        </w:tc>
        <w:tc>
          <w:tcPr>
            <w:tcW w:w="2340" w:type="dxa"/>
            <w:gridSpan w:val="6"/>
            <w:noWrap w:val="0"/>
            <w:vAlign w:val="center"/>
          </w:tcPr>
          <w:p w14:paraId="544E12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893" w:type="dxa"/>
            <w:gridSpan w:val="3"/>
            <w:noWrap w:val="0"/>
            <w:vAlign w:val="center"/>
          </w:tcPr>
          <w:p w14:paraId="5FEE76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性别</w:t>
            </w:r>
          </w:p>
        </w:tc>
        <w:tc>
          <w:tcPr>
            <w:tcW w:w="1230" w:type="dxa"/>
            <w:gridSpan w:val="3"/>
            <w:noWrap w:val="0"/>
            <w:vAlign w:val="center"/>
          </w:tcPr>
          <w:p w14:paraId="650161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463" w:type="dxa"/>
            <w:noWrap w:val="0"/>
            <w:vAlign w:val="center"/>
          </w:tcPr>
          <w:p w14:paraId="3995F6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年龄</w:t>
            </w:r>
          </w:p>
        </w:tc>
        <w:tc>
          <w:tcPr>
            <w:tcW w:w="1531" w:type="dxa"/>
            <w:gridSpan w:val="3"/>
            <w:noWrap w:val="0"/>
            <w:vAlign w:val="center"/>
          </w:tcPr>
          <w:p w14:paraId="2B5F32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0CB7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397" w:hRule="atLeast"/>
          <w:jc w:val="center"/>
        </w:trPr>
        <w:tc>
          <w:tcPr>
            <w:tcW w:w="1154" w:type="dxa"/>
            <w:noWrap w:val="0"/>
            <w:vAlign w:val="center"/>
          </w:tcPr>
          <w:p w14:paraId="79FF3C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岗位</w:t>
            </w:r>
          </w:p>
        </w:tc>
        <w:tc>
          <w:tcPr>
            <w:tcW w:w="2340" w:type="dxa"/>
            <w:gridSpan w:val="6"/>
            <w:noWrap w:val="0"/>
            <w:vAlign w:val="center"/>
          </w:tcPr>
          <w:p w14:paraId="687688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项目技术负责人</w:t>
            </w:r>
          </w:p>
        </w:tc>
        <w:tc>
          <w:tcPr>
            <w:tcW w:w="1893" w:type="dxa"/>
            <w:gridSpan w:val="3"/>
            <w:noWrap w:val="0"/>
            <w:vAlign w:val="center"/>
          </w:tcPr>
          <w:p w14:paraId="0E2E00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职称</w:t>
            </w:r>
          </w:p>
        </w:tc>
        <w:tc>
          <w:tcPr>
            <w:tcW w:w="1230" w:type="dxa"/>
            <w:gridSpan w:val="3"/>
            <w:noWrap w:val="0"/>
            <w:vAlign w:val="center"/>
          </w:tcPr>
          <w:p w14:paraId="47937D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463" w:type="dxa"/>
            <w:noWrap w:val="0"/>
            <w:vAlign w:val="center"/>
          </w:tcPr>
          <w:p w14:paraId="15CCDB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学历</w:t>
            </w:r>
          </w:p>
        </w:tc>
        <w:tc>
          <w:tcPr>
            <w:tcW w:w="1531" w:type="dxa"/>
            <w:gridSpan w:val="3"/>
            <w:noWrap w:val="0"/>
            <w:vAlign w:val="center"/>
          </w:tcPr>
          <w:p w14:paraId="3D9637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3B2E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397" w:hRule="atLeast"/>
          <w:jc w:val="center"/>
        </w:trPr>
        <w:tc>
          <w:tcPr>
            <w:tcW w:w="1154" w:type="dxa"/>
            <w:noWrap w:val="0"/>
            <w:vAlign w:val="center"/>
          </w:tcPr>
          <w:p w14:paraId="0050EF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从业开始时间</w:t>
            </w:r>
          </w:p>
        </w:tc>
        <w:tc>
          <w:tcPr>
            <w:tcW w:w="2340" w:type="dxa"/>
            <w:gridSpan w:val="6"/>
            <w:noWrap w:val="0"/>
            <w:vAlign w:val="center"/>
          </w:tcPr>
          <w:p w14:paraId="2ABABF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893" w:type="dxa"/>
            <w:gridSpan w:val="3"/>
            <w:noWrap w:val="0"/>
            <w:vAlign w:val="center"/>
          </w:tcPr>
          <w:p w14:paraId="76DFAE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职称</w:t>
            </w:r>
            <w:r>
              <w:rPr>
                <w:rFonts w:hint="default" w:ascii="Calibri" w:hAnsi="Calibri" w:eastAsia="宋体" w:cs="宋体"/>
                <w:color w:val="auto"/>
                <w:highlight w:val="none"/>
              </w:rPr>
              <w:t>获</w:t>
            </w:r>
            <w:r>
              <w:rPr>
                <w:rFonts w:hint="eastAsia" w:ascii="Calibri" w:hAnsi="Calibri" w:eastAsia="宋体" w:cs="宋体"/>
                <w:color w:val="auto"/>
                <w:highlight w:val="none"/>
              </w:rPr>
              <w:t>得</w:t>
            </w:r>
            <w:r>
              <w:rPr>
                <w:rFonts w:hint="default" w:ascii="Calibri" w:hAnsi="Calibri" w:eastAsia="宋体" w:cs="宋体"/>
                <w:color w:val="auto"/>
                <w:highlight w:val="none"/>
              </w:rPr>
              <w:t>时间</w:t>
            </w:r>
          </w:p>
        </w:tc>
        <w:tc>
          <w:tcPr>
            <w:tcW w:w="1230" w:type="dxa"/>
            <w:gridSpan w:val="3"/>
            <w:noWrap w:val="0"/>
            <w:vAlign w:val="center"/>
          </w:tcPr>
          <w:p w14:paraId="427952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463" w:type="dxa"/>
            <w:noWrap w:val="0"/>
            <w:vAlign w:val="center"/>
          </w:tcPr>
          <w:p w14:paraId="5F4FFC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毕业时间</w:t>
            </w:r>
          </w:p>
        </w:tc>
        <w:tc>
          <w:tcPr>
            <w:tcW w:w="1531" w:type="dxa"/>
            <w:gridSpan w:val="3"/>
            <w:noWrap w:val="0"/>
            <w:vAlign w:val="center"/>
          </w:tcPr>
          <w:p w14:paraId="3FA4D9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3D0C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397" w:hRule="atLeast"/>
          <w:jc w:val="center"/>
        </w:trPr>
        <w:tc>
          <w:tcPr>
            <w:tcW w:w="1318" w:type="dxa"/>
            <w:gridSpan w:val="2"/>
            <w:noWrap w:val="0"/>
            <w:vAlign w:val="center"/>
          </w:tcPr>
          <w:p w14:paraId="151FD4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担任</w:t>
            </w:r>
            <w:r>
              <w:rPr>
                <w:rFonts w:hint="eastAsia" w:ascii="Calibri" w:hAnsi="Calibri" w:eastAsia="宋体" w:cs="Times New Roman"/>
                <w:color w:val="auto"/>
                <w:highlight w:val="none"/>
              </w:rPr>
              <w:t>……</w:t>
            </w:r>
            <w:r>
              <w:rPr>
                <w:rFonts w:hint="eastAsia" w:ascii="Calibri" w:hAnsi="Calibri" w:eastAsia="宋体" w:cs="宋体"/>
                <w:color w:val="auto"/>
                <w:highlight w:val="none"/>
              </w:rPr>
              <w:t>年限</w:t>
            </w:r>
          </w:p>
        </w:tc>
        <w:tc>
          <w:tcPr>
            <w:tcW w:w="1074" w:type="dxa"/>
            <w:gridSpan w:val="2"/>
            <w:noWrap w:val="0"/>
            <w:vAlign w:val="center"/>
          </w:tcPr>
          <w:p w14:paraId="4EEF3E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402" w:type="dxa"/>
            <w:gridSpan w:val="4"/>
            <w:noWrap w:val="0"/>
            <w:vAlign w:val="center"/>
          </w:tcPr>
          <w:p w14:paraId="778F8C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身份</w:t>
            </w:r>
            <w:r>
              <w:rPr>
                <w:rFonts w:hint="default" w:ascii="Calibri" w:hAnsi="Calibri" w:eastAsia="宋体" w:cs="Times New Roman"/>
                <w:color w:val="auto"/>
                <w:highlight w:val="none"/>
              </w:rPr>
              <w:t>证号码</w:t>
            </w:r>
          </w:p>
        </w:tc>
        <w:tc>
          <w:tcPr>
            <w:tcW w:w="739" w:type="dxa"/>
            <w:noWrap w:val="0"/>
            <w:vAlign w:val="center"/>
          </w:tcPr>
          <w:p w14:paraId="6198F3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4080" w:type="dxa"/>
            <w:gridSpan w:val="6"/>
            <w:noWrap w:val="0"/>
            <w:vAlign w:val="center"/>
          </w:tcPr>
          <w:p w14:paraId="630986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r>
              <w:rPr>
                <w:rFonts w:hint="eastAsia" w:ascii="Calibri" w:hAnsi="Calibri" w:eastAsia="宋体" w:cs="Times New Roman"/>
                <w:color w:val="auto"/>
                <w:highlight w:val="none"/>
              </w:rPr>
              <w:t>社保所附证明材料索引号</w:t>
            </w:r>
          </w:p>
        </w:tc>
        <w:tc>
          <w:tcPr>
            <w:tcW w:w="998" w:type="dxa"/>
            <w:gridSpan w:val="2"/>
            <w:noWrap w:val="0"/>
            <w:vAlign w:val="center"/>
          </w:tcPr>
          <w:p w14:paraId="1FA085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5EAE6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397" w:hRule="atLeast"/>
          <w:jc w:val="center"/>
        </w:trPr>
        <w:tc>
          <w:tcPr>
            <w:tcW w:w="1318" w:type="dxa"/>
            <w:gridSpan w:val="2"/>
            <w:noWrap w:val="0"/>
            <w:vAlign w:val="center"/>
          </w:tcPr>
          <w:p w14:paraId="002DE1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证书名称</w:t>
            </w:r>
          </w:p>
        </w:tc>
        <w:tc>
          <w:tcPr>
            <w:tcW w:w="1074" w:type="dxa"/>
            <w:gridSpan w:val="2"/>
            <w:noWrap w:val="0"/>
            <w:vAlign w:val="center"/>
          </w:tcPr>
          <w:p w14:paraId="33AE6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注册专业</w:t>
            </w:r>
          </w:p>
        </w:tc>
        <w:tc>
          <w:tcPr>
            <w:tcW w:w="991" w:type="dxa"/>
            <w:gridSpan w:val="2"/>
            <w:noWrap w:val="0"/>
            <w:vAlign w:val="center"/>
          </w:tcPr>
          <w:p w14:paraId="53CC76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default" w:ascii="Calibri" w:hAnsi="Calibri" w:eastAsia="宋体" w:cs="Times New Roman"/>
                <w:color w:val="auto"/>
                <w:highlight w:val="none"/>
              </w:rPr>
              <w:t>级别</w:t>
            </w:r>
          </w:p>
        </w:tc>
        <w:tc>
          <w:tcPr>
            <w:tcW w:w="1150" w:type="dxa"/>
            <w:gridSpan w:val="3"/>
            <w:noWrap w:val="0"/>
            <w:vAlign w:val="center"/>
          </w:tcPr>
          <w:p w14:paraId="6CF8E9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证书编号</w:t>
            </w:r>
          </w:p>
        </w:tc>
        <w:tc>
          <w:tcPr>
            <w:tcW w:w="1084" w:type="dxa"/>
            <w:gridSpan w:val="2"/>
            <w:noWrap w:val="0"/>
            <w:vAlign w:val="center"/>
          </w:tcPr>
          <w:p w14:paraId="332624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注册时间</w:t>
            </w:r>
          </w:p>
        </w:tc>
        <w:tc>
          <w:tcPr>
            <w:tcW w:w="1000" w:type="dxa"/>
            <w:gridSpan w:val="2"/>
            <w:noWrap w:val="0"/>
            <w:vAlign w:val="center"/>
          </w:tcPr>
          <w:p w14:paraId="4AEF2E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注册单位</w:t>
            </w:r>
          </w:p>
        </w:tc>
        <w:tc>
          <w:tcPr>
            <w:tcW w:w="1463" w:type="dxa"/>
            <w:noWrap w:val="0"/>
            <w:vAlign w:val="center"/>
          </w:tcPr>
          <w:p w14:paraId="4AB811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r>
              <w:rPr>
                <w:rFonts w:hint="eastAsia" w:ascii="Calibri" w:hAnsi="Calibri" w:eastAsia="宋体" w:cs="Times New Roman"/>
                <w:color w:val="auto"/>
                <w:highlight w:val="none"/>
              </w:rPr>
              <w:t>注册有效期</w:t>
            </w:r>
          </w:p>
        </w:tc>
        <w:tc>
          <w:tcPr>
            <w:tcW w:w="1531" w:type="dxa"/>
            <w:gridSpan w:val="3"/>
            <w:noWrap w:val="0"/>
            <w:vAlign w:val="center"/>
          </w:tcPr>
          <w:p w14:paraId="02F890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lang w:eastAsia="zh-CN"/>
              </w:rPr>
              <w:t>使用限期</w:t>
            </w:r>
          </w:p>
        </w:tc>
      </w:tr>
      <w:tr w14:paraId="78D2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397" w:hRule="atLeast"/>
          <w:jc w:val="center"/>
        </w:trPr>
        <w:tc>
          <w:tcPr>
            <w:tcW w:w="1318" w:type="dxa"/>
            <w:gridSpan w:val="2"/>
            <w:noWrap w:val="0"/>
            <w:vAlign w:val="center"/>
          </w:tcPr>
          <w:p w14:paraId="5FB084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1074" w:type="dxa"/>
            <w:gridSpan w:val="2"/>
            <w:noWrap w:val="0"/>
            <w:vAlign w:val="center"/>
          </w:tcPr>
          <w:p w14:paraId="5CDAF3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991" w:type="dxa"/>
            <w:gridSpan w:val="2"/>
            <w:noWrap w:val="0"/>
            <w:vAlign w:val="center"/>
          </w:tcPr>
          <w:p w14:paraId="63F4B2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p>
        </w:tc>
        <w:tc>
          <w:tcPr>
            <w:tcW w:w="1150" w:type="dxa"/>
            <w:gridSpan w:val="3"/>
            <w:noWrap w:val="0"/>
            <w:vAlign w:val="center"/>
          </w:tcPr>
          <w:p w14:paraId="58F490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1084" w:type="dxa"/>
            <w:gridSpan w:val="2"/>
            <w:noWrap w:val="0"/>
            <w:vAlign w:val="center"/>
          </w:tcPr>
          <w:p w14:paraId="3C9E60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1000" w:type="dxa"/>
            <w:gridSpan w:val="2"/>
            <w:noWrap w:val="0"/>
            <w:vAlign w:val="center"/>
          </w:tcPr>
          <w:p w14:paraId="598A86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1463" w:type="dxa"/>
            <w:noWrap w:val="0"/>
            <w:vAlign w:val="center"/>
          </w:tcPr>
          <w:p w14:paraId="1F5A83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1531" w:type="dxa"/>
            <w:gridSpan w:val="3"/>
            <w:noWrap w:val="0"/>
            <w:vAlign w:val="center"/>
          </w:tcPr>
          <w:p w14:paraId="63447C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r>
      <w:tr w14:paraId="544A3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397" w:hRule="atLeast"/>
          <w:jc w:val="center"/>
        </w:trPr>
        <w:tc>
          <w:tcPr>
            <w:tcW w:w="1318" w:type="dxa"/>
            <w:gridSpan w:val="2"/>
            <w:noWrap w:val="0"/>
            <w:vAlign w:val="center"/>
          </w:tcPr>
          <w:p w14:paraId="030FC0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1074" w:type="dxa"/>
            <w:gridSpan w:val="2"/>
            <w:noWrap w:val="0"/>
            <w:vAlign w:val="center"/>
          </w:tcPr>
          <w:p w14:paraId="2A0C4A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991" w:type="dxa"/>
            <w:gridSpan w:val="2"/>
            <w:noWrap w:val="0"/>
            <w:vAlign w:val="center"/>
          </w:tcPr>
          <w:p w14:paraId="26E063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p>
        </w:tc>
        <w:tc>
          <w:tcPr>
            <w:tcW w:w="1150" w:type="dxa"/>
            <w:gridSpan w:val="3"/>
            <w:noWrap w:val="0"/>
            <w:vAlign w:val="center"/>
          </w:tcPr>
          <w:p w14:paraId="6CD24A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1084" w:type="dxa"/>
            <w:gridSpan w:val="2"/>
            <w:noWrap w:val="0"/>
            <w:vAlign w:val="center"/>
          </w:tcPr>
          <w:p w14:paraId="4F5626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1000" w:type="dxa"/>
            <w:gridSpan w:val="2"/>
            <w:noWrap w:val="0"/>
            <w:vAlign w:val="center"/>
          </w:tcPr>
          <w:p w14:paraId="1354FE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1463" w:type="dxa"/>
            <w:noWrap w:val="0"/>
            <w:vAlign w:val="center"/>
          </w:tcPr>
          <w:p w14:paraId="2B65B6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c>
          <w:tcPr>
            <w:tcW w:w="1531" w:type="dxa"/>
            <w:gridSpan w:val="3"/>
            <w:noWrap w:val="0"/>
            <w:vAlign w:val="center"/>
          </w:tcPr>
          <w:p w14:paraId="69C104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p>
        </w:tc>
      </w:tr>
      <w:tr w14:paraId="63924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397" w:hRule="atLeast"/>
          <w:jc w:val="center"/>
        </w:trPr>
        <w:tc>
          <w:tcPr>
            <w:tcW w:w="9611" w:type="dxa"/>
            <w:gridSpan w:val="17"/>
            <w:noWrap w:val="0"/>
            <w:vAlign w:val="center"/>
          </w:tcPr>
          <w:p w14:paraId="6BF9B5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在建和已完工程项目情况</w:t>
            </w:r>
          </w:p>
        </w:tc>
      </w:tr>
      <w:tr w14:paraId="2BB57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6A175A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48" w:type="dxa"/>
            <w:gridSpan w:val="2"/>
            <w:noWrap w:val="0"/>
            <w:vAlign w:val="center"/>
          </w:tcPr>
          <w:p w14:paraId="3AA901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367" w:type="dxa"/>
            <w:gridSpan w:val="4"/>
            <w:noWrap w:val="0"/>
            <w:vAlign w:val="center"/>
          </w:tcPr>
          <w:p w14:paraId="087C16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942" w:type="dxa"/>
            <w:gridSpan w:val="3"/>
            <w:noWrap w:val="0"/>
            <w:vAlign w:val="center"/>
          </w:tcPr>
          <w:p w14:paraId="62DBD3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05" w:type="dxa"/>
            <w:gridSpan w:val="2"/>
            <w:noWrap w:val="0"/>
            <w:vAlign w:val="center"/>
          </w:tcPr>
          <w:p w14:paraId="3612CD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520" w:type="dxa"/>
            <w:gridSpan w:val="2"/>
            <w:noWrap w:val="0"/>
            <w:vAlign w:val="center"/>
          </w:tcPr>
          <w:p w14:paraId="5FF936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4873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7ACC88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gridSpan w:val="2"/>
            <w:noWrap w:val="0"/>
            <w:vAlign w:val="center"/>
          </w:tcPr>
          <w:p w14:paraId="545E9F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3E2AD6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021B5A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065410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72C6B7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61F7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3659E9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gridSpan w:val="2"/>
            <w:noWrap w:val="0"/>
            <w:vAlign w:val="center"/>
          </w:tcPr>
          <w:p w14:paraId="0A4ED7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7CB91B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6D044A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201DD0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501249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5DD0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627992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gridSpan w:val="2"/>
            <w:noWrap w:val="0"/>
            <w:vAlign w:val="center"/>
          </w:tcPr>
          <w:p w14:paraId="28233F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3F589E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357A26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1CDF36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430970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46C34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535F1B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gridSpan w:val="2"/>
            <w:noWrap w:val="0"/>
            <w:vAlign w:val="center"/>
          </w:tcPr>
          <w:p w14:paraId="0C9B5F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5F9CF0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3FBEA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61BB26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591FEC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2913E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30A4C6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gridSpan w:val="2"/>
            <w:noWrap w:val="0"/>
            <w:vAlign w:val="center"/>
          </w:tcPr>
          <w:p w14:paraId="5E3D6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555832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47FB66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757C47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09F639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4886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626895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gridSpan w:val="2"/>
            <w:noWrap w:val="0"/>
            <w:vAlign w:val="center"/>
          </w:tcPr>
          <w:p w14:paraId="660FE4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6EB43D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35825C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4D9E86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176622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26FDC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263063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gridSpan w:val="2"/>
            <w:noWrap w:val="0"/>
            <w:vAlign w:val="center"/>
          </w:tcPr>
          <w:p w14:paraId="29AB0F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381A33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6D9C9E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6917D2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064F71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369A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358FA3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gridSpan w:val="2"/>
            <w:noWrap w:val="0"/>
            <w:vAlign w:val="center"/>
          </w:tcPr>
          <w:p w14:paraId="0781AD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7D1CE5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7B2820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1731F8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0256C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7BE10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3E173F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gridSpan w:val="2"/>
            <w:noWrap w:val="0"/>
            <w:vAlign w:val="center"/>
          </w:tcPr>
          <w:p w14:paraId="3D584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2553B7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021E50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0ED1C6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4E96DF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2797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348D8D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gridSpan w:val="2"/>
            <w:noWrap w:val="0"/>
            <w:vAlign w:val="center"/>
          </w:tcPr>
          <w:p w14:paraId="5EB3F2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7E4577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4705C2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4CD1A9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379158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39C8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1C5DF0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gridSpan w:val="2"/>
            <w:noWrap w:val="0"/>
            <w:vAlign w:val="center"/>
          </w:tcPr>
          <w:p w14:paraId="46397D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6472A7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61CF83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14BEA6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2C1FF2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54A5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67A483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gridSpan w:val="2"/>
            <w:noWrap w:val="0"/>
            <w:vAlign w:val="center"/>
          </w:tcPr>
          <w:p w14:paraId="4E883A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2D8A11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491D70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6EF086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38EC68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0435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4622F8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gridSpan w:val="2"/>
            <w:noWrap w:val="0"/>
            <w:vAlign w:val="center"/>
          </w:tcPr>
          <w:p w14:paraId="14CEC3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16D70A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7BF92F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166645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0AF4AB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508E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327B7B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gridSpan w:val="2"/>
            <w:noWrap w:val="0"/>
            <w:vAlign w:val="center"/>
          </w:tcPr>
          <w:p w14:paraId="7BA637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258C1F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2AE121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53E35E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488158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6A1E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4CD477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gridSpan w:val="2"/>
            <w:noWrap w:val="0"/>
            <w:vAlign w:val="center"/>
          </w:tcPr>
          <w:p w14:paraId="506E92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49477E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5F65E2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536511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26ECC6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5984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44AFFF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gridSpan w:val="2"/>
            <w:noWrap w:val="0"/>
            <w:vAlign w:val="center"/>
          </w:tcPr>
          <w:p w14:paraId="358E2F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4D192F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1BD694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37A5DF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29A220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63AE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7981AE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gridSpan w:val="2"/>
            <w:noWrap w:val="0"/>
            <w:vAlign w:val="center"/>
          </w:tcPr>
          <w:p w14:paraId="26011B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55749E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09EBCD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00CFFD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1C2F07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5687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4EFCA7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gridSpan w:val="2"/>
            <w:noWrap w:val="0"/>
            <w:vAlign w:val="center"/>
          </w:tcPr>
          <w:p w14:paraId="1050A7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49E107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7F2486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27E0C7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6A27CD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7831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1212FA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人员角色</w:t>
            </w:r>
          </w:p>
        </w:tc>
        <w:tc>
          <w:tcPr>
            <w:tcW w:w="1548" w:type="dxa"/>
            <w:gridSpan w:val="2"/>
            <w:noWrap w:val="0"/>
            <w:vAlign w:val="center"/>
          </w:tcPr>
          <w:p w14:paraId="70188F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546E75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5CFDA4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02A5C5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70063B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6626E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062234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在建或已完</w:t>
            </w:r>
          </w:p>
        </w:tc>
        <w:tc>
          <w:tcPr>
            <w:tcW w:w="1548" w:type="dxa"/>
            <w:gridSpan w:val="2"/>
            <w:noWrap w:val="0"/>
            <w:vAlign w:val="center"/>
          </w:tcPr>
          <w:p w14:paraId="1A26D5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226992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04B736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445F62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4D2C37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r w14:paraId="516C6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97" w:hRule="atLeast"/>
          <w:jc w:val="center"/>
        </w:trPr>
        <w:tc>
          <w:tcPr>
            <w:tcW w:w="1626" w:type="dxa"/>
            <w:gridSpan w:val="4"/>
            <w:noWrap w:val="0"/>
            <w:vAlign w:val="center"/>
          </w:tcPr>
          <w:p w14:paraId="350304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gridSpan w:val="2"/>
            <w:noWrap w:val="0"/>
            <w:vAlign w:val="center"/>
          </w:tcPr>
          <w:p w14:paraId="2EE8B4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367" w:type="dxa"/>
            <w:gridSpan w:val="4"/>
            <w:noWrap w:val="0"/>
            <w:vAlign w:val="center"/>
          </w:tcPr>
          <w:p w14:paraId="5BDEBE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942" w:type="dxa"/>
            <w:gridSpan w:val="3"/>
            <w:noWrap w:val="0"/>
            <w:vAlign w:val="center"/>
          </w:tcPr>
          <w:p w14:paraId="142C6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605" w:type="dxa"/>
            <w:gridSpan w:val="2"/>
            <w:noWrap w:val="0"/>
            <w:vAlign w:val="center"/>
          </w:tcPr>
          <w:p w14:paraId="1A8933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c>
          <w:tcPr>
            <w:tcW w:w="1520" w:type="dxa"/>
            <w:gridSpan w:val="2"/>
            <w:noWrap w:val="0"/>
            <w:vAlign w:val="center"/>
          </w:tcPr>
          <w:p w14:paraId="6B2FB7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Calibri" w:hAnsi="Calibri" w:eastAsia="宋体" w:cs="Times New Roman"/>
                <w:color w:val="auto"/>
                <w:highlight w:val="none"/>
              </w:rPr>
            </w:pPr>
          </w:p>
        </w:tc>
      </w:tr>
    </w:tbl>
    <w:p w14:paraId="21E0B1EC">
      <w:pPr>
        <w:spacing w:line="360" w:lineRule="auto"/>
        <w:rPr>
          <w:rFonts w:eastAsia="楷体_GB2312"/>
          <w:color w:val="auto"/>
          <w:highlight w:val="none"/>
        </w:rPr>
      </w:pPr>
      <w:r>
        <w:rPr>
          <w:rFonts w:hint="eastAsia" w:eastAsia="楷体_GB2312" w:cs="楷体_GB2312"/>
          <w:color w:val="auto"/>
          <w:highlight w:val="none"/>
        </w:rPr>
        <w:t>备注：</w:t>
      </w:r>
    </w:p>
    <w:p w14:paraId="08CCD34D">
      <w:pPr>
        <w:spacing w:line="360" w:lineRule="auto"/>
        <w:ind w:firstLine="420" w:firstLineChars="200"/>
        <w:rPr>
          <w:rFonts w:eastAsia="楷体_GB2312" w:cs="Times New Roman"/>
          <w:color w:val="auto"/>
          <w:highlight w:val="none"/>
        </w:rPr>
      </w:pPr>
      <w:r>
        <w:rPr>
          <w:rFonts w:hint="eastAsia" w:eastAsia="楷体_GB2312"/>
          <w:color w:val="auto"/>
          <w:highlight w:val="none"/>
          <w:lang w:eastAsia="zh-CN"/>
        </w:rPr>
        <w:t>1.</w:t>
      </w:r>
      <w:r>
        <w:rPr>
          <w:rFonts w:hint="default" w:eastAsia="楷体_GB2312"/>
          <w:color w:val="auto"/>
          <w:highlight w:val="none"/>
        </w:rPr>
        <w:t>人员注册证书信息、个人业绩的信息均需从</w:t>
      </w:r>
      <w:r>
        <w:rPr>
          <w:rFonts w:hint="eastAsia" w:eastAsia="楷体_GB2312"/>
          <w:color w:val="auto"/>
          <w:highlight w:val="none"/>
          <w:lang w:eastAsia="zh-CN"/>
        </w:rPr>
        <w:t>“</w:t>
      </w:r>
      <w:r>
        <w:rPr>
          <w:rFonts w:hint="default" w:eastAsia="楷体_GB2312"/>
          <w:color w:val="auto"/>
          <w:highlight w:val="none"/>
        </w:rPr>
        <w:t>桂建云</w:t>
      </w:r>
      <w:r>
        <w:rPr>
          <w:rFonts w:hint="eastAsia" w:eastAsia="楷体_GB2312"/>
          <w:color w:val="auto"/>
          <w:highlight w:val="none"/>
          <w:lang w:eastAsia="zh-CN"/>
        </w:rPr>
        <w:t>”</w:t>
      </w:r>
      <w:r>
        <w:rPr>
          <w:rFonts w:hint="default" w:eastAsia="楷体_GB2312"/>
          <w:color w:val="auto"/>
          <w:highlight w:val="none"/>
        </w:rPr>
        <w:t>读取，投标人不可修改，业绩不需要提供扫描件</w:t>
      </w:r>
      <w:r>
        <w:rPr>
          <w:rFonts w:hint="eastAsia" w:eastAsia="楷体_GB2312"/>
          <w:color w:val="auto"/>
          <w:highlight w:val="none"/>
          <w:lang w:eastAsia="zh-CN"/>
        </w:rPr>
        <w:t>，</w:t>
      </w:r>
      <w:r>
        <w:rPr>
          <w:rFonts w:hint="default" w:eastAsia="楷体_GB2312"/>
          <w:color w:val="auto"/>
          <w:highlight w:val="none"/>
        </w:rPr>
        <w:t>职称证</w:t>
      </w:r>
      <w:r>
        <w:rPr>
          <w:rFonts w:hint="eastAsia" w:eastAsia="楷体_GB2312"/>
          <w:color w:val="auto"/>
          <w:highlight w:val="none"/>
          <w:lang w:eastAsia="zh-CN"/>
        </w:rPr>
        <w:t>、</w:t>
      </w:r>
      <w:r>
        <w:rPr>
          <w:rFonts w:hint="eastAsia" w:eastAsia="楷体_GB2312"/>
          <w:color w:val="auto"/>
          <w:highlight w:val="none"/>
          <w:lang w:val="en-US" w:eastAsia="zh-CN"/>
        </w:rPr>
        <w:t>社保证明</w:t>
      </w:r>
      <w:r>
        <w:rPr>
          <w:rFonts w:hint="default" w:eastAsia="楷体_GB2312"/>
          <w:color w:val="auto"/>
          <w:highlight w:val="none"/>
        </w:rPr>
        <w:t>需提供扫描件</w:t>
      </w:r>
      <w:r>
        <w:rPr>
          <w:rFonts w:hint="eastAsia" w:eastAsia="楷体_GB2312"/>
          <w:color w:val="auto"/>
          <w:highlight w:val="none"/>
          <w:lang w:eastAsia="zh-CN"/>
        </w:rPr>
        <w:t>。</w:t>
      </w:r>
      <w:r>
        <w:rPr>
          <w:rFonts w:hint="default" w:eastAsia="楷体_GB2312"/>
          <w:color w:val="auto"/>
          <w:highlight w:val="none"/>
        </w:rPr>
        <w:t>投标人以上信息未通过</w:t>
      </w:r>
      <w:r>
        <w:rPr>
          <w:rFonts w:hint="eastAsia" w:eastAsia="楷体_GB2312"/>
          <w:color w:val="auto"/>
          <w:highlight w:val="none"/>
          <w:lang w:eastAsia="zh-CN"/>
        </w:rPr>
        <w:t>“</w:t>
      </w:r>
      <w:r>
        <w:rPr>
          <w:rFonts w:hint="default" w:eastAsia="楷体_GB2312"/>
          <w:color w:val="auto"/>
          <w:highlight w:val="none"/>
        </w:rPr>
        <w:t>桂建云</w:t>
      </w:r>
      <w:r>
        <w:rPr>
          <w:rFonts w:hint="eastAsia" w:eastAsia="楷体_GB2312"/>
          <w:color w:val="auto"/>
          <w:highlight w:val="none"/>
          <w:lang w:eastAsia="zh-CN"/>
        </w:rPr>
        <w:t>”</w:t>
      </w:r>
      <w:r>
        <w:rPr>
          <w:rFonts w:hint="default" w:eastAsia="楷体_GB2312"/>
          <w:color w:val="auto"/>
          <w:highlight w:val="none"/>
        </w:rPr>
        <w:t>读取的，在评审时不予承认。</w:t>
      </w:r>
    </w:p>
    <w:p w14:paraId="6BE54DDE">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2.</w:t>
      </w:r>
      <w:r>
        <w:rPr>
          <w:rFonts w:hint="eastAsia" w:eastAsia="楷体_GB2312"/>
          <w:color w:val="auto"/>
          <w:highlight w:val="none"/>
        </w:rPr>
        <w:t>项目</w:t>
      </w:r>
      <w:r>
        <w:rPr>
          <w:rFonts w:eastAsia="楷体_GB2312"/>
          <w:color w:val="auto"/>
          <w:highlight w:val="none"/>
        </w:rPr>
        <w:t>数</w:t>
      </w:r>
      <w:r>
        <w:rPr>
          <w:rFonts w:hint="eastAsia" w:eastAsia="楷体_GB2312"/>
          <w:color w:val="auto"/>
          <w:highlight w:val="none"/>
        </w:rPr>
        <w:t>可</w:t>
      </w:r>
      <w:r>
        <w:rPr>
          <w:rFonts w:eastAsia="楷体_GB2312"/>
          <w:color w:val="auto"/>
          <w:highlight w:val="none"/>
        </w:rPr>
        <w:t>以根据需要增加。</w:t>
      </w:r>
    </w:p>
    <w:p w14:paraId="28341779">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51D54A9B">
      <w:pPr>
        <w:spacing w:line="360" w:lineRule="auto"/>
        <w:ind w:firstLine="420" w:firstLineChars="200"/>
        <w:rPr>
          <w:rFonts w:hint="eastAsia" w:eastAsia="楷体_GB2312"/>
          <w:color w:val="auto"/>
          <w:highlight w:val="none"/>
        </w:rPr>
      </w:pPr>
    </w:p>
    <w:p w14:paraId="70FB63E2">
      <w:pPr>
        <w:pStyle w:val="136"/>
        <w:spacing w:line="360" w:lineRule="auto"/>
        <w:jc w:val="left"/>
        <w:outlineLvl w:val="0"/>
        <w:rPr>
          <w:rFonts w:cs="宋体"/>
          <w:b/>
          <w:bCs/>
          <w:color w:val="auto"/>
          <w:sz w:val="28"/>
          <w:szCs w:val="28"/>
          <w:highlight w:val="none"/>
        </w:rPr>
      </w:pPr>
      <w:r>
        <w:rPr>
          <w:rFonts w:hint="eastAsia" w:cs="宋体"/>
          <w:b/>
          <w:bCs/>
          <w:color w:val="auto"/>
          <w:sz w:val="28"/>
          <w:szCs w:val="28"/>
          <w:highlight w:val="none"/>
          <w:lang w:val="en-US" w:eastAsia="zh-CN"/>
        </w:rPr>
        <w:t>8.</w:t>
      </w:r>
      <w:r>
        <w:rPr>
          <w:rFonts w:hint="eastAsia" w:cs="宋体"/>
          <w:b/>
          <w:bCs/>
          <w:color w:val="auto"/>
          <w:sz w:val="28"/>
          <w:szCs w:val="28"/>
          <w:highlight w:val="none"/>
        </w:rPr>
        <w:t>专职安全生产管理人员</w:t>
      </w:r>
    </w:p>
    <w:p w14:paraId="556E93FE">
      <w:pPr>
        <w:pStyle w:val="136"/>
        <w:jc w:val="center"/>
        <w:rPr>
          <w:color w:val="auto"/>
          <w:highlight w:val="none"/>
          <w:u w:val="single"/>
        </w:rPr>
      </w:pPr>
      <w:r>
        <w:rPr>
          <w:rFonts w:hint="eastAsia" w:cs="宋体"/>
          <w:b/>
          <w:color w:val="auto"/>
          <w:sz w:val="32"/>
          <w:szCs w:val="32"/>
          <w:highlight w:val="none"/>
        </w:rPr>
        <w:t>专职安全生产管理人员</w:t>
      </w:r>
    </w:p>
    <w:p w14:paraId="22AD861F">
      <w:pPr>
        <w:pStyle w:val="136"/>
        <w:rPr>
          <w:color w:val="auto"/>
          <w:highlight w:val="none"/>
        </w:rPr>
      </w:pPr>
      <w:r>
        <w:rPr>
          <w:color w:val="auto"/>
          <w:highlight w:val="none"/>
          <w:u w:val="single"/>
        </w:rPr>
        <w:t xml:space="preserve">            </w:t>
      </w:r>
      <w:r>
        <w:rPr>
          <w:rFonts w:hint="eastAsia" w:cs="宋体"/>
          <w:color w:val="auto"/>
          <w:highlight w:val="none"/>
          <w:u w:val="single"/>
          <w:lang w:eastAsia="zh-CN"/>
        </w:rPr>
        <w:t>广西警察学院长湖校区3号学员公寓楼改造工程（重）</w:t>
      </w:r>
      <w:r>
        <w:rPr>
          <w:color w:val="auto"/>
          <w:highlight w:val="none"/>
          <w:u w:val="single"/>
        </w:rPr>
        <w:t xml:space="preserve">        </w:t>
      </w:r>
      <w:r>
        <w:rPr>
          <w:color w:val="auto"/>
          <w:highlight w:val="none"/>
        </w:rPr>
        <w:t xml:space="preserve"> </w:t>
      </w:r>
      <w:r>
        <w:rPr>
          <w:rFonts w:hint="eastAsia" w:cs="宋体"/>
          <w:color w:val="auto"/>
          <w:highlight w:val="none"/>
        </w:rPr>
        <w:t>工程</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2734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0A4A4D8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姓名</w:t>
            </w:r>
          </w:p>
        </w:tc>
        <w:tc>
          <w:tcPr>
            <w:tcW w:w="2340" w:type="dxa"/>
            <w:gridSpan w:val="6"/>
            <w:noWrap w:val="0"/>
            <w:vAlign w:val="center"/>
          </w:tcPr>
          <w:p w14:paraId="4549FF0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93" w:type="dxa"/>
            <w:gridSpan w:val="5"/>
            <w:noWrap w:val="0"/>
            <w:vAlign w:val="center"/>
          </w:tcPr>
          <w:p w14:paraId="116601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性别</w:t>
            </w:r>
          </w:p>
        </w:tc>
        <w:tc>
          <w:tcPr>
            <w:tcW w:w="1585" w:type="dxa"/>
            <w:gridSpan w:val="3"/>
            <w:noWrap w:val="0"/>
            <w:vAlign w:val="center"/>
          </w:tcPr>
          <w:p w14:paraId="524448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3144A2A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年龄</w:t>
            </w:r>
          </w:p>
        </w:tc>
        <w:tc>
          <w:tcPr>
            <w:tcW w:w="1531" w:type="dxa"/>
            <w:gridSpan w:val="5"/>
            <w:noWrap w:val="0"/>
            <w:vAlign w:val="center"/>
          </w:tcPr>
          <w:p w14:paraId="0ACC19A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FAA5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24F5C76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岗位</w:t>
            </w:r>
          </w:p>
        </w:tc>
        <w:tc>
          <w:tcPr>
            <w:tcW w:w="2340" w:type="dxa"/>
            <w:gridSpan w:val="6"/>
            <w:noWrap w:val="0"/>
            <w:vAlign w:val="center"/>
          </w:tcPr>
          <w:p w14:paraId="3753260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专职安全生产管理人员</w:t>
            </w:r>
          </w:p>
        </w:tc>
        <w:tc>
          <w:tcPr>
            <w:tcW w:w="1893" w:type="dxa"/>
            <w:gridSpan w:val="5"/>
            <w:noWrap w:val="0"/>
            <w:vAlign w:val="center"/>
          </w:tcPr>
          <w:p w14:paraId="2051B7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职称</w:t>
            </w:r>
          </w:p>
        </w:tc>
        <w:tc>
          <w:tcPr>
            <w:tcW w:w="1585" w:type="dxa"/>
            <w:gridSpan w:val="3"/>
            <w:noWrap w:val="0"/>
            <w:vAlign w:val="center"/>
          </w:tcPr>
          <w:p w14:paraId="70C2640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31A4748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学历</w:t>
            </w:r>
          </w:p>
        </w:tc>
        <w:tc>
          <w:tcPr>
            <w:tcW w:w="1531" w:type="dxa"/>
            <w:gridSpan w:val="5"/>
            <w:noWrap w:val="0"/>
            <w:vAlign w:val="center"/>
          </w:tcPr>
          <w:p w14:paraId="2129DE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3A3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00092F4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从业开始时间</w:t>
            </w:r>
          </w:p>
        </w:tc>
        <w:tc>
          <w:tcPr>
            <w:tcW w:w="2340" w:type="dxa"/>
            <w:gridSpan w:val="6"/>
            <w:noWrap w:val="0"/>
            <w:vAlign w:val="center"/>
          </w:tcPr>
          <w:p w14:paraId="2B418B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93" w:type="dxa"/>
            <w:gridSpan w:val="5"/>
            <w:noWrap w:val="0"/>
            <w:vAlign w:val="center"/>
          </w:tcPr>
          <w:p w14:paraId="224D86FC">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职称</w:t>
            </w:r>
            <w:r>
              <w:rPr>
                <w:rFonts w:hint="default" w:ascii="Calibri" w:hAnsi="Calibri" w:eastAsia="宋体" w:cs="宋体"/>
                <w:color w:val="auto"/>
                <w:highlight w:val="none"/>
              </w:rPr>
              <w:t>获</w:t>
            </w:r>
            <w:r>
              <w:rPr>
                <w:rFonts w:hint="eastAsia" w:ascii="Calibri" w:hAnsi="Calibri" w:eastAsia="宋体" w:cs="宋体"/>
                <w:color w:val="auto"/>
                <w:highlight w:val="none"/>
              </w:rPr>
              <w:t>得</w:t>
            </w:r>
            <w:r>
              <w:rPr>
                <w:rFonts w:hint="default" w:ascii="Calibri" w:hAnsi="Calibri" w:eastAsia="宋体" w:cs="宋体"/>
                <w:color w:val="auto"/>
                <w:highlight w:val="none"/>
              </w:rPr>
              <w:t>时间</w:t>
            </w:r>
          </w:p>
        </w:tc>
        <w:tc>
          <w:tcPr>
            <w:tcW w:w="1585" w:type="dxa"/>
            <w:gridSpan w:val="3"/>
            <w:noWrap w:val="0"/>
            <w:vAlign w:val="center"/>
          </w:tcPr>
          <w:p w14:paraId="0B8608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08" w:type="dxa"/>
            <w:noWrap w:val="0"/>
            <w:vAlign w:val="center"/>
          </w:tcPr>
          <w:p w14:paraId="29371B7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毕业时间</w:t>
            </w:r>
          </w:p>
        </w:tc>
        <w:tc>
          <w:tcPr>
            <w:tcW w:w="1531" w:type="dxa"/>
            <w:gridSpan w:val="5"/>
            <w:noWrap w:val="0"/>
            <w:vAlign w:val="center"/>
          </w:tcPr>
          <w:p w14:paraId="76A45C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C010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5509CC1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担任……年限</w:t>
            </w:r>
          </w:p>
        </w:tc>
        <w:tc>
          <w:tcPr>
            <w:tcW w:w="1161" w:type="dxa"/>
            <w:gridSpan w:val="2"/>
            <w:noWrap w:val="0"/>
            <w:vAlign w:val="center"/>
          </w:tcPr>
          <w:p w14:paraId="567BCA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02" w:type="dxa"/>
            <w:gridSpan w:val="5"/>
            <w:noWrap w:val="0"/>
            <w:vAlign w:val="center"/>
          </w:tcPr>
          <w:p w14:paraId="47F62BD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身份</w:t>
            </w:r>
            <w:r>
              <w:rPr>
                <w:rFonts w:hint="default" w:ascii="Calibri" w:hAnsi="Calibri" w:eastAsia="宋体" w:cs="Times New Roman"/>
                <w:color w:val="auto"/>
                <w:highlight w:val="none"/>
              </w:rPr>
              <w:t>证号码</w:t>
            </w:r>
          </w:p>
        </w:tc>
        <w:tc>
          <w:tcPr>
            <w:tcW w:w="1209" w:type="dxa"/>
            <w:noWrap w:val="0"/>
            <w:vAlign w:val="center"/>
          </w:tcPr>
          <w:p w14:paraId="25EDEB1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3610" w:type="dxa"/>
            <w:gridSpan w:val="9"/>
            <w:noWrap w:val="0"/>
            <w:vAlign w:val="center"/>
          </w:tcPr>
          <w:p w14:paraId="677F1704">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社保所附证明材料索引号</w:t>
            </w:r>
          </w:p>
        </w:tc>
        <w:tc>
          <w:tcPr>
            <w:tcW w:w="998" w:type="dxa"/>
            <w:gridSpan w:val="2"/>
            <w:noWrap w:val="0"/>
            <w:vAlign w:val="center"/>
          </w:tcPr>
          <w:p w14:paraId="704D1C7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640C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2D828A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证书名称</w:t>
            </w:r>
          </w:p>
        </w:tc>
        <w:tc>
          <w:tcPr>
            <w:tcW w:w="1275" w:type="dxa"/>
            <w:gridSpan w:val="3"/>
            <w:noWrap w:val="0"/>
            <w:vAlign w:val="center"/>
          </w:tcPr>
          <w:p w14:paraId="4976C6B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注册专业</w:t>
            </w:r>
          </w:p>
        </w:tc>
        <w:tc>
          <w:tcPr>
            <w:tcW w:w="1222" w:type="dxa"/>
            <w:gridSpan w:val="3"/>
            <w:noWrap w:val="0"/>
            <w:vAlign w:val="center"/>
          </w:tcPr>
          <w:p w14:paraId="14045C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级别</w:t>
            </w:r>
          </w:p>
        </w:tc>
        <w:tc>
          <w:tcPr>
            <w:tcW w:w="1417" w:type="dxa"/>
            <w:gridSpan w:val="3"/>
            <w:noWrap w:val="0"/>
            <w:vAlign w:val="center"/>
          </w:tcPr>
          <w:p w14:paraId="0635E06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证书编号</w:t>
            </w:r>
          </w:p>
        </w:tc>
        <w:tc>
          <w:tcPr>
            <w:tcW w:w="1418" w:type="dxa"/>
            <w:gridSpan w:val="3"/>
            <w:noWrap w:val="0"/>
            <w:vAlign w:val="center"/>
          </w:tcPr>
          <w:p w14:paraId="1AD9F27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注册时间</w:t>
            </w:r>
          </w:p>
        </w:tc>
        <w:tc>
          <w:tcPr>
            <w:tcW w:w="1632" w:type="dxa"/>
            <w:gridSpan w:val="4"/>
            <w:noWrap w:val="0"/>
            <w:vAlign w:val="center"/>
          </w:tcPr>
          <w:p w14:paraId="00FF13E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注册单位</w:t>
            </w:r>
          </w:p>
        </w:tc>
        <w:tc>
          <w:tcPr>
            <w:tcW w:w="1416" w:type="dxa"/>
            <w:gridSpan w:val="3"/>
            <w:noWrap w:val="0"/>
            <w:vAlign w:val="center"/>
          </w:tcPr>
          <w:p w14:paraId="78144F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注册有效期</w:t>
            </w:r>
          </w:p>
        </w:tc>
      </w:tr>
      <w:tr w14:paraId="334C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48A6B39D">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安全生产考核合格证书</w:t>
            </w:r>
          </w:p>
        </w:tc>
        <w:tc>
          <w:tcPr>
            <w:tcW w:w="1275" w:type="dxa"/>
            <w:gridSpan w:val="3"/>
            <w:noWrap w:val="0"/>
            <w:vAlign w:val="center"/>
          </w:tcPr>
          <w:p w14:paraId="0ACCDB66">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222" w:type="dxa"/>
            <w:gridSpan w:val="3"/>
            <w:noWrap w:val="0"/>
            <w:vAlign w:val="center"/>
          </w:tcPr>
          <w:p w14:paraId="174865C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C类</w:t>
            </w:r>
          </w:p>
        </w:tc>
        <w:tc>
          <w:tcPr>
            <w:tcW w:w="1417" w:type="dxa"/>
            <w:gridSpan w:val="3"/>
            <w:noWrap w:val="0"/>
            <w:vAlign w:val="center"/>
          </w:tcPr>
          <w:p w14:paraId="73B0D49E">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18" w:type="dxa"/>
            <w:gridSpan w:val="3"/>
            <w:noWrap w:val="0"/>
            <w:vAlign w:val="center"/>
          </w:tcPr>
          <w:p w14:paraId="5095900B">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632" w:type="dxa"/>
            <w:gridSpan w:val="4"/>
            <w:noWrap w:val="0"/>
            <w:vAlign w:val="center"/>
          </w:tcPr>
          <w:p w14:paraId="65A833DF">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16" w:type="dxa"/>
            <w:gridSpan w:val="3"/>
            <w:noWrap w:val="0"/>
            <w:vAlign w:val="center"/>
          </w:tcPr>
          <w:p w14:paraId="59A12DFF">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r>
      <w:tr w14:paraId="755C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31DEE83B">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275" w:type="dxa"/>
            <w:gridSpan w:val="3"/>
            <w:noWrap w:val="0"/>
            <w:vAlign w:val="center"/>
          </w:tcPr>
          <w:p w14:paraId="69DE947E">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222" w:type="dxa"/>
            <w:gridSpan w:val="3"/>
            <w:noWrap w:val="0"/>
            <w:vAlign w:val="center"/>
          </w:tcPr>
          <w:p w14:paraId="15BAFE0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p>
        </w:tc>
        <w:tc>
          <w:tcPr>
            <w:tcW w:w="1417" w:type="dxa"/>
            <w:gridSpan w:val="3"/>
            <w:noWrap w:val="0"/>
            <w:vAlign w:val="center"/>
          </w:tcPr>
          <w:p w14:paraId="75D1E6C7">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18" w:type="dxa"/>
            <w:gridSpan w:val="3"/>
            <w:noWrap w:val="0"/>
            <w:vAlign w:val="center"/>
          </w:tcPr>
          <w:p w14:paraId="52376D2B">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632" w:type="dxa"/>
            <w:gridSpan w:val="4"/>
            <w:noWrap w:val="0"/>
            <w:vAlign w:val="center"/>
          </w:tcPr>
          <w:p w14:paraId="34321A80">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c>
          <w:tcPr>
            <w:tcW w:w="1416" w:type="dxa"/>
            <w:gridSpan w:val="3"/>
            <w:noWrap w:val="0"/>
            <w:vAlign w:val="center"/>
          </w:tcPr>
          <w:p w14:paraId="7EFC8B87">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p>
        </w:tc>
      </w:tr>
      <w:tr w14:paraId="72561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1B5958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在建和已完工程项目情况</w:t>
            </w:r>
          </w:p>
        </w:tc>
      </w:tr>
      <w:tr w14:paraId="3EF6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7BDA448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gridSpan w:val="3"/>
            <w:noWrap w:val="0"/>
            <w:vAlign w:val="center"/>
          </w:tcPr>
          <w:p w14:paraId="76C39FF3">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gridSpan w:val="4"/>
            <w:noWrap w:val="0"/>
            <w:vAlign w:val="center"/>
          </w:tcPr>
          <w:p w14:paraId="1B7E5B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gridSpan w:val="3"/>
            <w:noWrap w:val="0"/>
            <w:vAlign w:val="center"/>
          </w:tcPr>
          <w:p w14:paraId="03C462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gridSpan w:val="4"/>
            <w:noWrap w:val="0"/>
            <w:vAlign w:val="center"/>
          </w:tcPr>
          <w:p w14:paraId="5A41030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gridSpan w:val="3"/>
            <w:noWrap w:val="0"/>
            <w:vAlign w:val="center"/>
          </w:tcPr>
          <w:p w14:paraId="473993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1E70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18C2F2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gridSpan w:val="3"/>
            <w:noWrap w:val="0"/>
            <w:vAlign w:val="center"/>
          </w:tcPr>
          <w:p w14:paraId="5A056F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2721C1F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052D8D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2D9D78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28EADBB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A67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778E36FE">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gridSpan w:val="3"/>
            <w:noWrap w:val="0"/>
            <w:vAlign w:val="center"/>
          </w:tcPr>
          <w:p w14:paraId="46D246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FA28B2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663D78D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2682976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23D53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B1E0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1B9F0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gridSpan w:val="3"/>
            <w:noWrap w:val="0"/>
            <w:vAlign w:val="center"/>
          </w:tcPr>
          <w:p w14:paraId="097C88B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52D99C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82B9E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29ECD62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2711B1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17AF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809290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gridSpan w:val="3"/>
            <w:noWrap w:val="0"/>
            <w:vAlign w:val="center"/>
          </w:tcPr>
          <w:p w14:paraId="7D08C5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314C97D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5A2EF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1D2E029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17270E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4CF0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577D20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gridSpan w:val="3"/>
            <w:noWrap w:val="0"/>
            <w:vAlign w:val="center"/>
          </w:tcPr>
          <w:p w14:paraId="517E22F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08E0E5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3AFA8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1C3F90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5F80BB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E9C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B0533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gridSpan w:val="3"/>
            <w:noWrap w:val="0"/>
            <w:vAlign w:val="center"/>
          </w:tcPr>
          <w:p w14:paraId="51EB96F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483E8BF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38B72D2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53AA93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DD4DBB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787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8FB233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gridSpan w:val="3"/>
            <w:noWrap w:val="0"/>
            <w:vAlign w:val="center"/>
          </w:tcPr>
          <w:p w14:paraId="0CBED94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321008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249BA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721B351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E0104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567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9D1EC4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gridSpan w:val="3"/>
            <w:noWrap w:val="0"/>
            <w:vAlign w:val="center"/>
          </w:tcPr>
          <w:p w14:paraId="5C23EF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2AB8ABB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FDC2E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4D7323A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2828910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D78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7CB125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gridSpan w:val="3"/>
            <w:noWrap w:val="0"/>
            <w:vAlign w:val="center"/>
          </w:tcPr>
          <w:p w14:paraId="369B287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AE404B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95C77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1036BD6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C08FBE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F44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F79BF0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gridSpan w:val="3"/>
            <w:noWrap w:val="0"/>
            <w:vAlign w:val="center"/>
          </w:tcPr>
          <w:p w14:paraId="25A4CE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C0359D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C3714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04C60C7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7E5882A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DA9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A7BEFB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gridSpan w:val="3"/>
            <w:noWrap w:val="0"/>
            <w:vAlign w:val="center"/>
          </w:tcPr>
          <w:p w14:paraId="2B5E1B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2A447F4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6E08B6D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6AC8994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372EC4B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4DF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6D0591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gridSpan w:val="3"/>
            <w:noWrap w:val="0"/>
            <w:vAlign w:val="center"/>
          </w:tcPr>
          <w:p w14:paraId="68E14F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43C437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5744A0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42B8321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2D9EF22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FB0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29F689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gridSpan w:val="3"/>
            <w:noWrap w:val="0"/>
            <w:vAlign w:val="center"/>
          </w:tcPr>
          <w:p w14:paraId="081AAA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0B8831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2D04A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1CD641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481988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C10E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F64733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gridSpan w:val="3"/>
            <w:noWrap w:val="0"/>
            <w:vAlign w:val="center"/>
          </w:tcPr>
          <w:p w14:paraId="2541224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61892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C4712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3448A6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33CBB6A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86F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D3693D3">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gridSpan w:val="3"/>
            <w:noWrap w:val="0"/>
            <w:vAlign w:val="center"/>
          </w:tcPr>
          <w:p w14:paraId="0AE0CD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66A70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0443EC2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34CDAF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064A218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A6D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634B98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gridSpan w:val="3"/>
            <w:noWrap w:val="0"/>
            <w:vAlign w:val="center"/>
          </w:tcPr>
          <w:p w14:paraId="023EB1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7B1EBD2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44C878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3B9241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24DC32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2A2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1DC7A5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gridSpan w:val="3"/>
            <w:noWrap w:val="0"/>
            <w:vAlign w:val="center"/>
          </w:tcPr>
          <w:p w14:paraId="2E4FD3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7822BE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73192A1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030D62E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3ED960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C9F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3A3BFE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gridSpan w:val="3"/>
            <w:noWrap w:val="0"/>
            <w:vAlign w:val="center"/>
          </w:tcPr>
          <w:p w14:paraId="6FEDA0E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19A64D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3E2B7C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3394F9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2AFACDE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527B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1C6786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人员角色</w:t>
            </w:r>
          </w:p>
        </w:tc>
        <w:tc>
          <w:tcPr>
            <w:tcW w:w="1548" w:type="dxa"/>
            <w:gridSpan w:val="3"/>
            <w:noWrap w:val="0"/>
            <w:vAlign w:val="center"/>
          </w:tcPr>
          <w:p w14:paraId="183654A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710FED7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38A5F2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0581A0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20EC3C3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CAB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A9944C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在建或已完</w:t>
            </w:r>
          </w:p>
        </w:tc>
        <w:tc>
          <w:tcPr>
            <w:tcW w:w="1548" w:type="dxa"/>
            <w:gridSpan w:val="3"/>
            <w:noWrap w:val="0"/>
            <w:vAlign w:val="center"/>
          </w:tcPr>
          <w:p w14:paraId="7C1EF8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229F234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65F5DDB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0C6AFA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3143C24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36C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6BBD5F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gridSpan w:val="3"/>
            <w:noWrap w:val="0"/>
            <w:vAlign w:val="center"/>
          </w:tcPr>
          <w:p w14:paraId="210085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gridSpan w:val="4"/>
            <w:noWrap w:val="0"/>
            <w:vAlign w:val="center"/>
          </w:tcPr>
          <w:p w14:paraId="69BD3F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gridSpan w:val="3"/>
            <w:noWrap w:val="0"/>
            <w:vAlign w:val="center"/>
          </w:tcPr>
          <w:p w14:paraId="1D7CDDE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gridSpan w:val="4"/>
            <w:noWrap w:val="0"/>
            <w:vAlign w:val="center"/>
          </w:tcPr>
          <w:p w14:paraId="591187F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gridSpan w:val="3"/>
            <w:noWrap w:val="0"/>
            <w:vAlign w:val="center"/>
          </w:tcPr>
          <w:p w14:paraId="634AA7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2C340EC0">
      <w:pPr>
        <w:spacing w:line="360" w:lineRule="auto"/>
        <w:rPr>
          <w:color w:val="auto"/>
          <w:highlight w:val="none"/>
        </w:rPr>
      </w:pPr>
    </w:p>
    <w:p w14:paraId="2BEF5B15">
      <w:pPr>
        <w:spacing w:line="360" w:lineRule="auto"/>
        <w:rPr>
          <w:rFonts w:eastAsia="楷体_GB2312"/>
          <w:color w:val="auto"/>
          <w:highlight w:val="none"/>
        </w:rPr>
      </w:pPr>
      <w:r>
        <w:rPr>
          <w:rFonts w:hint="eastAsia" w:eastAsia="楷体_GB2312" w:cs="楷体_GB2312"/>
          <w:color w:val="auto"/>
          <w:highlight w:val="none"/>
        </w:rPr>
        <w:t>备注：</w:t>
      </w:r>
    </w:p>
    <w:p w14:paraId="720868C9">
      <w:pPr>
        <w:spacing w:line="360" w:lineRule="auto"/>
        <w:ind w:firstLine="420" w:firstLineChars="200"/>
        <w:rPr>
          <w:rFonts w:eastAsia="楷体_GB2312" w:cs="楷体_GB2312"/>
          <w:color w:val="auto"/>
          <w:highlight w:val="none"/>
        </w:rPr>
      </w:pPr>
      <w:r>
        <w:rPr>
          <w:rFonts w:hint="eastAsia" w:eastAsia="楷体_GB2312"/>
          <w:color w:val="auto"/>
          <w:highlight w:val="none"/>
          <w:lang w:eastAsia="zh-CN"/>
        </w:rPr>
        <w:t>1.</w:t>
      </w:r>
      <w:r>
        <w:rPr>
          <w:rFonts w:hint="eastAsia" w:eastAsia="楷体_GB2312"/>
          <w:color w:val="auto"/>
          <w:highlight w:val="none"/>
        </w:rPr>
        <w:t>人员注册证书信息、安全生产考核合格证书、个人业绩的信息均需从</w:t>
      </w:r>
      <w:r>
        <w:rPr>
          <w:rFonts w:hint="eastAsia" w:eastAsia="楷体_GB2312"/>
          <w:color w:val="auto"/>
          <w:highlight w:val="none"/>
          <w:lang w:eastAsia="zh-CN"/>
        </w:rPr>
        <w:t>“</w:t>
      </w:r>
      <w:r>
        <w:rPr>
          <w:rFonts w:hint="eastAsia" w:eastAsia="楷体_GB2312"/>
          <w:color w:val="auto"/>
          <w:highlight w:val="none"/>
        </w:rPr>
        <w:t>桂建云</w:t>
      </w:r>
      <w:r>
        <w:rPr>
          <w:rFonts w:hint="eastAsia" w:eastAsia="楷体_GB2312"/>
          <w:color w:val="auto"/>
          <w:highlight w:val="none"/>
          <w:lang w:eastAsia="zh-CN"/>
        </w:rPr>
        <w:t>”</w:t>
      </w:r>
      <w:r>
        <w:rPr>
          <w:rFonts w:hint="eastAsia" w:eastAsia="楷体_GB2312"/>
          <w:color w:val="auto"/>
          <w:highlight w:val="none"/>
        </w:rPr>
        <w:t>读取，投标人不可修改，</w:t>
      </w:r>
      <w:r>
        <w:rPr>
          <w:rFonts w:hint="default" w:eastAsia="楷体_GB2312"/>
          <w:color w:val="auto"/>
          <w:highlight w:val="none"/>
        </w:rPr>
        <w:t>业绩不需要提供扫描件</w:t>
      </w:r>
      <w:r>
        <w:rPr>
          <w:rFonts w:hint="eastAsia" w:eastAsia="楷体_GB2312"/>
          <w:color w:val="auto"/>
          <w:highlight w:val="none"/>
          <w:lang w:eastAsia="zh-CN"/>
        </w:rPr>
        <w:t>，</w:t>
      </w:r>
      <w:r>
        <w:rPr>
          <w:rFonts w:hint="default" w:eastAsia="楷体_GB2312"/>
          <w:color w:val="auto"/>
          <w:highlight w:val="none"/>
        </w:rPr>
        <w:t>职称证</w:t>
      </w:r>
      <w:r>
        <w:rPr>
          <w:rFonts w:hint="eastAsia" w:eastAsia="楷体_GB2312"/>
          <w:color w:val="auto"/>
          <w:highlight w:val="none"/>
          <w:lang w:eastAsia="zh-CN"/>
        </w:rPr>
        <w:t>、</w:t>
      </w:r>
      <w:r>
        <w:rPr>
          <w:rFonts w:hint="eastAsia" w:eastAsia="楷体_GB2312"/>
          <w:color w:val="auto"/>
          <w:highlight w:val="none"/>
          <w:lang w:val="en-US" w:eastAsia="zh-CN"/>
        </w:rPr>
        <w:t>社保证明</w:t>
      </w:r>
      <w:r>
        <w:rPr>
          <w:rFonts w:hint="default" w:eastAsia="楷体_GB2312"/>
          <w:color w:val="auto"/>
          <w:highlight w:val="none"/>
        </w:rPr>
        <w:t>需提供扫描件</w:t>
      </w:r>
      <w:r>
        <w:rPr>
          <w:rFonts w:hint="eastAsia" w:eastAsia="楷体_GB2312"/>
          <w:color w:val="auto"/>
          <w:highlight w:val="none"/>
          <w:lang w:eastAsia="zh-CN"/>
        </w:rPr>
        <w:t>。</w:t>
      </w:r>
      <w:r>
        <w:rPr>
          <w:rFonts w:hint="eastAsia" w:eastAsia="楷体_GB2312"/>
          <w:color w:val="auto"/>
          <w:highlight w:val="none"/>
        </w:rPr>
        <w:t>投标人以上信息未通过</w:t>
      </w:r>
      <w:r>
        <w:rPr>
          <w:rFonts w:hint="eastAsia" w:eastAsia="楷体_GB2312"/>
          <w:color w:val="auto"/>
          <w:highlight w:val="none"/>
          <w:lang w:eastAsia="zh-CN"/>
        </w:rPr>
        <w:t>“</w:t>
      </w:r>
      <w:r>
        <w:rPr>
          <w:rFonts w:hint="eastAsia" w:eastAsia="楷体_GB2312"/>
          <w:color w:val="auto"/>
          <w:highlight w:val="none"/>
        </w:rPr>
        <w:t>桂建云</w:t>
      </w:r>
      <w:r>
        <w:rPr>
          <w:rFonts w:hint="eastAsia" w:eastAsia="楷体_GB2312"/>
          <w:color w:val="auto"/>
          <w:highlight w:val="none"/>
          <w:lang w:eastAsia="zh-CN"/>
        </w:rPr>
        <w:t>”</w:t>
      </w:r>
      <w:r>
        <w:rPr>
          <w:rFonts w:hint="eastAsia" w:eastAsia="楷体_GB2312"/>
          <w:color w:val="auto"/>
          <w:highlight w:val="none"/>
        </w:rPr>
        <w:t>读取的，在评审时不予承认。</w:t>
      </w:r>
    </w:p>
    <w:p w14:paraId="23DB6202">
      <w:pPr>
        <w:spacing w:line="360" w:lineRule="auto"/>
        <w:ind w:firstLine="420" w:firstLineChars="200"/>
        <w:rPr>
          <w:rFonts w:eastAsia="楷体_GB2312"/>
          <w:color w:val="auto"/>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招标人可以根据项目情况增减表格内容，项目数投标人可以根据需要增加。</w:t>
      </w:r>
    </w:p>
    <w:p w14:paraId="713D2471">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29D1224D">
      <w:pPr>
        <w:spacing w:line="360" w:lineRule="auto"/>
        <w:ind w:firstLine="420" w:firstLineChars="200"/>
        <w:rPr>
          <w:rFonts w:hint="eastAsia" w:eastAsia="楷体_GB2312"/>
          <w:color w:val="auto"/>
          <w:highlight w:val="none"/>
        </w:rPr>
      </w:pPr>
    </w:p>
    <w:p w14:paraId="174F5AC2">
      <w:pPr>
        <w:spacing w:line="360" w:lineRule="auto"/>
        <w:ind w:firstLine="420" w:firstLineChars="200"/>
        <w:rPr>
          <w:rFonts w:hint="eastAsia" w:eastAsia="楷体_GB2312"/>
          <w:color w:val="auto"/>
          <w:highlight w:val="none"/>
        </w:rPr>
      </w:pPr>
    </w:p>
    <w:p w14:paraId="65019684">
      <w:pPr>
        <w:spacing w:line="360" w:lineRule="auto"/>
        <w:ind w:firstLine="420" w:firstLineChars="200"/>
        <w:rPr>
          <w:rFonts w:hint="eastAsia" w:eastAsia="楷体_GB2312"/>
          <w:color w:val="auto"/>
          <w:highlight w:val="none"/>
        </w:rPr>
      </w:pPr>
    </w:p>
    <w:p w14:paraId="09F5580E">
      <w:pPr>
        <w:spacing w:line="360" w:lineRule="auto"/>
        <w:ind w:firstLine="420" w:firstLineChars="200"/>
        <w:rPr>
          <w:rFonts w:hint="eastAsia" w:eastAsia="楷体_GB2312"/>
          <w:color w:val="auto"/>
          <w:highlight w:val="none"/>
        </w:rPr>
      </w:pPr>
    </w:p>
    <w:p w14:paraId="35BA16E5">
      <w:pPr>
        <w:spacing w:line="360" w:lineRule="auto"/>
        <w:ind w:firstLine="420" w:firstLineChars="200"/>
        <w:rPr>
          <w:rFonts w:hint="eastAsia" w:eastAsia="楷体_GB2312"/>
          <w:color w:val="auto"/>
          <w:highlight w:val="none"/>
        </w:rPr>
      </w:pPr>
    </w:p>
    <w:p w14:paraId="6095EC2A">
      <w:pPr>
        <w:spacing w:line="360" w:lineRule="auto"/>
        <w:ind w:firstLine="420" w:firstLineChars="200"/>
        <w:rPr>
          <w:rFonts w:hint="eastAsia" w:eastAsia="楷体_GB2312"/>
          <w:color w:val="auto"/>
          <w:highlight w:val="none"/>
        </w:rPr>
      </w:pPr>
    </w:p>
    <w:p w14:paraId="70D00EED">
      <w:pPr>
        <w:pStyle w:val="136"/>
        <w:spacing w:line="360" w:lineRule="auto"/>
        <w:jc w:val="left"/>
        <w:outlineLvl w:val="0"/>
        <w:rPr>
          <w:rFonts w:cs="宋体"/>
          <w:b/>
          <w:bCs/>
          <w:color w:val="auto"/>
          <w:sz w:val="28"/>
          <w:szCs w:val="28"/>
          <w:highlight w:val="none"/>
        </w:rPr>
      </w:pPr>
      <w:r>
        <w:rPr>
          <w:rFonts w:hint="eastAsia" w:cs="宋体"/>
          <w:b/>
          <w:bCs/>
          <w:color w:val="auto"/>
          <w:sz w:val="28"/>
          <w:szCs w:val="28"/>
          <w:highlight w:val="none"/>
          <w:lang w:val="en-US" w:eastAsia="zh-CN"/>
        </w:rPr>
        <w:t>9.</w:t>
      </w:r>
      <w:r>
        <w:rPr>
          <w:rFonts w:hint="eastAsia" w:cs="宋体"/>
          <w:b/>
          <w:bCs/>
          <w:color w:val="auto"/>
          <w:sz w:val="28"/>
          <w:szCs w:val="28"/>
          <w:highlight w:val="none"/>
        </w:rPr>
        <w:t>项目管理机构配备情况表</w:t>
      </w:r>
    </w:p>
    <w:p w14:paraId="077215FB">
      <w:pPr>
        <w:jc w:val="center"/>
        <w:rPr>
          <w:rFonts w:ascii="宋体" w:hAnsi="宋体"/>
          <w:b/>
          <w:color w:val="auto"/>
          <w:sz w:val="28"/>
          <w:szCs w:val="28"/>
          <w:highlight w:val="none"/>
        </w:rPr>
      </w:pPr>
      <w:r>
        <w:rPr>
          <w:rFonts w:hint="eastAsia" w:ascii="宋体" w:hAnsi="宋体"/>
          <w:b/>
          <w:color w:val="auto"/>
          <w:sz w:val="28"/>
          <w:szCs w:val="28"/>
          <w:highlight w:val="none"/>
        </w:rPr>
        <w:t>项目</w:t>
      </w:r>
      <w:r>
        <w:rPr>
          <w:rFonts w:ascii="宋体" w:hAnsi="宋体"/>
          <w:b/>
          <w:color w:val="auto"/>
          <w:sz w:val="28"/>
          <w:szCs w:val="28"/>
          <w:highlight w:val="none"/>
        </w:rPr>
        <w:t>管理机构配备情况表</w:t>
      </w:r>
    </w:p>
    <w:p w14:paraId="4BE26C98">
      <w:pPr>
        <w:jc w:val="center"/>
        <w:rPr>
          <w:rFonts w:hint="eastAsia" w:ascii="宋体" w:hAnsi="宋体"/>
          <w:b/>
          <w:color w:val="auto"/>
          <w:highlight w:val="none"/>
        </w:rPr>
      </w:pPr>
      <w:r>
        <w:rPr>
          <w:rFonts w:hint="eastAsia" w:ascii="宋体" w:hAnsi="宋体"/>
          <w:b/>
          <w:color w:val="auto"/>
          <w:highlight w:val="none"/>
          <w:lang w:eastAsia="zh-CN"/>
        </w:rPr>
        <w:t>（</w:t>
      </w:r>
      <w:r>
        <w:rPr>
          <w:rFonts w:hint="eastAsia" w:ascii="宋体" w:hAnsi="宋体"/>
          <w:b/>
          <w:color w:val="auto"/>
          <w:highlight w:val="none"/>
        </w:rPr>
        <w:t>含项目经理、技术负责人、专职安全生产管理人员和主要管理人员情况</w:t>
      </w:r>
      <w:r>
        <w:rPr>
          <w:rFonts w:hint="eastAsia" w:ascii="宋体" w:hAnsi="宋体"/>
          <w:b/>
          <w:color w:val="auto"/>
          <w:highlight w:val="none"/>
          <w:lang w:eastAsia="zh-CN"/>
        </w:rPr>
        <w:t>）</w:t>
      </w:r>
    </w:p>
    <w:p w14:paraId="6467398C">
      <w:pPr>
        <w:pStyle w:val="137"/>
        <w:rPr>
          <w:color w:val="auto"/>
          <w:highlight w:val="none"/>
        </w:rPr>
      </w:pPr>
      <w:r>
        <w:rPr>
          <w:color w:val="auto"/>
          <w:highlight w:val="none"/>
          <w:u w:val="single"/>
        </w:rPr>
        <w:t xml:space="preserve">       </w:t>
      </w:r>
      <w:r>
        <w:rPr>
          <w:rFonts w:hint="eastAsia"/>
          <w:color w:val="auto"/>
          <w:highlight w:val="none"/>
          <w:u w:val="single"/>
          <w:lang w:eastAsia="zh-CN"/>
        </w:rPr>
        <w:t>广西警察学院长湖校区3号学员公寓楼改造工程（重）</w:t>
      </w:r>
      <w:r>
        <w:rPr>
          <w:color w:val="auto"/>
          <w:highlight w:val="none"/>
          <w:u w:val="single"/>
        </w:rPr>
        <w:t xml:space="preserve">     </w:t>
      </w:r>
      <w:r>
        <w:rPr>
          <w:color w:val="auto"/>
          <w:highlight w:val="none"/>
        </w:rPr>
        <w:t xml:space="preserve"> 工程</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95"/>
        <w:gridCol w:w="833"/>
        <w:gridCol w:w="767"/>
        <w:gridCol w:w="731"/>
        <w:gridCol w:w="788"/>
        <w:gridCol w:w="687"/>
        <w:gridCol w:w="800"/>
        <w:gridCol w:w="550"/>
        <w:gridCol w:w="1002"/>
        <w:gridCol w:w="1266"/>
        <w:gridCol w:w="850"/>
      </w:tblGrid>
      <w:tr w14:paraId="7900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761" w:type="dxa"/>
            <w:vMerge w:val="restart"/>
            <w:noWrap w:val="0"/>
            <w:vAlign w:val="center"/>
          </w:tcPr>
          <w:p w14:paraId="4B7AE1C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岗位</w:t>
            </w:r>
          </w:p>
        </w:tc>
        <w:tc>
          <w:tcPr>
            <w:tcW w:w="695" w:type="dxa"/>
            <w:vMerge w:val="restart"/>
            <w:noWrap w:val="0"/>
            <w:vAlign w:val="center"/>
          </w:tcPr>
          <w:p w14:paraId="56AA202A">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姓名</w:t>
            </w:r>
          </w:p>
        </w:tc>
        <w:tc>
          <w:tcPr>
            <w:tcW w:w="833" w:type="dxa"/>
            <w:vMerge w:val="restart"/>
            <w:noWrap w:val="0"/>
            <w:vAlign w:val="center"/>
          </w:tcPr>
          <w:p w14:paraId="2157EB4F">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身份证号</w:t>
            </w:r>
          </w:p>
        </w:tc>
        <w:tc>
          <w:tcPr>
            <w:tcW w:w="767" w:type="dxa"/>
            <w:vMerge w:val="restart"/>
            <w:noWrap w:val="0"/>
            <w:vAlign w:val="center"/>
          </w:tcPr>
          <w:p w14:paraId="3E8F11BC">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职称</w:t>
            </w:r>
          </w:p>
        </w:tc>
        <w:tc>
          <w:tcPr>
            <w:tcW w:w="3556" w:type="dxa"/>
            <w:gridSpan w:val="5"/>
            <w:noWrap w:val="0"/>
            <w:vAlign w:val="center"/>
          </w:tcPr>
          <w:p w14:paraId="704D9BC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执业或职业资格</w:t>
            </w:r>
          </w:p>
        </w:tc>
        <w:tc>
          <w:tcPr>
            <w:tcW w:w="2268" w:type="dxa"/>
            <w:gridSpan w:val="2"/>
            <w:noWrap w:val="0"/>
            <w:vAlign w:val="center"/>
          </w:tcPr>
          <w:p w14:paraId="3E042D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承担完工</w:t>
            </w:r>
            <w:r>
              <w:rPr>
                <w:rFonts w:hint="eastAsia" w:ascii="Calibri" w:hAnsi="Calibri" w:eastAsia="宋体" w:cs="Times New Roman"/>
                <w:color w:val="auto"/>
                <w:highlight w:val="none"/>
              </w:rPr>
              <w:t>、</w:t>
            </w:r>
            <w:r>
              <w:rPr>
                <w:rFonts w:hint="default" w:ascii="Calibri" w:hAnsi="Calibri" w:eastAsia="宋体" w:cs="Times New Roman"/>
                <w:color w:val="auto"/>
                <w:highlight w:val="none"/>
              </w:rPr>
              <w:t>在建工程情况</w:t>
            </w:r>
          </w:p>
        </w:tc>
        <w:tc>
          <w:tcPr>
            <w:tcW w:w="850" w:type="dxa"/>
            <w:vMerge w:val="restart"/>
            <w:noWrap w:val="0"/>
            <w:vAlign w:val="top"/>
          </w:tcPr>
          <w:p w14:paraId="379957F6">
            <w:pPr>
              <w:keepNext w:val="0"/>
              <w:keepLines w:val="0"/>
              <w:suppressLineNumbers w:val="0"/>
              <w:spacing w:before="0" w:beforeAutospacing="0" w:after="0" w:afterAutospacing="0"/>
              <w:ind w:left="0" w:right="0"/>
              <w:jc w:val="left"/>
              <w:rPr>
                <w:rFonts w:hint="default" w:ascii="Calibri" w:hAnsi="Calibri" w:eastAsia="宋体" w:cs="Times New Roman"/>
                <w:color w:val="auto"/>
                <w:highlight w:val="none"/>
              </w:rPr>
            </w:pPr>
            <w:r>
              <w:rPr>
                <w:rFonts w:hint="eastAsia" w:ascii="Calibri" w:hAnsi="Calibri" w:eastAsia="宋体" w:cs="Times New Roman"/>
                <w:color w:val="auto"/>
                <w:highlight w:val="none"/>
              </w:rPr>
              <w:t>社保所附证明材料索引号</w:t>
            </w:r>
          </w:p>
        </w:tc>
      </w:tr>
      <w:tr w14:paraId="0B96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761" w:type="dxa"/>
            <w:vMerge w:val="restart"/>
            <w:noWrap w:val="0"/>
            <w:vAlign w:val="center"/>
          </w:tcPr>
          <w:p w14:paraId="27214D8E">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95" w:type="dxa"/>
            <w:vMerge w:val="restart"/>
            <w:noWrap w:val="0"/>
            <w:vAlign w:val="center"/>
          </w:tcPr>
          <w:p w14:paraId="6F600A3A">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33" w:type="dxa"/>
            <w:vMerge w:val="restart"/>
            <w:noWrap w:val="0"/>
            <w:vAlign w:val="center"/>
          </w:tcPr>
          <w:p w14:paraId="2E504BC3">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67" w:type="dxa"/>
            <w:vMerge w:val="restart"/>
            <w:noWrap w:val="0"/>
            <w:vAlign w:val="center"/>
          </w:tcPr>
          <w:p w14:paraId="19AEA22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31" w:type="dxa"/>
            <w:noWrap w:val="0"/>
            <w:vAlign w:val="center"/>
          </w:tcPr>
          <w:p w14:paraId="533936F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证书名称</w:t>
            </w:r>
          </w:p>
        </w:tc>
        <w:tc>
          <w:tcPr>
            <w:tcW w:w="788" w:type="dxa"/>
            <w:noWrap w:val="0"/>
            <w:vAlign w:val="center"/>
          </w:tcPr>
          <w:p w14:paraId="1F204CAA">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级别</w:t>
            </w:r>
          </w:p>
        </w:tc>
        <w:tc>
          <w:tcPr>
            <w:tcW w:w="687" w:type="dxa"/>
            <w:noWrap w:val="0"/>
            <w:vAlign w:val="center"/>
          </w:tcPr>
          <w:p w14:paraId="7BFC655C">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证号</w:t>
            </w:r>
          </w:p>
        </w:tc>
        <w:tc>
          <w:tcPr>
            <w:tcW w:w="800" w:type="dxa"/>
            <w:noWrap w:val="0"/>
            <w:vAlign w:val="center"/>
          </w:tcPr>
          <w:p w14:paraId="5B3C0C91">
            <w:pPr>
              <w:keepNext w:val="0"/>
              <w:keepLines w:val="0"/>
              <w:suppressLineNumbers w:val="0"/>
              <w:spacing w:before="0" w:beforeAutospacing="0" w:after="0" w:afterAutospacing="0"/>
              <w:ind w:left="223" w:right="0" w:hanging="222" w:hangingChars="106"/>
              <w:jc w:val="center"/>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lang w:eastAsia="zh-CN"/>
              </w:rPr>
              <w:t>证书有效期</w:t>
            </w:r>
          </w:p>
        </w:tc>
        <w:tc>
          <w:tcPr>
            <w:tcW w:w="550" w:type="dxa"/>
            <w:noWrap w:val="0"/>
            <w:vAlign w:val="center"/>
          </w:tcPr>
          <w:p w14:paraId="58108F9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专业</w:t>
            </w:r>
          </w:p>
        </w:tc>
        <w:tc>
          <w:tcPr>
            <w:tcW w:w="1002" w:type="dxa"/>
            <w:noWrap w:val="0"/>
            <w:vAlign w:val="center"/>
          </w:tcPr>
          <w:p w14:paraId="73368F4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完工/在建</w:t>
            </w:r>
          </w:p>
        </w:tc>
        <w:tc>
          <w:tcPr>
            <w:tcW w:w="1266" w:type="dxa"/>
            <w:noWrap w:val="0"/>
            <w:vAlign w:val="center"/>
          </w:tcPr>
          <w:p w14:paraId="5A21BEB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主要项目</w:t>
            </w:r>
          </w:p>
          <w:p w14:paraId="0860B5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名称</w:t>
            </w:r>
          </w:p>
        </w:tc>
        <w:tc>
          <w:tcPr>
            <w:tcW w:w="850" w:type="dxa"/>
            <w:vMerge w:val="restart"/>
            <w:noWrap w:val="0"/>
            <w:vAlign w:val="top"/>
          </w:tcPr>
          <w:p w14:paraId="31F3DD6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838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5B6354B7">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95" w:type="dxa"/>
            <w:noWrap w:val="0"/>
            <w:vAlign w:val="center"/>
          </w:tcPr>
          <w:p w14:paraId="76D95CA2">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33" w:type="dxa"/>
            <w:noWrap w:val="0"/>
            <w:vAlign w:val="center"/>
          </w:tcPr>
          <w:p w14:paraId="13CDB86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67" w:type="dxa"/>
            <w:noWrap w:val="0"/>
            <w:vAlign w:val="center"/>
          </w:tcPr>
          <w:p w14:paraId="4530C884">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31" w:type="dxa"/>
            <w:noWrap w:val="0"/>
            <w:vAlign w:val="center"/>
          </w:tcPr>
          <w:p w14:paraId="1516AE84">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88" w:type="dxa"/>
            <w:noWrap w:val="0"/>
            <w:vAlign w:val="center"/>
          </w:tcPr>
          <w:p w14:paraId="6DFFB20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87" w:type="dxa"/>
            <w:noWrap w:val="0"/>
            <w:vAlign w:val="center"/>
          </w:tcPr>
          <w:p w14:paraId="7041575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00" w:type="dxa"/>
            <w:noWrap w:val="0"/>
            <w:vAlign w:val="center"/>
          </w:tcPr>
          <w:p w14:paraId="4196CA42">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550" w:type="dxa"/>
            <w:noWrap w:val="0"/>
            <w:vAlign w:val="center"/>
          </w:tcPr>
          <w:p w14:paraId="382A0594">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02" w:type="dxa"/>
            <w:noWrap w:val="0"/>
            <w:vAlign w:val="center"/>
          </w:tcPr>
          <w:p w14:paraId="178DA13D">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266" w:type="dxa"/>
            <w:noWrap w:val="0"/>
            <w:vAlign w:val="center"/>
          </w:tcPr>
          <w:p w14:paraId="03EEB91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50" w:type="dxa"/>
            <w:noWrap w:val="0"/>
            <w:vAlign w:val="top"/>
          </w:tcPr>
          <w:p w14:paraId="39A007D2">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r>
      <w:tr w14:paraId="166A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3FA10BC7">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95" w:type="dxa"/>
            <w:noWrap w:val="0"/>
            <w:vAlign w:val="center"/>
          </w:tcPr>
          <w:p w14:paraId="5125D4A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33" w:type="dxa"/>
            <w:noWrap w:val="0"/>
            <w:vAlign w:val="center"/>
          </w:tcPr>
          <w:p w14:paraId="50F2FE3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67" w:type="dxa"/>
            <w:noWrap w:val="0"/>
            <w:vAlign w:val="center"/>
          </w:tcPr>
          <w:p w14:paraId="343F242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31" w:type="dxa"/>
            <w:noWrap w:val="0"/>
            <w:vAlign w:val="center"/>
          </w:tcPr>
          <w:p w14:paraId="73E1EBDC">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88" w:type="dxa"/>
            <w:noWrap w:val="0"/>
            <w:vAlign w:val="center"/>
          </w:tcPr>
          <w:p w14:paraId="31446041">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87" w:type="dxa"/>
            <w:noWrap w:val="0"/>
            <w:vAlign w:val="center"/>
          </w:tcPr>
          <w:p w14:paraId="1DCF3B73">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00" w:type="dxa"/>
            <w:noWrap w:val="0"/>
            <w:vAlign w:val="center"/>
          </w:tcPr>
          <w:p w14:paraId="143DC3A5">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550" w:type="dxa"/>
            <w:noWrap w:val="0"/>
            <w:vAlign w:val="center"/>
          </w:tcPr>
          <w:p w14:paraId="53B2176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02" w:type="dxa"/>
            <w:noWrap w:val="0"/>
            <w:vAlign w:val="center"/>
          </w:tcPr>
          <w:p w14:paraId="5EEE470C">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266" w:type="dxa"/>
            <w:noWrap w:val="0"/>
            <w:vAlign w:val="center"/>
          </w:tcPr>
          <w:p w14:paraId="0425D8F5">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50" w:type="dxa"/>
            <w:noWrap w:val="0"/>
            <w:vAlign w:val="top"/>
          </w:tcPr>
          <w:p w14:paraId="3E79CA6D">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r>
      <w:tr w14:paraId="385D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7BFEC624">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95" w:type="dxa"/>
            <w:noWrap w:val="0"/>
            <w:vAlign w:val="center"/>
          </w:tcPr>
          <w:p w14:paraId="4E4BE0C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33" w:type="dxa"/>
            <w:noWrap w:val="0"/>
            <w:vAlign w:val="center"/>
          </w:tcPr>
          <w:p w14:paraId="72EB39ED">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67" w:type="dxa"/>
            <w:noWrap w:val="0"/>
            <w:vAlign w:val="center"/>
          </w:tcPr>
          <w:p w14:paraId="1D2D4E75">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31" w:type="dxa"/>
            <w:noWrap w:val="0"/>
            <w:vAlign w:val="center"/>
          </w:tcPr>
          <w:p w14:paraId="637F9C67">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88" w:type="dxa"/>
            <w:noWrap w:val="0"/>
            <w:vAlign w:val="center"/>
          </w:tcPr>
          <w:p w14:paraId="46611B9F">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87" w:type="dxa"/>
            <w:noWrap w:val="0"/>
            <w:vAlign w:val="center"/>
          </w:tcPr>
          <w:p w14:paraId="0F20AD46">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00" w:type="dxa"/>
            <w:noWrap w:val="0"/>
            <w:vAlign w:val="center"/>
          </w:tcPr>
          <w:p w14:paraId="19FB8A5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550" w:type="dxa"/>
            <w:noWrap w:val="0"/>
            <w:vAlign w:val="center"/>
          </w:tcPr>
          <w:p w14:paraId="53015D73">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02" w:type="dxa"/>
            <w:noWrap w:val="0"/>
            <w:vAlign w:val="center"/>
          </w:tcPr>
          <w:p w14:paraId="796DB655">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266" w:type="dxa"/>
            <w:noWrap w:val="0"/>
            <w:vAlign w:val="center"/>
          </w:tcPr>
          <w:p w14:paraId="45A4A043">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50" w:type="dxa"/>
            <w:noWrap w:val="0"/>
            <w:vAlign w:val="top"/>
          </w:tcPr>
          <w:p w14:paraId="10DA901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r>
      <w:tr w14:paraId="1902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2E2F1EF0">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95" w:type="dxa"/>
            <w:noWrap w:val="0"/>
            <w:vAlign w:val="center"/>
          </w:tcPr>
          <w:p w14:paraId="7AD0D8E9">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33" w:type="dxa"/>
            <w:noWrap w:val="0"/>
            <w:vAlign w:val="center"/>
          </w:tcPr>
          <w:p w14:paraId="3BA2393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67" w:type="dxa"/>
            <w:noWrap w:val="0"/>
            <w:vAlign w:val="center"/>
          </w:tcPr>
          <w:p w14:paraId="367E7A3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31" w:type="dxa"/>
            <w:noWrap w:val="0"/>
            <w:vAlign w:val="center"/>
          </w:tcPr>
          <w:p w14:paraId="0CB23D94">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788" w:type="dxa"/>
            <w:noWrap w:val="0"/>
            <w:vAlign w:val="center"/>
          </w:tcPr>
          <w:p w14:paraId="173AA11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687" w:type="dxa"/>
            <w:noWrap w:val="0"/>
            <w:vAlign w:val="center"/>
          </w:tcPr>
          <w:p w14:paraId="7A3F60E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00" w:type="dxa"/>
            <w:noWrap w:val="0"/>
            <w:vAlign w:val="center"/>
          </w:tcPr>
          <w:p w14:paraId="32F4F458">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550" w:type="dxa"/>
            <w:noWrap w:val="0"/>
            <w:vAlign w:val="center"/>
          </w:tcPr>
          <w:p w14:paraId="247B785D">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002" w:type="dxa"/>
            <w:noWrap w:val="0"/>
            <w:vAlign w:val="center"/>
          </w:tcPr>
          <w:p w14:paraId="33562BD2">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1266" w:type="dxa"/>
            <w:noWrap w:val="0"/>
            <w:vAlign w:val="center"/>
          </w:tcPr>
          <w:p w14:paraId="1A5DF09B">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c>
          <w:tcPr>
            <w:tcW w:w="850" w:type="dxa"/>
            <w:noWrap w:val="0"/>
            <w:vAlign w:val="top"/>
          </w:tcPr>
          <w:p w14:paraId="5CF2640F">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p>
        </w:tc>
      </w:tr>
      <w:tr w14:paraId="7772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730" w:type="dxa"/>
            <w:gridSpan w:val="12"/>
            <w:noWrap w:val="0"/>
            <w:vAlign w:val="center"/>
          </w:tcPr>
          <w:p w14:paraId="44997C14">
            <w:pPr>
              <w:keepNext w:val="0"/>
              <w:keepLines w:val="0"/>
              <w:suppressLineNumbers w:val="0"/>
              <w:spacing w:before="0" w:beforeAutospacing="0" w:after="0" w:afterAutospacing="0"/>
              <w:ind w:left="223" w:right="0" w:hanging="222" w:hangingChars="106"/>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一旦我单位中标，将实行项目经理负责制，我方保证并配备上述项目管理机构。上述填报内容真实，若不真实，愿按有关规定接受处理。项目管理班子机构设置、职责分工等情况另附资料说明。</w:t>
            </w:r>
          </w:p>
        </w:tc>
      </w:tr>
    </w:tbl>
    <w:p w14:paraId="7912E6FA">
      <w:pPr>
        <w:spacing w:line="360" w:lineRule="auto"/>
        <w:rPr>
          <w:rFonts w:eastAsia="楷体_GB2312"/>
          <w:color w:val="auto"/>
          <w:highlight w:val="none"/>
        </w:rPr>
      </w:pPr>
      <w:r>
        <w:rPr>
          <w:rFonts w:hint="eastAsia" w:eastAsia="楷体_GB2312" w:cs="楷体_GB2312"/>
          <w:color w:val="auto"/>
          <w:highlight w:val="none"/>
        </w:rPr>
        <w:t>备注：</w:t>
      </w:r>
    </w:p>
    <w:p w14:paraId="02B4FC08">
      <w:pPr>
        <w:numPr>
          <w:ilvl w:val="0"/>
          <w:numId w:val="8"/>
        </w:numPr>
        <w:spacing w:line="360" w:lineRule="auto"/>
        <w:ind w:firstLine="420" w:firstLineChars="200"/>
        <w:rPr>
          <w:rFonts w:hint="eastAsia" w:eastAsia="楷体_GB2312" w:cs="楷体_GB2312"/>
          <w:color w:val="auto"/>
          <w:highlight w:val="none"/>
        </w:rPr>
      </w:pPr>
      <w:r>
        <w:rPr>
          <w:rFonts w:hint="eastAsia" w:ascii="Times New Roman" w:hAnsi="Times New Roman" w:eastAsia="楷体_GB2312" w:cs="楷体_GB2312"/>
          <w:color w:val="auto"/>
          <w:highlight w:val="none"/>
          <w:lang w:val="en-US" w:eastAsia="zh-CN"/>
        </w:rPr>
        <w:t>提供</w:t>
      </w:r>
      <w:r>
        <w:rPr>
          <w:rFonts w:hint="eastAsia" w:ascii="Times New Roman" w:hAnsi="Times New Roman" w:eastAsia="楷体_GB2312" w:cs="楷体_GB2312"/>
          <w:color w:val="auto"/>
          <w:highlight w:val="none"/>
        </w:rPr>
        <w:t>投标截止时间前3个月内任意1个月（投标截止时间所在月份不计）</w:t>
      </w:r>
      <w:r>
        <w:rPr>
          <w:rFonts w:hint="eastAsia" w:eastAsia="楷体_GB2312" w:cs="楷体_GB2312"/>
          <w:color w:val="auto"/>
          <w:highlight w:val="none"/>
        </w:rPr>
        <w:t>在</w:t>
      </w:r>
      <w:r>
        <w:rPr>
          <w:rFonts w:hint="eastAsia" w:eastAsia="楷体_GB2312" w:cs="楷体_GB2312"/>
          <w:color w:val="auto"/>
          <w:highlight w:val="none"/>
          <w:lang w:eastAsia="zh-CN"/>
        </w:rPr>
        <w:t>现任职单位</w:t>
      </w:r>
      <w:r>
        <w:rPr>
          <w:rFonts w:hint="eastAsia" w:eastAsia="楷体_GB2312" w:cs="楷体_GB2312"/>
          <w:color w:val="auto"/>
          <w:highlight w:val="none"/>
        </w:rPr>
        <w:t>依法缴纳社会保险的证明材料的扫描件（社保证明材料应清晰显示单位名称）（已退休未满65岁的项目经理不用提供社保，但应附退休证明文件的扫描件，且建造师等注册证书注册单位与投标单位一致）并与</w:t>
      </w:r>
      <w:r>
        <w:rPr>
          <w:rFonts w:hint="eastAsia" w:eastAsia="楷体_GB2312" w:cs="楷体_GB2312"/>
          <w:color w:val="auto"/>
          <w:highlight w:val="none"/>
          <w:lang w:eastAsia="zh-CN"/>
        </w:rPr>
        <w:t>“</w:t>
      </w:r>
      <w:r>
        <w:rPr>
          <w:rFonts w:hint="eastAsia" w:eastAsia="楷体_GB2312" w:cs="楷体_GB2312"/>
          <w:color w:val="auto"/>
          <w:highlight w:val="none"/>
        </w:rPr>
        <w:t>桂建云</w:t>
      </w:r>
      <w:r>
        <w:rPr>
          <w:rFonts w:hint="eastAsia" w:eastAsia="楷体_GB2312" w:cs="楷体_GB2312"/>
          <w:color w:val="auto"/>
          <w:highlight w:val="none"/>
          <w:lang w:eastAsia="zh-CN"/>
        </w:rPr>
        <w:t>”</w:t>
      </w:r>
      <w:r>
        <w:rPr>
          <w:rFonts w:hint="eastAsia" w:eastAsia="楷体_GB2312" w:cs="楷体_GB2312"/>
          <w:color w:val="auto"/>
          <w:highlight w:val="none"/>
        </w:rPr>
        <w:t>的信息相符，</w:t>
      </w:r>
      <w:r>
        <w:rPr>
          <w:rFonts w:eastAsia="楷体_GB2312" w:cs="楷体_GB2312"/>
          <w:color w:val="auto"/>
          <w:highlight w:val="none"/>
        </w:rPr>
        <w:t>否则</w:t>
      </w:r>
      <w:r>
        <w:rPr>
          <w:rFonts w:hint="eastAsia" w:eastAsia="楷体_GB2312" w:cs="楷体_GB2312"/>
          <w:color w:val="auto"/>
          <w:highlight w:val="none"/>
        </w:rPr>
        <w:t>评审时不予承认。</w:t>
      </w:r>
    </w:p>
    <w:p w14:paraId="412BB301">
      <w:pPr>
        <w:numPr>
          <w:ilvl w:val="0"/>
          <w:numId w:val="8"/>
        </w:numPr>
        <w:spacing w:line="360" w:lineRule="auto"/>
        <w:ind w:firstLine="420" w:firstLineChars="200"/>
        <w:rPr>
          <w:rFonts w:hint="eastAsia" w:eastAsia="楷体_GB2312" w:cs="楷体_GB2312"/>
          <w:color w:val="auto"/>
          <w:highlight w:val="none"/>
        </w:rPr>
      </w:pPr>
      <w:r>
        <w:rPr>
          <w:rFonts w:hint="eastAsia" w:ascii="Times New Roman" w:hAnsi="Times New Roman" w:eastAsia="楷体_GB2312" w:cs="楷体_GB2312"/>
          <w:b w:val="0"/>
          <w:color w:val="auto"/>
          <w:highlight w:val="none"/>
        </w:rPr>
        <w:t>专职投标员</w:t>
      </w:r>
      <w:r>
        <w:rPr>
          <w:rFonts w:hint="eastAsia" w:ascii="Times New Roman" w:hAnsi="Times New Roman" w:eastAsia="楷体_GB2312" w:cs="楷体_GB2312"/>
          <w:b w:val="0"/>
          <w:color w:val="auto"/>
          <w:highlight w:val="none"/>
          <w:lang w:eastAsia="zh-CN"/>
        </w:rPr>
        <w:t>只需要填写岗位、姓名、身份证号。</w:t>
      </w:r>
    </w:p>
    <w:p w14:paraId="3D7BF97E">
      <w:pPr>
        <w:pStyle w:val="136"/>
        <w:spacing w:line="360" w:lineRule="auto"/>
        <w:jc w:val="left"/>
        <w:outlineLvl w:val="0"/>
        <w:rPr>
          <w:rFonts w:cs="宋体"/>
          <w:b/>
          <w:bCs/>
          <w:color w:val="auto"/>
          <w:sz w:val="28"/>
          <w:szCs w:val="28"/>
          <w:highlight w:val="none"/>
        </w:rPr>
      </w:pPr>
      <w:r>
        <w:rPr>
          <w:rFonts w:hint="eastAsia" w:cs="宋体"/>
          <w:b/>
          <w:bCs/>
          <w:color w:val="auto"/>
          <w:sz w:val="28"/>
          <w:szCs w:val="28"/>
          <w:highlight w:val="none"/>
          <w:lang w:val="en-US" w:eastAsia="zh-CN"/>
        </w:rPr>
        <w:t>10.</w:t>
      </w:r>
      <w:r>
        <w:rPr>
          <w:rFonts w:hint="eastAsia" w:cs="宋体"/>
          <w:b/>
          <w:bCs/>
          <w:color w:val="auto"/>
          <w:sz w:val="28"/>
          <w:szCs w:val="28"/>
          <w:highlight w:val="none"/>
        </w:rPr>
        <w:t>资格审查需要的其他材料：拟投入施工机械设备情况表、企业</w:t>
      </w:r>
      <w:r>
        <w:rPr>
          <w:rFonts w:cs="宋体"/>
          <w:b/>
          <w:bCs/>
          <w:color w:val="auto"/>
          <w:sz w:val="28"/>
          <w:szCs w:val="28"/>
          <w:highlight w:val="none"/>
        </w:rPr>
        <w:t>___年___月至</w:t>
      </w:r>
      <w:r>
        <w:rPr>
          <w:rFonts w:hint="eastAsia" w:cs="宋体"/>
          <w:b/>
          <w:bCs/>
          <w:color w:val="auto"/>
          <w:sz w:val="28"/>
          <w:szCs w:val="28"/>
          <w:highlight w:val="none"/>
        </w:rPr>
        <w:t>投标截止日期止（一般为近</w:t>
      </w:r>
      <w:r>
        <w:rPr>
          <w:rFonts w:hint="eastAsia" w:cs="宋体"/>
          <w:b/>
          <w:bCs/>
          <w:color w:val="auto"/>
          <w:sz w:val="28"/>
          <w:szCs w:val="28"/>
          <w:highlight w:val="none"/>
          <w:lang w:val="en-US" w:eastAsia="zh-CN"/>
        </w:rPr>
        <w:t>3～5</w:t>
      </w:r>
      <w:r>
        <w:rPr>
          <w:rFonts w:hint="eastAsia" w:cs="宋体"/>
          <w:b/>
          <w:bCs/>
          <w:color w:val="auto"/>
          <w:sz w:val="28"/>
          <w:szCs w:val="28"/>
          <w:highlight w:val="none"/>
        </w:rPr>
        <w:t>年）已完成类似项目一览表（如有）、采用建筑模型（BIM）技术项目业绩（如有）、采用装配式建筑项目业绩（如有）、企业</w:t>
      </w:r>
      <w:r>
        <w:rPr>
          <w:rFonts w:cs="宋体"/>
          <w:b/>
          <w:bCs/>
          <w:color w:val="auto"/>
          <w:sz w:val="28"/>
          <w:szCs w:val="28"/>
          <w:highlight w:val="none"/>
        </w:rPr>
        <w:t>___年至___年</w:t>
      </w:r>
      <w:r>
        <w:rPr>
          <w:rFonts w:hint="eastAsia" w:cs="宋体"/>
          <w:b/>
          <w:bCs/>
          <w:color w:val="auto"/>
          <w:sz w:val="28"/>
          <w:szCs w:val="28"/>
          <w:highlight w:val="none"/>
        </w:rPr>
        <w:t>（一般为近</w:t>
      </w:r>
      <w:r>
        <w:rPr>
          <w:rFonts w:hint="eastAsia" w:cs="宋体"/>
          <w:b/>
          <w:bCs/>
          <w:color w:val="auto"/>
          <w:sz w:val="28"/>
          <w:szCs w:val="28"/>
          <w:highlight w:val="none"/>
          <w:lang w:val="en-US" w:eastAsia="zh-CN"/>
        </w:rPr>
        <w:t>3</w:t>
      </w:r>
      <w:r>
        <w:rPr>
          <w:rFonts w:hint="eastAsia" w:cs="宋体"/>
          <w:b/>
          <w:bCs/>
          <w:color w:val="auto"/>
          <w:sz w:val="28"/>
          <w:szCs w:val="28"/>
          <w:highlight w:val="none"/>
        </w:rPr>
        <w:t>年）财务状况表（</w:t>
      </w:r>
      <w:r>
        <w:rPr>
          <w:rFonts w:hint="eastAsia" w:cs="宋体"/>
          <w:b/>
          <w:bCs/>
          <w:color w:val="auto"/>
          <w:sz w:val="28"/>
          <w:szCs w:val="28"/>
          <w:highlight w:val="none"/>
          <w:lang w:eastAsia="zh-CN"/>
        </w:rPr>
        <w:t>联合体投标的联合体各方均须提供</w:t>
      </w:r>
      <w:r>
        <w:rPr>
          <w:rFonts w:hint="eastAsia" w:cs="宋体"/>
          <w:b/>
          <w:bCs/>
          <w:color w:val="auto"/>
          <w:sz w:val="28"/>
          <w:szCs w:val="28"/>
          <w:highlight w:val="none"/>
        </w:rPr>
        <w:t>）、《中小企业声明函》或者《残疾人福利性单位声明函》或者省级以上监狱管理局、戒毒管理局（含新疆生产建设兵团）出具的属于</w:t>
      </w:r>
      <w:r>
        <w:rPr>
          <w:rFonts w:hint="eastAsia" w:cs="宋体"/>
          <w:b/>
          <w:bCs/>
          <w:color w:val="auto"/>
          <w:sz w:val="28"/>
          <w:szCs w:val="28"/>
          <w:highlight w:val="none"/>
          <w:lang w:eastAsia="zh-CN"/>
        </w:rPr>
        <w:t>监狱企业的证明文件扫描件（预留份额专门面向中小企业采购的项目须提供</w:t>
      </w:r>
      <w:r>
        <w:rPr>
          <w:rFonts w:hint="eastAsia" w:cs="宋体"/>
          <w:b/>
          <w:bCs/>
          <w:color w:val="auto"/>
          <w:sz w:val="28"/>
          <w:szCs w:val="28"/>
          <w:highlight w:val="none"/>
        </w:rPr>
        <w:t>）等。</w:t>
      </w:r>
    </w:p>
    <w:p w14:paraId="161D2FE0">
      <w:pPr>
        <w:spacing w:before="120" w:beforeLines="50" w:after="240" w:afterLines="100" w:line="440" w:lineRule="exact"/>
        <w:rPr>
          <w:b/>
          <w:bCs/>
          <w:color w:val="auto"/>
          <w:sz w:val="28"/>
          <w:szCs w:val="28"/>
          <w:highlight w:val="none"/>
        </w:rPr>
      </w:pPr>
      <w:r>
        <w:rPr>
          <w:color w:val="auto"/>
          <w:highlight w:val="none"/>
        </w:rPr>
        <w:br w:type="page"/>
      </w:r>
      <w:r>
        <w:rPr>
          <w:rFonts w:hint="eastAsia" w:cs="宋体"/>
          <w:b/>
          <w:bCs/>
          <w:color w:val="auto"/>
          <w:sz w:val="28"/>
          <w:szCs w:val="28"/>
          <w:highlight w:val="none"/>
        </w:rPr>
        <w:t>附表：</w:t>
      </w:r>
    </w:p>
    <w:p w14:paraId="74C2E7B4">
      <w:pPr>
        <w:tabs>
          <w:tab w:val="left" w:pos="826"/>
        </w:tabs>
        <w:snapToGrid w:val="0"/>
        <w:ind w:firstLine="482" w:firstLineChars="200"/>
        <w:rPr>
          <w:b/>
          <w:bCs/>
          <w:color w:val="auto"/>
          <w:sz w:val="24"/>
          <w:szCs w:val="24"/>
          <w:highlight w:val="none"/>
        </w:rPr>
      </w:pPr>
      <w:r>
        <w:rPr>
          <w:rFonts w:hint="eastAsia" w:cs="宋体"/>
          <w:b/>
          <w:bCs/>
          <w:color w:val="auto"/>
          <w:sz w:val="24"/>
          <w:szCs w:val="24"/>
          <w:highlight w:val="none"/>
        </w:rPr>
        <w:t>（</w:t>
      </w:r>
      <w:r>
        <w:rPr>
          <w:rFonts w:hint="eastAsia"/>
          <w:b/>
          <w:bCs/>
          <w:color w:val="auto"/>
          <w:sz w:val="24"/>
          <w:szCs w:val="24"/>
          <w:highlight w:val="none"/>
        </w:rPr>
        <w:t>1</w:t>
      </w:r>
      <w:r>
        <w:rPr>
          <w:rFonts w:hint="eastAsia" w:cs="宋体"/>
          <w:b/>
          <w:bCs/>
          <w:color w:val="auto"/>
          <w:sz w:val="24"/>
          <w:szCs w:val="24"/>
          <w:highlight w:val="none"/>
        </w:rPr>
        <w:t>）拟投入施工机械设备情况表</w:t>
      </w:r>
    </w:p>
    <w:p w14:paraId="20FAE445">
      <w:pPr>
        <w:rPr>
          <w:color w:val="auto"/>
          <w:highlight w:val="none"/>
        </w:rPr>
      </w:pPr>
      <w:r>
        <w:rPr>
          <w:rFonts w:hint="eastAsia" w:cs="宋体"/>
          <w:color w:val="auto"/>
          <w:highlight w:val="none"/>
        </w:rPr>
        <w:t>附表一：拟投入本工程的主要施工设备表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72DC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noWrap w:val="0"/>
            <w:vAlign w:val="center"/>
          </w:tcPr>
          <w:p w14:paraId="16131C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226" w:type="dxa"/>
            <w:noWrap w:val="0"/>
            <w:vAlign w:val="center"/>
          </w:tcPr>
          <w:p w14:paraId="30842D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设备名称</w:t>
            </w:r>
          </w:p>
        </w:tc>
        <w:tc>
          <w:tcPr>
            <w:tcW w:w="851" w:type="dxa"/>
            <w:noWrap w:val="0"/>
            <w:vAlign w:val="center"/>
          </w:tcPr>
          <w:p w14:paraId="3B6DFDB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型号</w:t>
            </w:r>
          </w:p>
          <w:p w14:paraId="50232F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规格</w:t>
            </w:r>
          </w:p>
        </w:tc>
        <w:tc>
          <w:tcPr>
            <w:tcW w:w="708" w:type="dxa"/>
            <w:noWrap w:val="0"/>
            <w:vAlign w:val="center"/>
          </w:tcPr>
          <w:p w14:paraId="4BF308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数量</w:t>
            </w:r>
          </w:p>
        </w:tc>
        <w:tc>
          <w:tcPr>
            <w:tcW w:w="709" w:type="dxa"/>
            <w:noWrap w:val="0"/>
            <w:vAlign w:val="center"/>
          </w:tcPr>
          <w:p w14:paraId="0F8465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国别</w:t>
            </w:r>
          </w:p>
          <w:p w14:paraId="07625F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产地</w:t>
            </w:r>
          </w:p>
        </w:tc>
        <w:tc>
          <w:tcPr>
            <w:tcW w:w="851" w:type="dxa"/>
            <w:noWrap w:val="0"/>
            <w:vAlign w:val="center"/>
          </w:tcPr>
          <w:p w14:paraId="08E122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制造</w:t>
            </w:r>
          </w:p>
          <w:p w14:paraId="15588E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年份</w:t>
            </w:r>
          </w:p>
        </w:tc>
        <w:tc>
          <w:tcPr>
            <w:tcW w:w="1134" w:type="dxa"/>
            <w:noWrap w:val="0"/>
            <w:vAlign w:val="center"/>
          </w:tcPr>
          <w:p w14:paraId="56E595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额定功率</w:t>
            </w:r>
          </w:p>
          <w:p w14:paraId="7DDC05A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cs="宋体"/>
                <w:color w:val="auto"/>
                <w:highlight w:val="none"/>
                <w:lang w:eastAsia="zh-CN"/>
              </w:rPr>
              <w:t>(kW</w:t>
            </w:r>
            <w:r>
              <w:rPr>
                <w:rFonts w:hint="eastAsia" w:ascii="Calibri" w:hAnsi="Calibri" w:cs="Times New Roman"/>
                <w:color w:val="auto"/>
                <w:highlight w:val="none"/>
                <w:lang w:eastAsia="zh-CN"/>
              </w:rPr>
              <w:t>)</w:t>
            </w:r>
          </w:p>
        </w:tc>
        <w:tc>
          <w:tcPr>
            <w:tcW w:w="992" w:type="dxa"/>
            <w:noWrap w:val="0"/>
            <w:vAlign w:val="center"/>
          </w:tcPr>
          <w:p w14:paraId="2C13221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生产</w:t>
            </w:r>
          </w:p>
          <w:p w14:paraId="5F8DBA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能力</w:t>
            </w:r>
          </w:p>
        </w:tc>
        <w:tc>
          <w:tcPr>
            <w:tcW w:w="1134" w:type="dxa"/>
            <w:noWrap w:val="0"/>
            <w:vAlign w:val="center"/>
          </w:tcPr>
          <w:p w14:paraId="1D5A0A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用于施</w:t>
            </w:r>
          </w:p>
          <w:p w14:paraId="3B8A96B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工部位</w:t>
            </w:r>
          </w:p>
        </w:tc>
        <w:tc>
          <w:tcPr>
            <w:tcW w:w="992" w:type="dxa"/>
            <w:noWrap w:val="0"/>
            <w:vAlign w:val="center"/>
          </w:tcPr>
          <w:p w14:paraId="1F5F7C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备注</w:t>
            </w:r>
          </w:p>
        </w:tc>
      </w:tr>
      <w:tr w14:paraId="7F4A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4074C038">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226" w:type="dxa"/>
            <w:noWrap w:val="0"/>
            <w:vAlign w:val="top"/>
          </w:tcPr>
          <w:p w14:paraId="038FDC75">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851" w:type="dxa"/>
            <w:noWrap w:val="0"/>
            <w:vAlign w:val="top"/>
          </w:tcPr>
          <w:p w14:paraId="1E8E9ED5">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8" w:type="dxa"/>
            <w:noWrap w:val="0"/>
            <w:vAlign w:val="top"/>
          </w:tcPr>
          <w:p w14:paraId="41BAA1B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9" w:type="dxa"/>
            <w:noWrap w:val="0"/>
            <w:vAlign w:val="top"/>
          </w:tcPr>
          <w:p w14:paraId="38A76E16">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64540118">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28485C26">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758B6565">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1053942B">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592CE0F7">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r>
      <w:tr w14:paraId="0080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311BF32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226" w:type="dxa"/>
            <w:noWrap w:val="0"/>
            <w:vAlign w:val="top"/>
          </w:tcPr>
          <w:p w14:paraId="6CE1AAA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122DF824">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8" w:type="dxa"/>
            <w:noWrap w:val="0"/>
            <w:vAlign w:val="top"/>
          </w:tcPr>
          <w:p w14:paraId="3DD291C7">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9" w:type="dxa"/>
            <w:noWrap w:val="0"/>
            <w:vAlign w:val="top"/>
          </w:tcPr>
          <w:p w14:paraId="29CC49AB">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78D2B99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21C50E4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1F081D8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723D6C8D">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68E8F110">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r>
      <w:tr w14:paraId="40DB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1532E9E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226" w:type="dxa"/>
            <w:noWrap w:val="0"/>
            <w:vAlign w:val="top"/>
          </w:tcPr>
          <w:p w14:paraId="5C3AD314">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6513CA89">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8" w:type="dxa"/>
            <w:noWrap w:val="0"/>
            <w:vAlign w:val="top"/>
          </w:tcPr>
          <w:p w14:paraId="086D78A1">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9" w:type="dxa"/>
            <w:noWrap w:val="0"/>
            <w:vAlign w:val="top"/>
          </w:tcPr>
          <w:p w14:paraId="7D291F1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5A371D61">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1E081B35">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3A18018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1A439512">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217F9FC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r>
      <w:tr w14:paraId="6F69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209989B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226" w:type="dxa"/>
            <w:noWrap w:val="0"/>
            <w:vAlign w:val="top"/>
          </w:tcPr>
          <w:p w14:paraId="780356F7">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59CCE4CE">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8" w:type="dxa"/>
            <w:noWrap w:val="0"/>
            <w:vAlign w:val="top"/>
          </w:tcPr>
          <w:p w14:paraId="3AEF7938">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9" w:type="dxa"/>
            <w:noWrap w:val="0"/>
            <w:vAlign w:val="top"/>
          </w:tcPr>
          <w:p w14:paraId="6A6BC3E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6B4E1E8D">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2CEBB8AB">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0A1DCA67">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1F5B2FF4">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45DF42E6">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r>
      <w:tr w14:paraId="7BCFB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1163EDF0">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226" w:type="dxa"/>
            <w:noWrap w:val="0"/>
            <w:vAlign w:val="top"/>
          </w:tcPr>
          <w:p w14:paraId="37E7F419">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55567AB3">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8" w:type="dxa"/>
            <w:noWrap w:val="0"/>
            <w:vAlign w:val="top"/>
          </w:tcPr>
          <w:p w14:paraId="6718E42D">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709" w:type="dxa"/>
            <w:noWrap w:val="0"/>
            <w:vAlign w:val="top"/>
          </w:tcPr>
          <w:p w14:paraId="4C0AF39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851" w:type="dxa"/>
            <w:noWrap w:val="0"/>
            <w:vAlign w:val="top"/>
          </w:tcPr>
          <w:p w14:paraId="0A0D2A05">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7E4D1C2F">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3E43327A">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1134" w:type="dxa"/>
            <w:noWrap w:val="0"/>
            <w:vAlign w:val="top"/>
          </w:tcPr>
          <w:p w14:paraId="048BD0F8">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c>
          <w:tcPr>
            <w:tcW w:w="992" w:type="dxa"/>
            <w:noWrap w:val="0"/>
            <w:vAlign w:val="top"/>
          </w:tcPr>
          <w:p w14:paraId="65058C5E">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p>
        </w:tc>
      </w:tr>
    </w:tbl>
    <w:p w14:paraId="2CFF88E2">
      <w:pPr>
        <w:rPr>
          <w:rFonts w:hint="eastAsia" w:eastAsia="楷体_GB2312"/>
          <w:color w:val="auto"/>
          <w:highlight w:val="none"/>
        </w:rPr>
      </w:pPr>
      <w:r>
        <w:rPr>
          <w:rFonts w:hint="eastAsia" w:eastAsia="楷体_GB2312"/>
          <w:color w:val="auto"/>
          <w:highlight w:val="none"/>
        </w:rPr>
        <w:t>备注：</w:t>
      </w:r>
    </w:p>
    <w:p w14:paraId="14E3654F">
      <w:pPr>
        <w:spacing w:line="240" w:lineRule="auto"/>
        <w:ind w:firstLine="420" w:firstLineChars="200"/>
        <w:rPr>
          <w:rFonts w:hint="eastAsia" w:eastAsia="楷体_GB2312"/>
          <w:color w:val="auto"/>
          <w:highlight w:val="none"/>
        </w:rPr>
      </w:pPr>
      <w:r>
        <w:rPr>
          <w:rFonts w:eastAsia="楷体_GB2312"/>
          <w:vanish/>
          <w:color w:val="auto"/>
          <w:highlight w:val="none"/>
        </w:rPr>
        <w:t>姓名</w:t>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hint="eastAsia" w:eastAsia="楷体_GB2312"/>
          <w:color w:val="auto"/>
          <w:highlight w:val="none"/>
          <w:lang w:eastAsia="zh-CN"/>
        </w:rPr>
        <w:t>1.</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1D19F22D">
      <w:pPr>
        <w:rPr>
          <w:color w:val="auto"/>
          <w:highlight w:val="none"/>
        </w:rPr>
      </w:pPr>
    </w:p>
    <w:p w14:paraId="48B28501">
      <w:pPr>
        <w:rPr>
          <w:color w:val="auto"/>
          <w:highlight w:val="none"/>
        </w:rPr>
      </w:pPr>
    </w:p>
    <w:p w14:paraId="5B366967">
      <w:pPr>
        <w:rPr>
          <w:color w:val="auto"/>
          <w:highlight w:val="none"/>
        </w:rPr>
      </w:pPr>
      <w:r>
        <w:rPr>
          <w:rFonts w:hint="eastAsia" w:cs="宋体"/>
          <w:color w:val="auto"/>
          <w:highlight w:val="none"/>
        </w:rPr>
        <w:t>附表二：拟配备本工程的试验和检测仪器设备表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31CBF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640E631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序号</w:t>
            </w:r>
          </w:p>
        </w:tc>
        <w:tc>
          <w:tcPr>
            <w:tcW w:w="1226" w:type="dxa"/>
            <w:noWrap w:val="0"/>
            <w:vAlign w:val="center"/>
          </w:tcPr>
          <w:p w14:paraId="70E924A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仪器设备名称</w:t>
            </w:r>
          </w:p>
        </w:tc>
        <w:tc>
          <w:tcPr>
            <w:tcW w:w="851" w:type="dxa"/>
            <w:noWrap w:val="0"/>
            <w:vAlign w:val="center"/>
          </w:tcPr>
          <w:p w14:paraId="4002014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型号</w:t>
            </w:r>
          </w:p>
          <w:p w14:paraId="367D97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规格</w:t>
            </w:r>
          </w:p>
        </w:tc>
        <w:tc>
          <w:tcPr>
            <w:tcW w:w="708" w:type="dxa"/>
            <w:noWrap w:val="0"/>
            <w:vAlign w:val="center"/>
          </w:tcPr>
          <w:p w14:paraId="0D661D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数量</w:t>
            </w:r>
          </w:p>
        </w:tc>
        <w:tc>
          <w:tcPr>
            <w:tcW w:w="709" w:type="dxa"/>
            <w:noWrap w:val="0"/>
            <w:vAlign w:val="center"/>
          </w:tcPr>
          <w:p w14:paraId="6431A16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国别</w:t>
            </w:r>
          </w:p>
          <w:p w14:paraId="3D1791B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产地</w:t>
            </w:r>
          </w:p>
        </w:tc>
        <w:tc>
          <w:tcPr>
            <w:tcW w:w="1134" w:type="dxa"/>
            <w:noWrap w:val="0"/>
            <w:vAlign w:val="center"/>
          </w:tcPr>
          <w:p w14:paraId="67B9448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制造年份</w:t>
            </w:r>
          </w:p>
        </w:tc>
        <w:tc>
          <w:tcPr>
            <w:tcW w:w="1276" w:type="dxa"/>
            <w:noWrap w:val="0"/>
            <w:vAlign w:val="center"/>
          </w:tcPr>
          <w:p w14:paraId="67CEA38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已使用</w:t>
            </w:r>
          </w:p>
          <w:p w14:paraId="7BDC21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台时数</w:t>
            </w:r>
          </w:p>
        </w:tc>
        <w:tc>
          <w:tcPr>
            <w:tcW w:w="1134" w:type="dxa"/>
            <w:noWrap w:val="0"/>
            <w:vAlign w:val="center"/>
          </w:tcPr>
          <w:p w14:paraId="63125C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用途</w:t>
            </w:r>
          </w:p>
        </w:tc>
        <w:tc>
          <w:tcPr>
            <w:tcW w:w="1559" w:type="dxa"/>
            <w:noWrap w:val="0"/>
            <w:vAlign w:val="center"/>
          </w:tcPr>
          <w:p w14:paraId="21811FA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备注</w:t>
            </w:r>
          </w:p>
        </w:tc>
      </w:tr>
      <w:tr w14:paraId="4304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526EDA18">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26" w:type="dxa"/>
            <w:noWrap w:val="0"/>
            <w:vAlign w:val="center"/>
          </w:tcPr>
          <w:p w14:paraId="590BCF82">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851" w:type="dxa"/>
            <w:noWrap w:val="0"/>
            <w:vAlign w:val="center"/>
          </w:tcPr>
          <w:p w14:paraId="7D3B098E">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8" w:type="dxa"/>
            <w:noWrap w:val="0"/>
            <w:vAlign w:val="center"/>
          </w:tcPr>
          <w:p w14:paraId="6DF375D6">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9" w:type="dxa"/>
            <w:noWrap w:val="0"/>
            <w:vAlign w:val="center"/>
          </w:tcPr>
          <w:p w14:paraId="1B30DABB">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097BDE85">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76" w:type="dxa"/>
            <w:noWrap w:val="0"/>
            <w:vAlign w:val="center"/>
          </w:tcPr>
          <w:p w14:paraId="107D7753">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62FAE710">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559" w:type="dxa"/>
            <w:noWrap w:val="0"/>
            <w:vAlign w:val="center"/>
          </w:tcPr>
          <w:p w14:paraId="05510012">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r>
      <w:tr w14:paraId="4DA9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34DACD36">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26" w:type="dxa"/>
            <w:noWrap w:val="0"/>
            <w:vAlign w:val="center"/>
          </w:tcPr>
          <w:p w14:paraId="56E8333A">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851" w:type="dxa"/>
            <w:noWrap w:val="0"/>
            <w:vAlign w:val="center"/>
          </w:tcPr>
          <w:p w14:paraId="58ED512E">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8" w:type="dxa"/>
            <w:noWrap w:val="0"/>
            <w:vAlign w:val="center"/>
          </w:tcPr>
          <w:p w14:paraId="726ED86D">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9" w:type="dxa"/>
            <w:noWrap w:val="0"/>
            <w:vAlign w:val="center"/>
          </w:tcPr>
          <w:p w14:paraId="25D610ED">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1F76351A">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76" w:type="dxa"/>
            <w:noWrap w:val="0"/>
            <w:vAlign w:val="center"/>
          </w:tcPr>
          <w:p w14:paraId="6CEE8A12">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37F7F56B">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559" w:type="dxa"/>
            <w:noWrap w:val="0"/>
            <w:vAlign w:val="center"/>
          </w:tcPr>
          <w:p w14:paraId="47371218">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r>
      <w:tr w14:paraId="093AF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05750FAE">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26" w:type="dxa"/>
            <w:noWrap w:val="0"/>
            <w:vAlign w:val="center"/>
          </w:tcPr>
          <w:p w14:paraId="2ABC58AA">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851" w:type="dxa"/>
            <w:noWrap w:val="0"/>
            <w:vAlign w:val="center"/>
          </w:tcPr>
          <w:p w14:paraId="2BA68C9B">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8" w:type="dxa"/>
            <w:noWrap w:val="0"/>
            <w:vAlign w:val="center"/>
          </w:tcPr>
          <w:p w14:paraId="0229EF06">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9" w:type="dxa"/>
            <w:noWrap w:val="0"/>
            <w:vAlign w:val="center"/>
          </w:tcPr>
          <w:p w14:paraId="4F3A411F">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3F56BAE5">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76" w:type="dxa"/>
            <w:noWrap w:val="0"/>
            <w:vAlign w:val="center"/>
          </w:tcPr>
          <w:p w14:paraId="35D61F5C">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0E5D3853">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559" w:type="dxa"/>
            <w:noWrap w:val="0"/>
            <w:vAlign w:val="center"/>
          </w:tcPr>
          <w:p w14:paraId="27F3CE4A">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r>
      <w:tr w14:paraId="1FA4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131156AF">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26" w:type="dxa"/>
            <w:noWrap w:val="0"/>
            <w:vAlign w:val="center"/>
          </w:tcPr>
          <w:p w14:paraId="54549E86">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851" w:type="dxa"/>
            <w:noWrap w:val="0"/>
            <w:vAlign w:val="center"/>
          </w:tcPr>
          <w:p w14:paraId="570DFBDA">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8" w:type="dxa"/>
            <w:noWrap w:val="0"/>
            <w:vAlign w:val="center"/>
          </w:tcPr>
          <w:p w14:paraId="5FCEFD74">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9" w:type="dxa"/>
            <w:noWrap w:val="0"/>
            <w:vAlign w:val="center"/>
          </w:tcPr>
          <w:p w14:paraId="787DE76F">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1178013B">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76" w:type="dxa"/>
            <w:noWrap w:val="0"/>
            <w:vAlign w:val="center"/>
          </w:tcPr>
          <w:p w14:paraId="26BB3016">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4C131232">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559" w:type="dxa"/>
            <w:noWrap w:val="0"/>
            <w:vAlign w:val="center"/>
          </w:tcPr>
          <w:p w14:paraId="6D33C5E8">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r>
      <w:tr w14:paraId="3419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370392C9">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26" w:type="dxa"/>
            <w:noWrap w:val="0"/>
            <w:vAlign w:val="center"/>
          </w:tcPr>
          <w:p w14:paraId="370D5BDB">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851" w:type="dxa"/>
            <w:noWrap w:val="0"/>
            <w:vAlign w:val="center"/>
          </w:tcPr>
          <w:p w14:paraId="7360D61D">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8" w:type="dxa"/>
            <w:noWrap w:val="0"/>
            <w:vAlign w:val="center"/>
          </w:tcPr>
          <w:p w14:paraId="16991C15">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709" w:type="dxa"/>
            <w:noWrap w:val="0"/>
            <w:vAlign w:val="center"/>
          </w:tcPr>
          <w:p w14:paraId="72EF4B06">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53D6C042">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276" w:type="dxa"/>
            <w:noWrap w:val="0"/>
            <w:vAlign w:val="center"/>
          </w:tcPr>
          <w:p w14:paraId="63EE19A3">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134" w:type="dxa"/>
            <w:noWrap w:val="0"/>
            <w:vAlign w:val="center"/>
          </w:tcPr>
          <w:p w14:paraId="30169321">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c>
          <w:tcPr>
            <w:tcW w:w="1559" w:type="dxa"/>
            <w:noWrap w:val="0"/>
            <w:vAlign w:val="center"/>
          </w:tcPr>
          <w:p w14:paraId="51EA5C13">
            <w:pPr>
              <w:keepNext w:val="0"/>
              <w:keepLines w:val="0"/>
              <w:suppressLineNumbers w:val="0"/>
              <w:spacing w:before="0" w:beforeAutospacing="0" w:after="0" w:afterAutospacing="0" w:line="360" w:lineRule="auto"/>
              <w:ind w:left="0" w:right="0" w:firstLine="420" w:firstLineChars="200"/>
              <w:rPr>
                <w:rFonts w:hint="default" w:ascii="Calibri" w:hAnsi="Calibri" w:eastAsia="宋体" w:cs="Times New Roman"/>
                <w:color w:val="auto"/>
                <w:highlight w:val="none"/>
              </w:rPr>
            </w:pPr>
          </w:p>
        </w:tc>
      </w:tr>
    </w:tbl>
    <w:p w14:paraId="6F2D7684">
      <w:pPr>
        <w:rPr>
          <w:color w:val="auto"/>
          <w:highlight w:val="none"/>
        </w:rPr>
      </w:pPr>
    </w:p>
    <w:p w14:paraId="5674EC4C">
      <w:pPr>
        <w:rPr>
          <w:rFonts w:hint="eastAsia" w:eastAsia="楷体_GB2312"/>
          <w:color w:val="auto"/>
          <w:highlight w:val="none"/>
        </w:rPr>
      </w:pPr>
      <w:r>
        <w:rPr>
          <w:rFonts w:hint="eastAsia" w:eastAsia="楷体_GB2312"/>
          <w:color w:val="auto"/>
          <w:highlight w:val="none"/>
        </w:rPr>
        <w:t>备注：</w:t>
      </w:r>
    </w:p>
    <w:p w14:paraId="12A51C6E">
      <w:pPr>
        <w:ind w:firstLine="420" w:firstLineChars="200"/>
        <w:rPr>
          <w:rFonts w:hint="eastAsia" w:eastAsia="楷体_GB2312"/>
          <w:color w:val="auto"/>
          <w:highlight w:val="none"/>
        </w:rPr>
      </w:pPr>
      <w:r>
        <w:rPr>
          <w:rFonts w:eastAsia="楷体_GB2312"/>
          <w:vanish/>
          <w:color w:val="auto"/>
          <w:highlight w:val="none"/>
        </w:rPr>
        <w:t>姓名</w:t>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eastAsia="楷体_GB2312"/>
          <w:vanish/>
          <w:color w:val="auto"/>
          <w:highlight w:val="none"/>
        </w:rPr>
        <w:pgNum/>
      </w:r>
      <w:r>
        <w:rPr>
          <w:rFonts w:hint="eastAsia" w:eastAsia="楷体_GB2312"/>
          <w:color w:val="auto"/>
          <w:highlight w:val="none"/>
          <w:lang w:eastAsia="zh-CN"/>
        </w:rPr>
        <w:t>1.</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64C578F4">
      <w:pPr>
        <w:spacing w:before="120" w:beforeLines="50" w:after="120" w:afterLines="50" w:line="440" w:lineRule="exact"/>
        <w:ind w:left="772" w:leftChars="100" w:hanging="562" w:hangingChars="200"/>
        <w:jc w:val="center"/>
        <w:rPr>
          <w:b/>
          <w:bCs/>
          <w:color w:val="auto"/>
          <w:sz w:val="28"/>
          <w:szCs w:val="28"/>
          <w:highlight w:val="none"/>
        </w:rPr>
      </w:pPr>
    </w:p>
    <w:p w14:paraId="60AD94D3">
      <w:pPr>
        <w:spacing w:before="120" w:beforeLines="50" w:after="120" w:afterLines="50" w:line="440" w:lineRule="exact"/>
        <w:ind w:left="772" w:leftChars="100" w:hanging="562" w:hangingChars="200"/>
        <w:jc w:val="center"/>
        <w:rPr>
          <w:b/>
          <w:bCs/>
          <w:color w:val="auto"/>
          <w:sz w:val="28"/>
          <w:szCs w:val="28"/>
          <w:highlight w:val="none"/>
        </w:rPr>
        <w:sectPr>
          <w:pgSz w:w="11907" w:h="16840"/>
          <w:pgMar w:top="1440" w:right="1440" w:bottom="1440" w:left="1797" w:header="851" w:footer="851" w:gutter="0"/>
          <w:cols w:space="720" w:num="1"/>
          <w:docGrid w:linePitch="312" w:charSpace="0"/>
        </w:sectPr>
      </w:pPr>
    </w:p>
    <w:p w14:paraId="51100CCF">
      <w:pPr>
        <w:tabs>
          <w:tab w:val="left" w:pos="826"/>
        </w:tabs>
        <w:snapToGrid w:val="0"/>
        <w:rPr>
          <w:rFonts w:cs="宋体"/>
          <w:b/>
          <w:bCs/>
          <w:color w:val="auto"/>
          <w:sz w:val="24"/>
          <w:szCs w:val="24"/>
          <w:highlight w:val="none"/>
        </w:rPr>
      </w:pPr>
      <w:r>
        <w:rPr>
          <w:rFonts w:hint="eastAsia" w:cs="宋体"/>
          <w:b/>
          <w:bCs/>
          <w:color w:val="auto"/>
          <w:sz w:val="24"/>
          <w:szCs w:val="24"/>
          <w:highlight w:val="none"/>
        </w:rPr>
        <w:t>（2）企业</w:t>
      </w:r>
      <w:r>
        <w:rPr>
          <w:rFonts w:cs="宋体"/>
          <w:b/>
          <w:bCs/>
          <w:color w:val="auto"/>
          <w:sz w:val="24"/>
          <w:szCs w:val="24"/>
          <w:highlight w:val="none"/>
        </w:rPr>
        <w:t>___年___月至</w:t>
      </w:r>
      <w:r>
        <w:rPr>
          <w:rFonts w:hint="eastAsia" w:cs="宋体"/>
          <w:b/>
          <w:bCs/>
          <w:color w:val="auto"/>
          <w:sz w:val="24"/>
          <w:szCs w:val="24"/>
          <w:highlight w:val="none"/>
        </w:rPr>
        <w:t>投标截止日期止（一般为近</w:t>
      </w:r>
      <w:r>
        <w:rPr>
          <w:rFonts w:hint="eastAsia" w:cs="宋体"/>
          <w:b/>
          <w:bCs/>
          <w:color w:val="auto"/>
          <w:sz w:val="24"/>
          <w:szCs w:val="24"/>
          <w:highlight w:val="none"/>
          <w:lang w:val="en-US" w:eastAsia="zh-CN"/>
        </w:rPr>
        <w:t>3~5</w:t>
      </w:r>
      <w:r>
        <w:rPr>
          <w:rFonts w:hint="eastAsia" w:cs="宋体"/>
          <w:b/>
          <w:bCs/>
          <w:color w:val="auto"/>
          <w:sz w:val="24"/>
          <w:szCs w:val="24"/>
          <w:highlight w:val="none"/>
        </w:rPr>
        <w:t>年）已完成类似工程一览表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1484"/>
      </w:tblGrid>
      <w:tr w14:paraId="2C10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5E2C2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noWrap w:val="0"/>
            <w:vAlign w:val="center"/>
          </w:tcPr>
          <w:p w14:paraId="77A8987A">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noWrap w:val="0"/>
            <w:vAlign w:val="center"/>
          </w:tcPr>
          <w:p w14:paraId="6E1ECE1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noWrap w:val="0"/>
            <w:vAlign w:val="center"/>
          </w:tcPr>
          <w:p w14:paraId="51EE5E0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noWrap w:val="0"/>
            <w:vAlign w:val="center"/>
          </w:tcPr>
          <w:p w14:paraId="4503864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noWrap w:val="0"/>
            <w:vAlign w:val="center"/>
          </w:tcPr>
          <w:p w14:paraId="6A3D541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6C9A1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4D56B9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noWrap w:val="0"/>
            <w:vAlign w:val="center"/>
          </w:tcPr>
          <w:p w14:paraId="7A2642C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7AF14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89FA5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2841E9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A63ECB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8F9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9BB9D8F">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noWrap w:val="0"/>
            <w:vAlign w:val="center"/>
          </w:tcPr>
          <w:p w14:paraId="6C1FD3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1E34B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64AA74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27790F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E8744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D34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802BB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noWrap w:val="0"/>
            <w:vAlign w:val="center"/>
          </w:tcPr>
          <w:p w14:paraId="44F782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0A2975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114C6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7923FD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EA4BAC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735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8A22E0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noWrap w:val="0"/>
            <w:vAlign w:val="center"/>
          </w:tcPr>
          <w:p w14:paraId="3750B0E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C761E0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7B776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9F30BF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D783A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ED8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3F2EEF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noWrap w:val="0"/>
            <w:vAlign w:val="center"/>
          </w:tcPr>
          <w:p w14:paraId="7B79E0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D64B8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2C3118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94FE7E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B3281E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6AF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C1D29F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noWrap w:val="0"/>
            <w:vAlign w:val="center"/>
          </w:tcPr>
          <w:p w14:paraId="6DC4FC1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F9AE80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D667AA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9226DF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8A2428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DE52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FDD414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noWrap w:val="0"/>
            <w:vAlign w:val="center"/>
          </w:tcPr>
          <w:p w14:paraId="55DA35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B7FE9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521D45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68756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CC0408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097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456556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noWrap w:val="0"/>
            <w:vAlign w:val="center"/>
          </w:tcPr>
          <w:p w14:paraId="760D7EB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04266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413EE0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362BE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41AB21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942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0E8AB6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noWrap w:val="0"/>
            <w:vAlign w:val="center"/>
          </w:tcPr>
          <w:p w14:paraId="037744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074421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5DE3D4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F7CD28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EB06B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745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750394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noWrap w:val="0"/>
            <w:vAlign w:val="center"/>
          </w:tcPr>
          <w:p w14:paraId="1D0AD42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A6C093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99B2EC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2952C1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105C0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3E9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0AA7FE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noWrap w:val="0"/>
            <w:vAlign w:val="center"/>
          </w:tcPr>
          <w:p w14:paraId="2B7E2B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03135C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717F8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F90B5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6C957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6CC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61050DD">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noWrap w:val="0"/>
            <w:vAlign w:val="center"/>
          </w:tcPr>
          <w:p w14:paraId="1642E5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1C388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FC00E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6B5FFF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C52CF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793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C9ECA8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noWrap w:val="0"/>
            <w:vAlign w:val="center"/>
          </w:tcPr>
          <w:p w14:paraId="0560A9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80824E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3EA7B1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A44A0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AA4D9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167D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C1CFFF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noWrap w:val="0"/>
            <w:vAlign w:val="center"/>
          </w:tcPr>
          <w:p w14:paraId="1A0F2A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62FAD1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25831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A286F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C910C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7F1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C03B813">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noWrap w:val="0"/>
            <w:vAlign w:val="center"/>
          </w:tcPr>
          <w:p w14:paraId="1DE918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7A1FFA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B6955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25E24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875D1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C3B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276576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noWrap w:val="0"/>
            <w:vAlign w:val="center"/>
          </w:tcPr>
          <w:p w14:paraId="024874B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B937E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83327B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DD733F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ECCF9B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2FAD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C3FC91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noWrap w:val="0"/>
            <w:vAlign w:val="center"/>
          </w:tcPr>
          <w:p w14:paraId="2D4A1E0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9A4AE0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072A2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BC361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BBF0B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DE5B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776757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noWrap w:val="0"/>
            <w:vAlign w:val="center"/>
          </w:tcPr>
          <w:p w14:paraId="2064369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D43553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4A2934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6C6EA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D9EAEB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01D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733C76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人员角色</w:t>
            </w:r>
          </w:p>
        </w:tc>
        <w:tc>
          <w:tcPr>
            <w:tcW w:w="1548" w:type="dxa"/>
            <w:noWrap w:val="0"/>
            <w:vAlign w:val="center"/>
          </w:tcPr>
          <w:p w14:paraId="23C621B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D24A36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23D51E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EBF18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492BE3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D85E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84DB70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w:t>
            </w:r>
            <w:r>
              <w:rPr>
                <w:rFonts w:hint="default" w:ascii="Calibri" w:hAnsi="Calibri" w:eastAsia="宋体" w:cs="宋体"/>
                <w:color w:val="auto"/>
                <w:highlight w:val="none"/>
              </w:rPr>
              <w:t>员姓名</w:t>
            </w:r>
          </w:p>
        </w:tc>
        <w:tc>
          <w:tcPr>
            <w:tcW w:w="1548" w:type="dxa"/>
            <w:noWrap w:val="0"/>
            <w:vAlign w:val="center"/>
          </w:tcPr>
          <w:p w14:paraId="7236873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9B813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E4A04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55D6C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7DE68E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652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3241FC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已完工</w:t>
            </w:r>
          </w:p>
        </w:tc>
        <w:tc>
          <w:tcPr>
            <w:tcW w:w="1548" w:type="dxa"/>
            <w:noWrap w:val="0"/>
            <w:vAlign w:val="center"/>
          </w:tcPr>
          <w:p w14:paraId="0482F5A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40E61E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406A8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837364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D0D45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2C9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09FBCC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noWrap w:val="0"/>
            <w:vAlign w:val="center"/>
          </w:tcPr>
          <w:p w14:paraId="2C8ECD5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039E69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87888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B3F5C8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4360D5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0EE0BCD6">
      <w:pPr>
        <w:rPr>
          <w:rFonts w:hint="eastAsia" w:ascii="方正楷体_GBK" w:hAnsi="方正楷体_GBK" w:eastAsia="方正楷体_GBK" w:cs="方正楷体_GBK"/>
          <w:color w:val="auto"/>
          <w:highlight w:val="none"/>
        </w:rPr>
      </w:pPr>
      <w:r>
        <w:rPr>
          <w:rFonts w:hint="eastAsia" w:eastAsia="楷体_GB2312"/>
          <w:color w:val="auto"/>
          <w:highlight w:val="none"/>
        </w:rPr>
        <w:t>备</w:t>
      </w:r>
      <w:r>
        <w:rPr>
          <w:rFonts w:hint="eastAsia" w:ascii="方正楷体_GBK" w:hAnsi="方正楷体_GBK" w:eastAsia="方正楷体_GBK" w:cs="方正楷体_GBK"/>
          <w:color w:val="auto"/>
          <w:highlight w:val="none"/>
        </w:rPr>
        <w:t>注：</w:t>
      </w:r>
    </w:p>
    <w:p w14:paraId="0CFF1E34">
      <w:pPr>
        <w:ind w:firstLine="420" w:firstLineChars="200"/>
        <w:rPr>
          <w:rFonts w:hint="eastAsia" w:ascii="方正楷体_GBK" w:hAnsi="方正楷体_GBK" w:eastAsia="方正楷体_GBK" w:cs="方正楷体_GBK"/>
          <w:color w:val="auto"/>
          <w:highlight w:val="none"/>
        </w:rPr>
      </w:pPr>
      <w:r>
        <w:rPr>
          <w:rFonts w:hint="eastAsia" w:ascii="方正楷体_GBK" w:hAnsi="方正楷体_GBK" w:eastAsia="方正楷体_GBK" w:cs="方正楷体_GBK"/>
          <w:vanish/>
          <w:color w:val="auto"/>
          <w:highlight w:val="none"/>
        </w:rPr>
        <w:t>姓名</w:t>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highlight w:val="none"/>
        </w:rPr>
        <w:pgNum/>
      </w:r>
      <w:r>
        <w:rPr>
          <w:rFonts w:hint="eastAsia" w:ascii="方正楷体_GBK" w:hAnsi="方正楷体_GBK" w:eastAsia="方正楷体_GBK" w:cs="方正楷体_GBK"/>
          <w:vanish/>
          <w:color w:val="auto"/>
          <w:sz w:val="21"/>
          <w:szCs w:val="21"/>
          <w:highlight w:val="none"/>
        </w:rPr>
        <w:t>姓名</w:t>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vanish/>
          <w:color w:val="auto"/>
          <w:sz w:val="21"/>
          <w:szCs w:val="21"/>
          <w:highlight w:val="none"/>
        </w:rPr>
        <w:pgNum/>
      </w:r>
      <w:r>
        <w:rPr>
          <w:rFonts w:hint="eastAsia" w:ascii="方正楷体_GBK" w:hAnsi="方正楷体_GBK" w:eastAsia="方正楷体_GBK" w:cs="方正楷体_GBK"/>
          <w:color w:val="auto"/>
          <w:sz w:val="21"/>
          <w:szCs w:val="21"/>
          <w:highlight w:val="none"/>
          <w:lang w:eastAsia="zh-CN"/>
        </w:rPr>
        <w:t>1.企业业绩</w:t>
      </w:r>
      <w:r>
        <w:rPr>
          <w:rFonts w:hint="eastAsia" w:ascii="方正楷体_GBK" w:hAnsi="方正楷体_GBK" w:eastAsia="方正楷体_GBK" w:cs="方正楷体_GBK"/>
          <w:color w:val="auto"/>
          <w:sz w:val="21"/>
          <w:szCs w:val="21"/>
          <w:highlight w:val="none"/>
        </w:rPr>
        <w:t>信息</w:t>
      </w:r>
      <w:r>
        <w:rPr>
          <w:rFonts w:hint="eastAsia" w:ascii="方正楷体_GBK" w:hAnsi="方正楷体_GBK" w:eastAsia="方正楷体_GBK" w:cs="方正楷体_GBK"/>
          <w:color w:val="auto"/>
          <w:sz w:val="21"/>
          <w:szCs w:val="21"/>
          <w:highlight w:val="none"/>
          <w:lang w:eastAsia="zh-CN"/>
        </w:rPr>
        <w:t>需从“</w:t>
      </w:r>
      <w:r>
        <w:rPr>
          <w:rFonts w:hint="eastAsia" w:ascii="方正楷体_GBK" w:hAnsi="方正楷体_GBK" w:eastAsia="方正楷体_GBK" w:cs="方正楷体_GBK"/>
          <w:color w:val="auto"/>
          <w:sz w:val="21"/>
          <w:szCs w:val="21"/>
          <w:highlight w:val="none"/>
        </w:rPr>
        <w:t>桂建云</w:t>
      </w:r>
      <w:r>
        <w:rPr>
          <w:rFonts w:hint="eastAsia" w:ascii="方正楷体_GBK" w:hAnsi="方正楷体_GBK" w:eastAsia="方正楷体_GBK" w:cs="方正楷体_GBK"/>
          <w:color w:val="auto"/>
          <w:sz w:val="21"/>
          <w:szCs w:val="21"/>
          <w:highlight w:val="none"/>
          <w:lang w:eastAsia="zh-CN"/>
        </w:rPr>
        <w:t>”</w:t>
      </w:r>
      <w:r>
        <w:rPr>
          <w:rFonts w:hint="eastAsia" w:ascii="方正楷体_GBK" w:hAnsi="方正楷体_GBK" w:eastAsia="方正楷体_GBK" w:cs="方正楷体_GBK"/>
          <w:color w:val="auto"/>
          <w:sz w:val="21"/>
          <w:szCs w:val="21"/>
          <w:highlight w:val="none"/>
        </w:rPr>
        <w:t>读取</w:t>
      </w:r>
      <w:r>
        <w:rPr>
          <w:rFonts w:hint="eastAsia" w:ascii="方正楷体_GBK" w:hAnsi="方正楷体_GBK" w:eastAsia="方正楷体_GBK" w:cs="方正楷体_GBK"/>
          <w:color w:val="auto"/>
          <w:sz w:val="21"/>
          <w:szCs w:val="21"/>
          <w:highlight w:val="none"/>
          <w:lang w:eastAsia="zh-CN"/>
        </w:rPr>
        <w:t>，投标人不可修改，</w:t>
      </w:r>
      <w:r>
        <w:rPr>
          <w:rFonts w:hint="eastAsia" w:ascii="方正楷体_GBK" w:hAnsi="方正楷体_GBK" w:eastAsia="方正楷体_GBK" w:cs="方正楷体_GBK"/>
          <w:color w:val="auto"/>
          <w:sz w:val="21"/>
          <w:szCs w:val="21"/>
          <w:highlight w:val="none"/>
        </w:rPr>
        <w:t>业绩</w:t>
      </w:r>
      <w:r>
        <w:rPr>
          <w:rFonts w:hint="eastAsia" w:ascii="方正楷体_GBK" w:hAnsi="方正楷体_GBK" w:eastAsia="方正楷体_GBK" w:cs="方正楷体_GBK"/>
          <w:color w:val="auto"/>
          <w:sz w:val="21"/>
          <w:szCs w:val="21"/>
          <w:highlight w:val="none"/>
          <w:lang w:eastAsia="zh-CN"/>
        </w:rPr>
        <w:t>不要求提供扫描件</w:t>
      </w:r>
      <w:r>
        <w:rPr>
          <w:rFonts w:hint="eastAsia" w:ascii="方正楷体_GBK" w:hAnsi="方正楷体_GBK" w:eastAsia="方正楷体_GBK" w:cs="方正楷体_GBK"/>
          <w:color w:val="auto"/>
          <w:sz w:val="21"/>
          <w:szCs w:val="21"/>
          <w:highlight w:val="none"/>
        </w:rPr>
        <w:t>，投标人以上信息未通过</w:t>
      </w:r>
      <w:r>
        <w:rPr>
          <w:rFonts w:hint="eastAsia" w:ascii="方正楷体_GBK" w:hAnsi="方正楷体_GBK" w:eastAsia="方正楷体_GBK" w:cs="方正楷体_GBK"/>
          <w:color w:val="auto"/>
          <w:sz w:val="21"/>
          <w:szCs w:val="21"/>
          <w:highlight w:val="none"/>
          <w:lang w:eastAsia="zh-CN"/>
        </w:rPr>
        <w:t>“</w:t>
      </w:r>
      <w:r>
        <w:rPr>
          <w:rFonts w:hint="eastAsia" w:ascii="方正楷体_GBK" w:hAnsi="方正楷体_GBK" w:eastAsia="方正楷体_GBK" w:cs="方正楷体_GBK"/>
          <w:color w:val="auto"/>
          <w:sz w:val="21"/>
          <w:szCs w:val="21"/>
          <w:highlight w:val="none"/>
        </w:rPr>
        <w:t>桂建云</w:t>
      </w:r>
      <w:r>
        <w:rPr>
          <w:rFonts w:hint="eastAsia" w:ascii="方正楷体_GBK" w:hAnsi="方正楷体_GBK" w:eastAsia="方正楷体_GBK" w:cs="方正楷体_GBK"/>
          <w:color w:val="auto"/>
          <w:sz w:val="21"/>
          <w:szCs w:val="21"/>
          <w:highlight w:val="none"/>
          <w:lang w:eastAsia="zh-CN"/>
        </w:rPr>
        <w:t>”</w:t>
      </w:r>
      <w:r>
        <w:rPr>
          <w:rFonts w:hint="eastAsia" w:ascii="方正楷体_GBK" w:hAnsi="方正楷体_GBK" w:eastAsia="方正楷体_GBK" w:cs="方正楷体_GBK"/>
          <w:color w:val="auto"/>
          <w:sz w:val="21"/>
          <w:szCs w:val="21"/>
          <w:highlight w:val="none"/>
        </w:rPr>
        <w:t>读取的，在评审时不予承认。</w:t>
      </w:r>
    </w:p>
    <w:p w14:paraId="1C4C5256">
      <w:pPr>
        <w:ind w:firstLine="420" w:firstLineChars="200"/>
        <w:rPr>
          <w:rFonts w:eastAsia="楷体_GB2312" w:cs="楷体_GB2312"/>
          <w:color w:val="auto"/>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w:t>
      </w:r>
      <w:r>
        <w:rPr>
          <w:rFonts w:eastAsia="楷体_GB2312"/>
          <w:color w:val="auto"/>
          <w:highlight w:val="none"/>
        </w:rPr>
        <w:t>标人</w:t>
      </w:r>
      <w:r>
        <w:rPr>
          <w:rFonts w:hint="eastAsia" w:eastAsia="楷体_GB2312"/>
          <w:color w:val="auto"/>
          <w:highlight w:val="none"/>
        </w:rPr>
        <w:t>可以根据需要增加</w:t>
      </w:r>
      <w:r>
        <w:rPr>
          <w:rFonts w:hint="eastAsia" w:eastAsia="楷体_GB2312" w:cs="楷体_GB2312"/>
          <w:color w:val="auto"/>
          <w:highlight w:val="none"/>
        </w:rPr>
        <w:t>。</w:t>
      </w:r>
    </w:p>
    <w:p w14:paraId="0F272FBD">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7AA43D5A">
      <w:pPr>
        <w:pBdr>
          <w:top w:val="none" w:color="auto" w:sz="0" w:space="0"/>
          <w:left w:val="none" w:color="auto" w:sz="0" w:space="0"/>
          <w:bottom w:val="none" w:color="auto" w:sz="0" w:space="0"/>
          <w:right w:val="none" w:color="auto" w:sz="0" w:space="0"/>
          <w:between w:val="none" w:color="auto" w:sz="0" w:space="0"/>
        </w:pBdr>
        <w:ind w:firstLine="420" w:firstLineChars="200"/>
        <w:rPr>
          <w:rFonts w:hint="eastAsia" w:eastAsia="楷体_GB2312"/>
          <w:color w:val="auto"/>
          <w:highlight w:val="none"/>
        </w:rPr>
      </w:pPr>
    </w:p>
    <w:p w14:paraId="2C6C279F">
      <w:pPr>
        <w:pStyle w:val="28"/>
        <w:pBdr>
          <w:top w:val="none" w:color="auto" w:sz="0" w:space="0"/>
          <w:left w:val="none" w:color="auto" w:sz="0" w:space="0"/>
          <w:bottom w:val="none" w:color="auto" w:sz="0" w:space="0"/>
          <w:right w:val="none" w:color="auto" w:sz="0" w:space="0"/>
          <w:between w:val="none" w:color="auto" w:sz="0" w:space="0"/>
        </w:pBdr>
        <w:rPr>
          <w:rFonts w:hint="eastAsia" w:eastAsia="楷体_GB2312"/>
          <w:color w:val="auto"/>
          <w:highlight w:val="none"/>
        </w:rPr>
      </w:pPr>
    </w:p>
    <w:p w14:paraId="596E12A7">
      <w:pPr>
        <w:pStyle w:val="28"/>
        <w:pBdr>
          <w:top w:val="none" w:color="auto" w:sz="0" w:space="0"/>
          <w:left w:val="none" w:color="auto" w:sz="0" w:space="0"/>
          <w:bottom w:val="none" w:color="auto" w:sz="0" w:space="0"/>
          <w:right w:val="none" w:color="auto" w:sz="0" w:space="0"/>
          <w:between w:val="none" w:color="auto" w:sz="0" w:space="0"/>
        </w:pBdr>
        <w:rPr>
          <w:rFonts w:hint="eastAsia" w:eastAsia="楷体_GB2312"/>
          <w:color w:val="auto"/>
          <w:highlight w:val="none"/>
        </w:rPr>
      </w:pPr>
    </w:p>
    <w:p w14:paraId="76F8979F">
      <w:pPr>
        <w:ind w:left="772" w:leftChars="100" w:hanging="562" w:hangingChars="200"/>
        <w:rPr>
          <w:b/>
          <w:bCs/>
          <w:color w:val="auto"/>
          <w:sz w:val="28"/>
          <w:szCs w:val="28"/>
          <w:highlight w:val="none"/>
        </w:rPr>
      </w:pPr>
    </w:p>
    <w:p w14:paraId="59180B16">
      <w:pPr>
        <w:tabs>
          <w:tab w:val="left" w:pos="826"/>
        </w:tabs>
        <w:snapToGrid w:val="0"/>
        <w:rPr>
          <w:rFonts w:cs="宋体"/>
          <w:b/>
          <w:bCs/>
          <w:color w:val="auto"/>
          <w:sz w:val="24"/>
          <w:szCs w:val="24"/>
          <w:highlight w:val="none"/>
        </w:rPr>
      </w:pPr>
      <w:r>
        <w:rPr>
          <w:rFonts w:hint="eastAsia" w:cs="宋体"/>
          <w:b/>
          <w:bCs/>
          <w:color w:val="auto"/>
          <w:sz w:val="24"/>
          <w:szCs w:val="24"/>
          <w:highlight w:val="none"/>
        </w:rPr>
        <w:t>（</w:t>
      </w:r>
      <w:r>
        <w:rPr>
          <w:rFonts w:cs="宋体"/>
          <w:b/>
          <w:bCs/>
          <w:color w:val="auto"/>
          <w:sz w:val="24"/>
          <w:szCs w:val="24"/>
          <w:highlight w:val="none"/>
        </w:rPr>
        <w:t>3</w:t>
      </w:r>
      <w:r>
        <w:rPr>
          <w:rFonts w:hint="eastAsia" w:cs="宋体"/>
          <w:b/>
          <w:bCs/>
          <w:color w:val="auto"/>
          <w:sz w:val="24"/>
          <w:szCs w:val="24"/>
          <w:highlight w:val="none"/>
        </w:rPr>
        <w:t>）企业</w:t>
      </w:r>
      <w:r>
        <w:rPr>
          <w:rFonts w:cs="宋体"/>
          <w:b/>
          <w:bCs/>
          <w:color w:val="auto"/>
          <w:sz w:val="24"/>
          <w:szCs w:val="24"/>
          <w:highlight w:val="none"/>
        </w:rPr>
        <w:t>___年___月至</w:t>
      </w:r>
      <w:r>
        <w:rPr>
          <w:rFonts w:hint="eastAsia" w:cs="宋体"/>
          <w:b/>
          <w:bCs/>
          <w:color w:val="auto"/>
          <w:sz w:val="24"/>
          <w:szCs w:val="24"/>
          <w:highlight w:val="none"/>
        </w:rPr>
        <w:t>投标截止日期止（一般为</w:t>
      </w:r>
      <w:r>
        <w:rPr>
          <w:rFonts w:hint="eastAsia" w:cs="宋体"/>
          <w:b/>
          <w:bCs/>
          <w:color w:val="auto"/>
          <w:sz w:val="24"/>
          <w:szCs w:val="24"/>
          <w:highlight w:val="none"/>
          <w:lang w:val="en-US" w:eastAsia="zh-CN"/>
        </w:rPr>
        <w:t>近3~5</w:t>
      </w:r>
      <w:r>
        <w:rPr>
          <w:rFonts w:hint="eastAsia" w:cs="宋体"/>
          <w:b/>
          <w:bCs/>
          <w:color w:val="auto"/>
          <w:sz w:val="24"/>
          <w:szCs w:val="24"/>
          <w:highlight w:val="none"/>
        </w:rPr>
        <w:t>年）以来在建类似工程一览表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1484"/>
      </w:tblGrid>
      <w:tr w14:paraId="1F500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E39EC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noWrap w:val="0"/>
            <w:vAlign w:val="center"/>
          </w:tcPr>
          <w:p w14:paraId="57547B46">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noWrap w:val="0"/>
            <w:vAlign w:val="center"/>
          </w:tcPr>
          <w:p w14:paraId="4160D1D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noWrap w:val="0"/>
            <w:vAlign w:val="center"/>
          </w:tcPr>
          <w:p w14:paraId="50B79E1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noWrap w:val="0"/>
            <w:vAlign w:val="center"/>
          </w:tcPr>
          <w:p w14:paraId="762BB2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noWrap w:val="0"/>
            <w:vAlign w:val="center"/>
          </w:tcPr>
          <w:p w14:paraId="32E78E8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0D95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87D81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noWrap w:val="0"/>
            <w:vAlign w:val="center"/>
          </w:tcPr>
          <w:p w14:paraId="3B6FA64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424859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C2B638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068278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FAAC1A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870D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B331D5D">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noWrap w:val="0"/>
            <w:vAlign w:val="center"/>
          </w:tcPr>
          <w:p w14:paraId="0925E5E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70710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12A52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2B11DE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40A265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D9BB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10040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noWrap w:val="0"/>
            <w:vAlign w:val="center"/>
          </w:tcPr>
          <w:p w14:paraId="0037C1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0E1F6A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FE114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B82BE7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9682FF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F18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4F89C3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noWrap w:val="0"/>
            <w:vAlign w:val="center"/>
          </w:tcPr>
          <w:p w14:paraId="4D3C3A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88C6F9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3DED5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5857BE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4A0B72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C72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0C7BC7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noWrap w:val="0"/>
            <w:vAlign w:val="center"/>
          </w:tcPr>
          <w:p w14:paraId="0BDCD7C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9789D2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4B1A84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25DD1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20250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992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C601EF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noWrap w:val="0"/>
            <w:vAlign w:val="center"/>
          </w:tcPr>
          <w:p w14:paraId="01E90E8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E56C7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53071C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D6852E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E9FC8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0819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9AF334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noWrap w:val="0"/>
            <w:vAlign w:val="center"/>
          </w:tcPr>
          <w:p w14:paraId="16748A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C47C4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3793DF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3D8607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38C4F4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D79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278677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noWrap w:val="0"/>
            <w:vAlign w:val="center"/>
          </w:tcPr>
          <w:p w14:paraId="03CD6D1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493574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FBCC64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DCFBF0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DAB2BE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CF19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400766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noWrap w:val="0"/>
            <w:vAlign w:val="center"/>
          </w:tcPr>
          <w:p w14:paraId="5B7BCC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EFEB5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95F70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57FDB7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8C871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04D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918B95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noWrap w:val="0"/>
            <w:vAlign w:val="center"/>
          </w:tcPr>
          <w:p w14:paraId="1ADA77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252EC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8ACB22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06C25D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7FAD3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C26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CEFE225">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noWrap w:val="0"/>
            <w:vAlign w:val="center"/>
          </w:tcPr>
          <w:p w14:paraId="5DC1B5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C099B8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6636EB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F3C65B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981BE2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CDF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CD2624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noWrap w:val="0"/>
            <w:vAlign w:val="center"/>
          </w:tcPr>
          <w:p w14:paraId="6B0AEF5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9F2BCA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C4E43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06CDCF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6FA0B4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483A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E45FB3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noWrap w:val="0"/>
            <w:vAlign w:val="center"/>
          </w:tcPr>
          <w:p w14:paraId="0CCEFD9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0F898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2ED80B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5DB745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790A5D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008B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C29A5B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noWrap w:val="0"/>
            <w:vAlign w:val="center"/>
          </w:tcPr>
          <w:p w14:paraId="59D353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E4B7A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F7D1A5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A26A11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CE5CA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492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8F5C28E">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noWrap w:val="0"/>
            <w:vAlign w:val="center"/>
          </w:tcPr>
          <w:p w14:paraId="1680E1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3C5C3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388653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3A3B48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887F7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B3D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498009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noWrap w:val="0"/>
            <w:vAlign w:val="center"/>
          </w:tcPr>
          <w:p w14:paraId="384D0A3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049E2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B39C7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822780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41164D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5A3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92E524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noWrap w:val="0"/>
            <w:vAlign w:val="center"/>
          </w:tcPr>
          <w:p w14:paraId="337EEDB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80479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4EE9F3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38CDFE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1FAE9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9A8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438BE8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noWrap w:val="0"/>
            <w:vAlign w:val="center"/>
          </w:tcPr>
          <w:p w14:paraId="5431FC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975D6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5A283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A9D1BD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437F61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3CFE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D2958C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人员角色</w:t>
            </w:r>
          </w:p>
        </w:tc>
        <w:tc>
          <w:tcPr>
            <w:tcW w:w="1548" w:type="dxa"/>
            <w:noWrap w:val="0"/>
            <w:vAlign w:val="center"/>
          </w:tcPr>
          <w:p w14:paraId="14C25F1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72AD2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F74FC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97C74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DFF74A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54B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AA4B29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w:t>
            </w:r>
            <w:r>
              <w:rPr>
                <w:rFonts w:hint="default" w:ascii="Calibri" w:hAnsi="Calibri" w:eastAsia="宋体" w:cs="宋体"/>
                <w:color w:val="auto"/>
                <w:highlight w:val="none"/>
              </w:rPr>
              <w:t>员姓名</w:t>
            </w:r>
          </w:p>
        </w:tc>
        <w:tc>
          <w:tcPr>
            <w:tcW w:w="1548" w:type="dxa"/>
            <w:noWrap w:val="0"/>
            <w:vAlign w:val="center"/>
          </w:tcPr>
          <w:p w14:paraId="3972DA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91B1A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5733E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D69571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6CD8DD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66C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CDBA7D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在建</w:t>
            </w:r>
          </w:p>
        </w:tc>
        <w:tc>
          <w:tcPr>
            <w:tcW w:w="1548" w:type="dxa"/>
            <w:noWrap w:val="0"/>
            <w:vAlign w:val="center"/>
          </w:tcPr>
          <w:p w14:paraId="7A7EF54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w:t>
            </w:r>
          </w:p>
        </w:tc>
        <w:tc>
          <w:tcPr>
            <w:tcW w:w="1837" w:type="dxa"/>
            <w:noWrap w:val="0"/>
            <w:vAlign w:val="center"/>
          </w:tcPr>
          <w:p w14:paraId="38830C2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w:t>
            </w:r>
          </w:p>
        </w:tc>
        <w:tc>
          <w:tcPr>
            <w:tcW w:w="1472" w:type="dxa"/>
            <w:noWrap w:val="0"/>
            <w:vAlign w:val="center"/>
          </w:tcPr>
          <w:p w14:paraId="40243FB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w:t>
            </w:r>
          </w:p>
        </w:tc>
        <w:tc>
          <w:tcPr>
            <w:tcW w:w="1641" w:type="dxa"/>
            <w:noWrap w:val="0"/>
            <w:vAlign w:val="center"/>
          </w:tcPr>
          <w:p w14:paraId="37FD6E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w:t>
            </w:r>
          </w:p>
        </w:tc>
        <w:tc>
          <w:tcPr>
            <w:tcW w:w="1484" w:type="dxa"/>
            <w:noWrap w:val="0"/>
            <w:vAlign w:val="center"/>
          </w:tcPr>
          <w:p w14:paraId="585DA82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在建</w:t>
            </w:r>
          </w:p>
        </w:tc>
      </w:tr>
      <w:tr w14:paraId="7A911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3CBE36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noWrap w:val="0"/>
            <w:vAlign w:val="center"/>
          </w:tcPr>
          <w:p w14:paraId="2588412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A8FE1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35AE04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1CAA4A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6F71FC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1F0BEE69">
      <w:pPr>
        <w:tabs>
          <w:tab w:val="left" w:pos="826"/>
        </w:tabs>
        <w:snapToGrid w:val="0"/>
        <w:rPr>
          <w:rFonts w:cs="宋体"/>
          <w:b/>
          <w:bCs/>
          <w:color w:val="auto"/>
          <w:sz w:val="24"/>
          <w:szCs w:val="24"/>
          <w:highlight w:val="none"/>
        </w:rPr>
      </w:pPr>
    </w:p>
    <w:p w14:paraId="5A11195B">
      <w:pPr>
        <w:ind w:firstLine="420" w:firstLineChars="200"/>
        <w:rPr>
          <w:rFonts w:eastAsia="楷体_GB2312" w:cs="楷体_GB2312"/>
          <w:color w:val="auto"/>
          <w:highlight w:val="none"/>
        </w:rPr>
      </w:pPr>
      <w:r>
        <w:rPr>
          <w:rFonts w:hint="eastAsia" w:eastAsia="楷体_GB2312" w:cs="楷体_GB2312"/>
          <w:color w:val="auto"/>
          <w:highlight w:val="none"/>
        </w:rPr>
        <w:t>备注：</w:t>
      </w:r>
    </w:p>
    <w:p w14:paraId="1F655161">
      <w:pPr>
        <w:ind w:firstLine="420" w:firstLineChars="200"/>
        <w:rPr>
          <w:rFonts w:hint="eastAsia" w:ascii="方正楷体_GBK" w:hAnsi="方正楷体_GBK" w:eastAsia="方正楷体_GBK" w:cs="方正楷体_GBK"/>
          <w:color w:val="auto"/>
          <w:highlight w:val="none"/>
        </w:rPr>
      </w:pPr>
      <w:r>
        <w:rPr>
          <w:rFonts w:hint="eastAsia" w:ascii="方正楷体_GBK" w:hAnsi="方正楷体_GBK" w:eastAsia="方正楷体_GBK" w:cs="方正楷体_GBK"/>
          <w:color w:val="auto"/>
          <w:highlight w:val="none"/>
          <w:lang w:eastAsia="zh-CN"/>
        </w:rPr>
        <w:t>1.</w:t>
      </w:r>
      <w:r>
        <w:rPr>
          <w:rFonts w:hint="eastAsia" w:ascii="方正楷体_GBK" w:hAnsi="方正楷体_GBK" w:eastAsia="方正楷体_GBK" w:cs="方正楷体_GBK"/>
          <w:color w:val="auto"/>
          <w:highlight w:val="none"/>
        </w:rPr>
        <w:t>如招标人选择接受在建工程作为业绩的，业绩的信息均需从</w:t>
      </w:r>
      <w:r>
        <w:rPr>
          <w:rFonts w:hint="eastAsia" w:ascii="方正楷体_GBK" w:hAnsi="方正楷体_GBK" w:eastAsia="方正楷体_GBK" w:cs="方正楷体_GBK"/>
          <w:color w:val="auto"/>
          <w:highlight w:val="none"/>
          <w:lang w:eastAsia="zh-CN"/>
        </w:rPr>
        <w:t>“</w:t>
      </w:r>
      <w:r>
        <w:rPr>
          <w:rFonts w:hint="eastAsia" w:ascii="方正楷体_GBK" w:hAnsi="方正楷体_GBK" w:eastAsia="方正楷体_GBK" w:cs="方正楷体_GBK"/>
          <w:color w:val="auto"/>
          <w:highlight w:val="none"/>
        </w:rPr>
        <w:t>桂建云</w:t>
      </w:r>
      <w:r>
        <w:rPr>
          <w:rFonts w:hint="eastAsia" w:ascii="方正楷体_GBK" w:hAnsi="方正楷体_GBK" w:eastAsia="方正楷体_GBK" w:cs="方正楷体_GBK"/>
          <w:color w:val="auto"/>
          <w:highlight w:val="none"/>
          <w:lang w:eastAsia="zh-CN"/>
        </w:rPr>
        <w:t>”</w:t>
      </w:r>
      <w:r>
        <w:rPr>
          <w:rFonts w:hint="eastAsia" w:ascii="方正楷体_GBK" w:hAnsi="方正楷体_GBK" w:eastAsia="方正楷体_GBK" w:cs="方正楷体_GBK"/>
          <w:color w:val="auto"/>
          <w:highlight w:val="none"/>
        </w:rPr>
        <w:t>读取，投标人不可修改，业绩不需要提供扫描件，投标人以上信息未通过</w:t>
      </w:r>
      <w:r>
        <w:rPr>
          <w:rFonts w:hint="eastAsia" w:ascii="方正楷体_GBK" w:hAnsi="方正楷体_GBK" w:eastAsia="方正楷体_GBK" w:cs="方正楷体_GBK"/>
          <w:color w:val="auto"/>
          <w:highlight w:val="none"/>
          <w:lang w:eastAsia="zh-CN"/>
        </w:rPr>
        <w:t>“</w:t>
      </w:r>
      <w:r>
        <w:rPr>
          <w:rFonts w:hint="eastAsia" w:ascii="方正楷体_GBK" w:hAnsi="方正楷体_GBK" w:eastAsia="方正楷体_GBK" w:cs="方正楷体_GBK"/>
          <w:color w:val="auto"/>
          <w:highlight w:val="none"/>
        </w:rPr>
        <w:t>桂建云</w:t>
      </w:r>
      <w:r>
        <w:rPr>
          <w:rFonts w:hint="eastAsia" w:ascii="方正楷体_GBK" w:hAnsi="方正楷体_GBK" w:eastAsia="方正楷体_GBK" w:cs="方正楷体_GBK"/>
          <w:color w:val="auto"/>
          <w:highlight w:val="none"/>
          <w:lang w:eastAsia="zh-CN"/>
        </w:rPr>
        <w:t>”</w:t>
      </w:r>
      <w:r>
        <w:rPr>
          <w:rFonts w:hint="eastAsia" w:ascii="方正楷体_GBK" w:hAnsi="方正楷体_GBK" w:eastAsia="方正楷体_GBK" w:cs="方正楷体_GBK"/>
          <w:color w:val="auto"/>
          <w:highlight w:val="none"/>
        </w:rPr>
        <w:t>读取的，在评审时不予承认。</w:t>
      </w:r>
    </w:p>
    <w:p w14:paraId="1AE370D0">
      <w:pPr>
        <w:ind w:firstLine="420" w:firstLineChars="200"/>
        <w:rPr>
          <w:rFonts w:hint="eastAsia" w:ascii="方正楷体_GBK" w:hAnsi="方正楷体_GBK" w:eastAsia="方正楷体_GBK" w:cs="方正楷体_GBK"/>
          <w:color w:val="auto"/>
          <w:highlight w:val="none"/>
        </w:rPr>
      </w:pPr>
      <w:r>
        <w:rPr>
          <w:rFonts w:hint="eastAsia" w:ascii="方正楷体_GBK" w:hAnsi="方正楷体_GBK" w:eastAsia="方正楷体_GBK" w:cs="方正楷体_GBK"/>
          <w:color w:val="auto"/>
          <w:highlight w:val="none"/>
          <w:lang w:eastAsia="zh-CN"/>
        </w:rPr>
        <w:t>2.</w:t>
      </w:r>
      <w:r>
        <w:rPr>
          <w:rFonts w:hint="eastAsia" w:ascii="方正楷体_GBK" w:hAnsi="方正楷体_GBK" w:eastAsia="方正楷体_GBK" w:cs="方正楷体_GBK"/>
          <w:color w:val="auto"/>
          <w:highlight w:val="none"/>
        </w:rPr>
        <w:t>招标人可以根据项目情况增减表格内容，项目数投标人可以根据需要增加。</w:t>
      </w:r>
    </w:p>
    <w:p w14:paraId="176D2162">
      <w:pPr>
        <w:spacing w:before="120" w:beforeLines="50" w:after="120" w:afterLines="50"/>
        <w:ind w:left="630" w:leftChars="200" w:hanging="210" w:hangingChars="100"/>
        <w:rPr>
          <w:rFonts w:hint="eastAsia"/>
          <w:b/>
          <w:bCs/>
          <w:color w:val="auto"/>
          <w:sz w:val="28"/>
          <w:szCs w:val="28"/>
          <w:highlight w:val="none"/>
        </w:rPr>
        <w:sectPr>
          <w:pgSz w:w="11907" w:h="16840"/>
          <w:pgMar w:top="1440" w:right="1440" w:bottom="1440" w:left="1797" w:header="851" w:footer="851" w:gutter="0"/>
          <w:cols w:space="720" w:num="1"/>
          <w:docGrid w:linePitch="312" w:charSpace="0"/>
        </w:sectPr>
      </w:pPr>
      <w:r>
        <w:rPr>
          <w:rFonts w:hint="eastAsia" w:ascii="方正楷体_GBK" w:hAnsi="方正楷体_GBK" w:eastAsia="方正楷体_GBK" w:cs="方正楷体_GBK"/>
          <w:color w:val="auto"/>
          <w:highlight w:val="none"/>
          <w:lang w:eastAsia="zh-CN"/>
        </w:rPr>
        <w:t>3.</w:t>
      </w:r>
      <w:r>
        <w:rPr>
          <w:rFonts w:hint="eastAsia" w:ascii="方正楷体_GBK" w:hAnsi="方正楷体_GBK" w:eastAsia="方正楷体_GBK" w:cs="方正楷体_GBK"/>
          <w:color w:val="auto"/>
          <w:highlight w:val="none"/>
        </w:rPr>
        <w:t>表格不需要填写满，投标人只需根据招标文件评审要求导入对应证明信息供评委评审。</w:t>
      </w:r>
    </w:p>
    <w:p w14:paraId="787A2F50">
      <w:pPr>
        <w:tabs>
          <w:tab w:val="left" w:pos="826"/>
        </w:tabs>
        <w:snapToGrid w:val="0"/>
        <w:ind w:firstLine="482" w:firstLineChars="200"/>
        <w:rPr>
          <w:rFonts w:cs="宋体"/>
          <w:b/>
          <w:bCs/>
          <w:color w:val="auto"/>
          <w:sz w:val="24"/>
          <w:szCs w:val="24"/>
          <w:highlight w:val="none"/>
        </w:rPr>
      </w:pPr>
      <w:r>
        <w:rPr>
          <w:rFonts w:hint="eastAsia" w:ascii="Times New Roman" w:hAnsi="Times New Roman" w:cs="宋体"/>
          <w:b/>
          <w:bCs/>
          <w:color w:val="auto"/>
          <w:sz w:val="24"/>
          <w:szCs w:val="24"/>
          <w:highlight w:val="none"/>
        </w:rPr>
        <w:t>（4）采用建筑模型（BIM）技术项目业绩（如有）</w:t>
      </w:r>
    </w:p>
    <w:p w14:paraId="3CDE3AAD">
      <w:pPr>
        <w:tabs>
          <w:tab w:val="left" w:pos="0"/>
        </w:tabs>
        <w:spacing w:line="360" w:lineRule="auto"/>
        <w:ind w:right="-210"/>
        <w:jc w:val="center"/>
        <w:rPr>
          <w:rFonts w:hint="eastAsia"/>
          <w:color w:val="auto"/>
          <w:highlight w:val="none"/>
        </w:rPr>
      </w:pP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月至今（近年）采用建筑信息模型（BIM）技术的项目业绩表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1484"/>
      </w:tblGrid>
      <w:tr w14:paraId="7D59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F5B71C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noWrap w:val="0"/>
            <w:vAlign w:val="center"/>
          </w:tcPr>
          <w:p w14:paraId="21C62150">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noWrap w:val="0"/>
            <w:vAlign w:val="center"/>
          </w:tcPr>
          <w:p w14:paraId="46DDD04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noWrap w:val="0"/>
            <w:vAlign w:val="center"/>
          </w:tcPr>
          <w:p w14:paraId="5A7515F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noWrap w:val="0"/>
            <w:vAlign w:val="center"/>
          </w:tcPr>
          <w:p w14:paraId="6BC269D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noWrap w:val="0"/>
            <w:vAlign w:val="center"/>
          </w:tcPr>
          <w:p w14:paraId="4C1F0EA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6CFF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9F6DB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noWrap w:val="0"/>
            <w:vAlign w:val="center"/>
          </w:tcPr>
          <w:p w14:paraId="295850C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9A107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790F44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DE211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0FE9AE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8EB4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0E7BFE8">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noWrap w:val="0"/>
            <w:vAlign w:val="center"/>
          </w:tcPr>
          <w:p w14:paraId="1E683E7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04C8E4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2C1F43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867D8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FF2AA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660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BFF01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noWrap w:val="0"/>
            <w:vAlign w:val="center"/>
          </w:tcPr>
          <w:p w14:paraId="36093D9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4C445E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967D9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308087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C90C20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BC42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1617A9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noWrap w:val="0"/>
            <w:vAlign w:val="center"/>
          </w:tcPr>
          <w:p w14:paraId="292B7F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6ADD7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44470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5E930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E09EF3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4F0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629576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noWrap w:val="0"/>
            <w:vAlign w:val="center"/>
          </w:tcPr>
          <w:p w14:paraId="4FE1717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6CE3D3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DB8B2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C41735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BB0D42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5D4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356EE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noWrap w:val="0"/>
            <w:vAlign w:val="center"/>
          </w:tcPr>
          <w:p w14:paraId="071035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369D0E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684A7D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86A8DD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EC639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687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EE3CC3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noWrap w:val="0"/>
            <w:vAlign w:val="center"/>
          </w:tcPr>
          <w:p w14:paraId="12785C9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3776D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D3FFC0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873123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5D221D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B8B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7C8706F">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noWrap w:val="0"/>
            <w:vAlign w:val="center"/>
          </w:tcPr>
          <w:p w14:paraId="2AF126E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EB9823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01D2A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9677E1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B48FE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FAFD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07CE34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noWrap w:val="0"/>
            <w:vAlign w:val="center"/>
          </w:tcPr>
          <w:p w14:paraId="1BF532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D7114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59A7C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888F5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833A5D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FB5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C28A7A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noWrap w:val="0"/>
            <w:vAlign w:val="center"/>
          </w:tcPr>
          <w:p w14:paraId="593813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D348C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423C85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BC641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658CA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E22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CE1A356">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noWrap w:val="0"/>
            <w:vAlign w:val="center"/>
          </w:tcPr>
          <w:p w14:paraId="37760CD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12C579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5B99D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8556CF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CEA305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96CC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C20945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noWrap w:val="0"/>
            <w:vAlign w:val="center"/>
          </w:tcPr>
          <w:p w14:paraId="6C2DE36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BD1D96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98864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F3501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334EDC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2AF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6B4685D">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noWrap w:val="0"/>
            <w:vAlign w:val="center"/>
          </w:tcPr>
          <w:p w14:paraId="002136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D0FA3E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3EB21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40A4CF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A5897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CC6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39536D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noWrap w:val="0"/>
            <w:vAlign w:val="center"/>
          </w:tcPr>
          <w:p w14:paraId="4B703C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A665C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128FE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97BA9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C17A41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C87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0ACD031">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noWrap w:val="0"/>
            <w:vAlign w:val="center"/>
          </w:tcPr>
          <w:p w14:paraId="393F482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8E2FEC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1D662D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54CE4E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11775A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3306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2F079A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noWrap w:val="0"/>
            <w:vAlign w:val="center"/>
          </w:tcPr>
          <w:p w14:paraId="194A6C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48B4E8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BB4768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FEE5BB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22393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532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152D7C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noWrap w:val="0"/>
            <w:vAlign w:val="center"/>
          </w:tcPr>
          <w:p w14:paraId="2371CD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C12B2E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C2C544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A34B2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6B4703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2D5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0AF183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noWrap w:val="0"/>
            <w:vAlign w:val="center"/>
          </w:tcPr>
          <w:p w14:paraId="44C4F58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611D16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7FBBB5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9FE610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EF9CB9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0D0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EC073D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人员角色</w:t>
            </w:r>
          </w:p>
        </w:tc>
        <w:tc>
          <w:tcPr>
            <w:tcW w:w="1548" w:type="dxa"/>
            <w:noWrap w:val="0"/>
            <w:vAlign w:val="center"/>
          </w:tcPr>
          <w:p w14:paraId="35639B6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4C0A7E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A21FAE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05E57E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00A5F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78A6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8A5A76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w:t>
            </w:r>
            <w:r>
              <w:rPr>
                <w:rFonts w:hint="default" w:ascii="Calibri" w:hAnsi="Calibri" w:eastAsia="宋体" w:cs="宋体"/>
                <w:color w:val="auto"/>
                <w:highlight w:val="none"/>
              </w:rPr>
              <w:t>员姓名</w:t>
            </w:r>
          </w:p>
        </w:tc>
        <w:tc>
          <w:tcPr>
            <w:tcW w:w="1548" w:type="dxa"/>
            <w:noWrap w:val="0"/>
            <w:vAlign w:val="center"/>
          </w:tcPr>
          <w:p w14:paraId="09247D7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4CE322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3154C0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6E191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81518A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B2A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06CBC8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已完工</w:t>
            </w:r>
          </w:p>
        </w:tc>
        <w:tc>
          <w:tcPr>
            <w:tcW w:w="1548" w:type="dxa"/>
            <w:noWrap w:val="0"/>
            <w:vAlign w:val="center"/>
          </w:tcPr>
          <w:p w14:paraId="4A8D365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A1BF4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6141F2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003319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D56944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71A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8009FE1">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noWrap w:val="0"/>
            <w:vAlign w:val="center"/>
          </w:tcPr>
          <w:p w14:paraId="36B7603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EAC3F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940CA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135432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2B7666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16C3A34D">
      <w:pPr>
        <w:tabs>
          <w:tab w:val="left" w:pos="826"/>
        </w:tabs>
        <w:snapToGrid w:val="0"/>
        <w:spacing w:line="360" w:lineRule="auto"/>
        <w:ind w:firstLine="315" w:firstLineChars="150"/>
        <w:rPr>
          <w:rFonts w:hint="eastAsia"/>
          <w:color w:val="auto"/>
          <w:highlight w:val="none"/>
        </w:rPr>
      </w:pPr>
    </w:p>
    <w:p w14:paraId="35A7B514">
      <w:pPr>
        <w:rPr>
          <w:rFonts w:hint="eastAsia" w:eastAsia="楷体_GB2312"/>
          <w:color w:val="auto"/>
          <w:highlight w:val="none"/>
        </w:rPr>
      </w:pPr>
      <w:r>
        <w:rPr>
          <w:rFonts w:hint="eastAsia" w:eastAsia="楷体_GB2312"/>
          <w:color w:val="auto"/>
          <w:highlight w:val="none"/>
        </w:rPr>
        <w:t>备注：</w:t>
      </w:r>
    </w:p>
    <w:p w14:paraId="2E425DCC">
      <w:pPr>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vanish/>
          <w:color w:val="auto"/>
          <w:highlight w:val="none"/>
        </w:rPr>
        <w:t>姓名</w:t>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vanish/>
          <w:color w:val="auto"/>
          <w:highlight w:val="none"/>
        </w:rPr>
        <w:pgNum/>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企业业绩的信息均需从</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读取，投标人不可修改，业绩不需要提供扫描件，投标人以上信息未通过</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读取的，在评审时不予承认。</w:t>
      </w:r>
    </w:p>
    <w:p w14:paraId="0823FF17">
      <w:pPr>
        <w:ind w:firstLine="420" w:firstLineChars="200"/>
        <w:rPr>
          <w:rFonts w:eastAsia="楷体_GB2312" w:cs="楷体_GB2312"/>
          <w:color w:val="auto"/>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w:t>
      </w:r>
      <w:r>
        <w:rPr>
          <w:rFonts w:eastAsia="楷体_GB2312"/>
          <w:color w:val="auto"/>
          <w:highlight w:val="none"/>
        </w:rPr>
        <w:t>标人</w:t>
      </w:r>
      <w:r>
        <w:rPr>
          <w:rFonts w:hint="eastAsia" w:eastAsia="楷体_GB2312"/>
          <w:color w:val="auto"/>
          <w:highlight w:val="none"/>
        </w:rPr>
        <w:t>可以根据需要增加</w:t>
      </w:r>
      <w:r>
        <w:rPr>
          <w:rFonts w:hint="eastAsia" w:eastAsia="楷体_GB2312" w:cs="楷体_GB2312"/>
          <w:color w:val="auto"/>
          <w:highlight w:val="none"/>
        </w:rPr>
        <w:t>。</w:t>
      </w:r>
    </w:p>
    <w:p w14:paraId="69288739">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4F1A21BC">
      <w:pPr>
        <w:spacing w:line="360" w:lineRule="auto"/>
        <w:ind w:firstLine="420" w:firstLineChars="200"/>
        <w:rPr>
          <w:rFonts w:hint="eastAsia" w:eastAsia="楷体_GB2312"/>
          <w:color w:val="auto"/>
          <w:highlight w:val="none"/>
        </w:rPr>
      </w:pPr>
    </w:p>
    <w:p w14:paraId="1C2C2795">
      <w:pPr>
        <w:tabs>
          <w:tab w:val="left" w:pos="826"/>
        </w:tabs>
        <w:snapToGrid w:val="0"/>
        <w:ind w:firstLine="0" w:firstLineChars="0"/>
        <w:rPr>
          <w:rFonts w:cs="宋体"/>
          <w:b/>
          <w:bCs/>
          <w:color w:val="auto"/>
          <w:sz w:val="24"/>
          <w:szCs w:val="24"/>
          <w:highlight w:val="none"/>
        </w:rPr>
      </w:pPr>
      <w:r>
        <w:rPr>
          <w:rFonts w:hint="eastAsia" w:cs="宋体"/>
          <w:b/>
          <w:bCs/>
          <w:color w:val="auto"/>
          <w:sz w:val="24"/>
          <w:szCs w:val="24"/>
          <w:highlight w:val="none"/>
        </w:rPr>
        <w:t>（</w:t>
      </w:r>
      <w:r>
        <w:rPr>
          <w:rFonts w:cs="宋体"/>
          <w:b/>
          <w:bCs/>
          <w:color w:val="auto"/>
          <w:sz w:val="24"/>
          <w:szCs w:val="24"/>
          <w:highlight w:val="none"/>
        </w:rPr>
        <w:t>5</w:t>
      </w:r>
      <w:r>
        <w:rPr>
          <w:rFonts w:hint="eastAsia" w:cs="宋体"/>
          <w:b/>
          <w:bCs/>
          <w:color w:val="auto"/>
          <w:sz w:val="24"/>
          <w:szCs w:val="24"/>
          <w:highlight w:val="none"/>
        </w:rPr>
        <w:t>）采用装配式建筑项目业绩（如有）</w:t>
      </w:r>
    </w:p>
    <w:p w14:paraId="2DB3977E">
      <w:pPr>
        <w:tabs>
          <w:tab w:val="left" w:pos="0"/>
        </w:tabs>
        <w:spacing w:line="360" w:lineRule="auto"/>
        <w:ind w:right="-210"/>
        <w:jc w:val="center"/>
        <w:rPr>
          <w:rFonts w:hint="eastAsia"/>
          <w:color w:val="auto"/>
          <w:highlight w:val="none"/>
        </w:rPr>
      </w:pP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月至今（近年）采用装配式建筑项目业绩表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1484"/>
      </w:tblGrid>
      <w:tr w14:paraId="3E8C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DCC070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548" w:type="dxa"/>
            <w:noWrap w:val="0"/>
            <w:vAlign w:val="center"/>
          </w:tcPr>
          <w:p w14:paraId="69F80647">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项目1</w:t>
            </w:r>
          </w:p>
        </w:tc>
        <w:tc>
          <w:tcPr>
            <w:tcW w:w="1837" w:type="dxa"/>
            <w:noWrap w:val="0"/>
            <w:vAlign w:val="center"/>
          </w:tcPr>
          <w:p w14:paraId="6FCF754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项目2</w:t>
            </w:r>
          </w:p>
        </w:tc>
        <w:tc>
          <w:tcPr>
            <w:tcW w:w="1472" w:type="dxa"/>
            <w:noWrap w:val="0"/>
            <w:vAlign w:val="center"/>
          </w:tcPr>
          <w:p w14:paraId="28E2AE3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项目3</w:t>
            </w:r>
          </w:p>
        </w:tc>
        <w:tc>
          <w:tcPr>
            <w:tcW w:w="1641" w:type="dxa"/>
            <w:noWrap w:val="0"/>
            <w:vAlign w:val="center"/>
          </w:tcPr>
          <w:p w14:paraId="2D9123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项目4</w:t>
            </w:r>
          </w:p>
        </w:tc>
        <w:tc>
          <w:tcPr>
            <w:tcW w:w="1484" w:type="dxa"/>
            <w:noWrap w:val="0"/>
            <w:vAlign w:val="center"/>
          </w:tcPr>
          <w:p w14:paraId="22DC408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w:t>
            </w:r>
          </w:p>
        </w:tc>
      </w:tr>
      <w:tr w14:paraId="6F43F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8273D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Times New Roman"/>
                <w:color w:val="auto"/>
                <w:highlight w:val="none"/>
              </w:rPr>
              <w:t>项目名称</w:t>
            </w:r>
          </w:p>
        </w:tc>
        <w:tc>
          <w:tcPr>
            <w:tcW w:w="1548" w:type="dxa"/>
            <w:noWrap w:val="0"/>
            <w:vAlign w:val="center"/>
          </w:tcPr>
          <w:p w14:paraId="2B2BFC4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17D3D3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4CC08A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F7E4F5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FACD28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367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A8FF69D">
            <w:pPr>
              <w:keepNext w:val="0"/>
              <w:keepLines w:val="0"/>
              <w:suppressLineNumbers w:val="0"/>
              <w:spacing w:before="0" w:beforeAutospacing="0" w:after="0" w:afterAutospacing="0"/>
              <w:ind w:left="0" w:right="0"/>
              <w:jc w:val="center"/>
              <w:rPr>
                <w:rFonts w:hint="eastAsia" w:ascii="Calibri" w:hAnsi="Calibri" w:eastAsia="宋体" w:cs="Times New Roman"/>
                <w:color w:val="auto"/>
                <w:highlight w:val="none"/>
              </w:rPr>
            </w:pPr>
            <w:r>
              <w:rPr>
                <w:rFonts w:hint="eastAsia" w:ascii="Calibri" w:hAnsi="Calibri" w:eastAsia="宋体" w:cs="Times New Roman"/>
                <w:color w:val="auto"/>
                <w:highlight w:val="none"/>
              </w:rPr>
              <w:t>项目所在区县</w:t>
            </w:r>
          </w:p>
        </w:tc>
        <w:tc>
          <w:tcPr>
            <w:tcW w:w="1548" w:type="dxa"/>
            <w:noWrap w:val="0"/>
            <w:vAlign w:val="center"/>
          </w:tcPr>
          <w:p w14:paraId="3EAD937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7CC8EC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3C283F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7631E3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67D14B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60A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9803BC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建设单位</w:t>
            </w:r>
          </w:p>
        </w:tc>
        <w:tc>
          <w:tcPr>
            <w:tcW w:w="1548" w:type="dxa"/>
            <w:noWrap w:val="0"/>
            <w:vAlign w:val="center"/>
          </w:tcPr>
          <w:p w14:paraId="679E49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42ABF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B7A0F0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6C8E2C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16B2E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D23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781E658">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承包单位名称</w:t>
            </w:r>
          </w:p>
        </w:tc>
        <w:tc>
          <w:tcPr>
            <w:tcW w:w="1548" w:type="dxa"/>
            <w:noWrap w:val="0"/>
            <w:vAlign w:val="center"/>
          </w:tcPr>
          <w:p w14:paraId="102536B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CD3841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05635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AAE9D5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9087DE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A79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D85725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项目分类</w:t>
            </w:r>
          </w:p>
        </w:tc>
        <w:tc>
          <w:tcPr>
            <w:tcW w:w="1548" w:type="dxa"/>
            <w:noWrap w:val="0"/>
            <w:vAlign w:val="center"/>
          </w:tcPr>
          <w:p w14:paraId="2CEB270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57D2DC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760BFE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C8766F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B35DCE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80CF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9D8900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建设规模</w:t>
            </w:r>
          </w:p>
        </w:tc>
        <w:tc>
          <w:tcPr>
            <w:tcW w:w="1548" w:type="dxa"/>
            <w:noWrap w:val="0"/>
            <w:vAlign w:val="center"/>
          </w:tcPr>
          <w:p w14:paraId="600B158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A1516D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00167B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8BB33D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946E5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5F47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EF6039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结构体系</w:t>
            </w:r>
          </w:p>
        </w:tc>
        <w:tc>
          <w:tcPr>
            <w:tcW w:w="1548" w:type="dxa"/>
            <w:noWrap w:val="0"/>
            <w:vAlign w:val="center"/>
          </w:tcPr>
          <w:p w14:paraId="75E85B7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32E939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090917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C42A7A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73EAD68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B85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010F4E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面积</w:t>
            </w:r>
            <w:r>
              <w:rPr>
                <w:rFonts w:hint="default" w:ascii="Calibri" w:hAnsi="Calibri" w:eastAsia="宋体" w:cs="宋体"/>
                <w:color w:val="auto"/>
                <w:highlight w:val="none"/>
              </w:rPr>
              <w:t>（平方米）</w:t>
            </w:r>
          </w:p>
        </w:tc>
        <w:tc>
          <w:tcPr>
            <w:tcW w:w="1548" w:type="dxa"/>
            <w:noWrap w:val="0"/>
            <w:vAlign w:val="center"/>
          </w:tcPr>
          <w:p w14:paraId="5791543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282502E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827F49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CE3CCD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E61FB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EC41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E5308DA">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中标日期</w:t>
            </w:r>
          </w:p>
        </w:tc>
        <w:tc>
          <w:tcPr>
            <w:tcW w:w="1548" w:type="dxa"/>
            <w:noWrap w:val="0"/>
            <w:vAlign w:val="center"/>
          </w:tcPr>
          <w:p w14:paraId="16F3586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01413E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A0659B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9BB2DE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51EA9E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815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D495639">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合同金额（万元）</w:t>
            </w:r>
          </w:p>
        </w:tc>
        <w:tc>
          <w:tcPr>
            <w:tcW w:w="1548" w:type="dxa"/>
            <w:noWrap w:val="0"/>
            <w:vAlign w:val="center"/>
          </w:tcPr>
          <w:p w14:paraId="15B37A3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D75C37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2B61DD6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28BB80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79E0A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ADF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6AB85E4">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合同类别</w:t>
            </w:r>
          </w:p>
        </w:tc>
        <w:tc>
          <w:tcPr>
            <w:tcW w:w="1548" w:type="dxa"/>
            <w:noWrap w:val="0"/>
            <w:vAlign w:val="center"/>
          </w:tcPr>
          <w:p w14:paraId="18DF35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619B1EF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08D63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6CC5F6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D2A915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AD7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FC26B6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合同签订日期</w:t>
            </w:r>
          </w:p>
        </w:tc>
        <w:tc>
          <w:tcPr>
            <w:tcW w:w="1548" w:type="dxa"/>
            <w:noWrap w:val="0"/>
            <w:vAlign w:val="center"/>
          </w:tcPr>
          <w:p w14:paraId="00CAF0A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896FE7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015CAA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102A41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4CAF04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398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6468DFE">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施工许可证编号（全国平台）</w:t>
            </w:r>
          </w:p>
        </w:tc>
        <w:tc>
          <w:tcPr>
            <w:tcW w:w="1548" w:type="dxa"/>
            <w:noWrap w:val="0"/>
            <w:vAlign w:val="center"/>
          </w:tcPr>
          <w:p w14:paraId="0AC6B7F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3E322A1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9E0E1D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4A4050C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75D751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738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6057822">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省级施工许可证编号</w:t>
            </w:r>
          </w:p>
        </w:tc>
        <w:tc>
          <w:tcPr>
            <w:tcW w:w="1548" w:type="dxa"/>
            <w:noWrap w:val="0"/>
            <w:vAlign w:val="center"/>
          </w:tcPr>
          <w:p w14:paraId="2D5EC9B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3D4AB9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7CAB68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49C8B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28A91E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C0DB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A5318AD">
            <w:pPr>
              <w:keepNext w:val="0"/>
              <w:keepLines w:val="0"/>
              <w:suppressLineNumbers w:val="0"/>
              <w:spacing w:before="0" w:beforeAutospacing="0" w:after="0" w:afterAutospacing="0"/>
              <w:ind w:left="0" w:right="0"/>
              <w:jc w:val="center"/>
              <w:rPr>
                <w:rFonts w:hint="eastAsia" w:ascii="宋体" w:hAnsi="宋体" w:eastAsia="宋体" w:cs="宋体"/>
                <w:color w:val="auto"/>
                <w:sz w:val="27"/>
                <w:szCs w:val="27"/>
                <w:highlight w:val="none"/>
                <w:lang w:bidi="ar"/>
              </w:rPr>
            </w:pPr>
            <w:r>
              <w:rPr>
                <w:rFonts w:hint="eastAsia" w:ascii="Calibri" w:hAnsi="Calibri" w:eastAsia="宋体" w:cs="宋体"/>
                <w:color w:val="auto"/>
                <w:highlight w:val="none"/>
              </w:rPr>
              <w:t>开工日期</w:t>
            </w:r>
          </w:p>
        </w:tc>
        <w:tc>
          <w:tcPr>
            <w:tcW w:w="1548" w:type="dxa"/>
            <w:noWrap w:val="0"/>
            <w:vAlign w:val="center"/>
          </w:tcPr>
          <w:p w14:paraId="533B96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4C83FEB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2708FD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779E05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D8891B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6BE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9CE203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竣工日期</w:t>
            </w:r>
          </w:p>
        </w:tc>
        <w:tc>
          <w:tcPr>
            <w:tcW w:w="1548" w:type="dxa"/>
            <w:noWrap w:val="0"/>
            <w:vAlign w:val="center"/>
          </w:tcPr>
          <w:p w14:paraId="341235B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1C72AB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5962C9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87BE7D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663829E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AF8C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80E9CBC">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企业角色</w:t>
            </w:r>
          </w:p>
        </w:tc>
        <w:tc>
          <w:tcPr>
            <w:tcW w:w="1548" w:type="dxa"/>
            <w:noWrap w:val="0"/>
            <w:vAlign w:val="center"/>
          </w:tcPr>
          <w:p w14:paraId="1543BCE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023EEF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703C1E7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0AE03FF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D4A5DF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58F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9E57B3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企业名称</w:t>
            </w:r>
          </w:p>
        </w:tc>
        <w:tc>
          <w:tcPr>
            <w:tcW w:w="1548" w:type="dxa"/>
            <w:noWrap w:val="0"/>
            <w:vAlign w:val="center"/>
          </w:tcPr>
          <w:p w14:paraId="65C2AD2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65EC01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17B0E7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928AB4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0CA6B7B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025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3E42CF0">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人员角色</w:t>
            </w:r>
          </w:p>
        </w:tc>
        <w:tc>
          <w:tcPr>
            <w:tcW w:w="1548" w:type="dxa"/>
            <w:noWrap w:val="0"/>
            <w:vAlign w:val="center"/>
          </w:tcPr>
          <w:p w14:paraId="063332F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985992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48BBD9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5F34937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1016079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6BA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690D39C">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人</w:t>
            </w:r>
            <w:r>
              <w:rPr>
                <w:rFonts w:hint="default" w:ascii="Calibri" w:hAnsi="Calibri" w:eastAsia="宋体" w:cs="宋体"/>
                <w:color w:val="auto"/>
                <w:highlight w:val="none"/>
              </w:rPr>
              <w:t>员姓名</w:t>
            </w:r>
          </w:p>
        </w:tc>
        <w:tc>
          <w:tcPr>
            <w:tcW w:w="1548" w:type="dxa"/>
            <w:noWrap w:val="0"/>
            <w:vAlign w:val="center"/>
          </w:tcPr>
          <w:p w14:paraId="3CC76DC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B39982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AA439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3BBF32C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4E0E220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EC2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A67B32B">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已完工</w:t>
            </w:r>
          </w:p>
        </w:tc>
        <w:tc>
          <w:tcPr>
            <w:tcW w:w="1548" w:type="dxa"/>
            <w:noWrap w:val="0"/>
            <w:vAlign w:val="center"/>
          </w:tcPr>
          <w:p w14:paraId="71862FD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76F6015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628FD7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12E477F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27B444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B66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9DFEFA7">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工程质量</w:t>
            </w:r>
          </w:p>
        </w:tc>
        <w:tc>
          <w:tcPr>
            <w:tcW w:w="1548" w:type="dxa"/>
            <w:noWrap w:val="0"/>
            <w:vAlign w:val="center"/>
          </w:tcPr>
          <w:p w14:paraId="4CCB42F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37" w:type="dxa"/>
            <w:noWrap w:val="0"/>
            <w:vAlign w:val="center"/>
          </w:tcPr>
          <w:p w14:paraId="5EFFAA9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72" w:type="dxa"/>
            <w:noWrap w:val="0"/>
            <w:vAlign w:val="center"/>
          </w:tcPr>
          <w:p w14:paraId="38A26A1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641" w:type="dxa"/>
            <w:noWrap w:val="0"/>
            <w:vAlign w:val="center"/>
          </w:tcPr>
          <w:p w14:paraId="641627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484" w:type="dxa"/>
            <w:noWrap w:val="0"/>
            <w:vAlign w:val="center"/>
          </w:tcPr>
          <w:p w14:paraId="3F24C8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5E0BBE86">
      <w:pPr>
        <w:tabs>
          <w:tab w:val="left" w:pos="826"/>
        </w:tabs>
        <w:snapToGrid w:val="0"/>
        <w:spacing w:line="360" w:lineRule="auto"/>
        <w:ind w:firstLine="315" w:firstLineChars="150"/>
        <w:rPr>
          <w:rFonts w:hint="eastAsia"/>
          <w:color w:val="auto"/>
          <w:highlight w:val="none"/>
        </w:rPr>
      </w:pPr>
    </w:p>
    <w:p w14:paraId="3A5E21A1">
      <w:pPr>
        <w:rPr>
          <w:rFonts w:hint="eastAsia" w:eastAsia="楷体_GB2312"/>
          <w:color w:val="auto"/>
          <w:highlight w:val="none"/>
        </w:rPr>
      </w:pPr>
      <w:r>
        <w:rPr>
          <w:rFonts w:hint="eastAsia" w:eastAsia="楷体_GB2312"/>
          <w:color w:val="auto"/>
          <w:highlight w:val="none"/>
        </w:rPr>
        <w:t>备注：</w:t>
      </w:r>
    </w:p>
    <w:p w14:paraId="1FE49785">
      <w:pPr>
        <w:ind w:firstLine="420" w:firstLineChars="200"/>
        <w:rPr>
          <w:rFonts w:hint="default" w:eastAsia="楷体_GB2312"/>
          <w:color w:val="auto"/>
          <w:highlight w:val="none"/>
        </w:rPr>
      </w:pPr>
      <w:r>
        <w:rPr>
          <w:rFonts w:hint="eastAsia" w:eastAsia="楷体_GB2312"/>
          <w:color w:val="auto"/>
          <w:highlight w:val="none"/>
          <w:lang w:eastAsia="zh-CN"/>
        </w:rPr>
        <w:t>1.</w:t>
      </w:r>
      <w:r>
        <w:rPr>
          <w:rFonts w:hint="default" w:eastAsia="楷体_GB2312"/>
          <w:color w:val="auto"/>
          <w:highlight w:val="none"/>
        </w:rPr>
        <w:t>企业业绩的信息均需从</w:t>
      </w:r>
      <w:r>
        <w:rPr>
          <w:rFonts w:hint="eastAsia" w:eastAsia="楷体_GB2312"/>
          <w:color w:val="auto"/>
          <w:highlight w:val="none"/>
          <w:lang w:eastAsia="zh-CN"/>
        </w:rPr>
        <w:t>“</w:t>
      </w:r>
      <w:r>
        <w:rPr>
          <w:rFonts w:hint="default" w:eastAsia="楷体_GB2312"/>
          <w:color w:val="auto"/>
          <w:highlight w:val="none"/>
        </w:rPr>
        <w:t>桂建云</w:t>
      </w:r>
      <w:r>
        <w:rPr>
          <w:rFonts w:hint="eastAsia" w:eastAsia="楷体_GB2312"/>
          <w:color w:val="auto"/>
          <w:highlight w:val="none"/>
          <w:lang w:eastAsia="zh-CN"/>
        </w:rPr>
        <w:t>”</w:t>
      </w:r>
      <w:r>
        <w:rPr>
          <w:rFonts w:hint="default" w:eastAsia="楷体_GB2312"/>
          <w:color w:val="auto"/>
          <w:highlight w:val="none"/>
        </w:rPr>
        <w:t>读取，投标人不可修改，业绩不需要提供扫描件，投标人以上信息未通过</w:t>
      </w:r>
      <w:r>
        <w:rPr>
          <w:rFonts w:hint="eastAsia" w:eastAsia="楷体_GB2312"/>
          <w:color w:val="auto"/>
          <w:highlight w:val="none"/>
          <w:lang w:eastAsia="zh-CN"/>
        </w:rPr>
        <w:t>“</w:t>
      </w:r>
      <w:r>
        <w:rPr>
          <w:rFonts w:hint="default" w:eastAsia="楷体_GB2312"/>
          <w:color w:val="auto"/>
          <w:highlight w:val="none"/>
        </w:rPr>
        <w:t>桂建云</w:t>
      </w:r>
      <w:r>
        <w:rPr>
          <w:rFonts w:hint="eastAsia" w:eastAsia="楷体_GB2312"/>
          <w:color w:val="auto"/>
          <w:highlight w:val="none"/>
          <w:lang w:eastAsia="zh-CN"/>
        </w:rPr>
        <w:t>”</w:t>
      </w:r>
      <w:r>
        <w:rPr>
          <w:rFonts w:hint="default" w:eastAsia="楷体_GB2312"/>
          <w:color w:val="auto"/>
          <w:highlight w:val="none"/>
        </w:rPr>
        <w:t>读取的，在评审时不予承认。</w:t>
      </w:r>
    </w:p>
    <w:p w14:paraId="0CED79DB">
      <w:pPr>
        <w:ind w:firstLine="420" w:firstLineChars="200"/>
        <w:rPr>
          <w:rFonts w:eastAsia="楷体_GB2312" w:cs="楷体_GB2312"/>
          <w:color w:val="auto"/>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w:t>
      </w:r>
      <w:r>
        <w:rPr>
          <w:rFonts w:eastAsia="楷体_GB2312"/>
          <w:color w:val="auto"/>
          <w:highlight w:val="none"/>
        </w:rPr>
        <w:t>标人</w:t>
      </w:r>
      <w:r>
        <w:rPr>
          <w:rFonts w:hint="eastAsia" w:eastAsia="楷体_GB2312"/>
          <w:color w:val="auto"/>
          <w:highlight w:val="none"/>
        </w:rPr>
        <w:t>可以根据需要增加</w:t>
      </w:r>
      <w:r>
        <w:rPr>
          <w:rFonts w:hint="eastAsia" w:eastAsia="楷体_GB2312" w:cs="楷体_GB2312"/>
          <w:color w:val="auto"/>
          <w:highlight w:val="none"/>
        </w:rPr>
        <w:t>。</w:t>
      </w:r>
    </w:p>
    <w:p w14:paraId="2582F920">
      <w:pPr>
        <w:spacing w:line="360" w:lineRule="auto"/>
        <w:ind w:firstLine="420" w:firstLineChars="200"/>
        <w:rPr>
          <w:rFonts w:hint="eastAsia"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2A24AC7A">
      <w:pPr>
        <w:tabs>
          <w:tab w:val="left" w:pos="826"/>
        </w:tabs>
        <w:snapToGrid w:val="0"/>
        <w:ind w:firstLine="482" w:firstLineChars="200"/>
        <w:rPr>
          <w:rFonts w:hint="eastAsia" w:cs="宋体"/>
          <w:b/>
          <w:bCs/>
          <w:color w:val="auto"/>
          <w:sz w:val="24"/>
          <w:szCs w:val="24"/>
          <w:highlight w:val="none"/>
        </w:rPr>
      </w:pPr>
    </w:p>
    <w:p w14:paraId="592061A0">
      <w:pPr>
        <w:tabs>
          <w:tab w:val="left" w:pos="826"/>
        </w:tabs>
        <w:snapToGrid w:val="0"/>
        <w:ind w:firstLine="482" w:firstLineChars="200"/>
        <w:rPr>
          <w:b/>
          <w:bCs/>
          <w:color w:val="auto"/>
          <w:sz w:val="28"/>
          <w:szCs w:val="28"/>
          <w:highlight w:val="none"/>
        </w:rPr>
      </w:pPr>
      <w:r>
        <w:rPr>
          <w:rFonts w:hint="eastAsia" w:cs="宋体"/>
          <w:b/>
          <w:bCs/>
          <w:color w:val="auto"/>
          <w:sz w:val="24"/>
          <w:szCs w:val="24"/>
          <w:highlight w:val="none"/>
        </w:rPr>
        <w:t>（</w:t>
      </w:r>
      <w:r>
        <w:rPr>
          <w:b/>
          <w:bCs/>
          <w:color w:val="auto"/>
          <w:sz w:val="24"/>
          <w:szCs w:val="24"/>
          <w:highlight w:val="none"/>
        </w:rPr>
        <w:t>6</w:t>
      </w:r>
      <w:r>
        <w:rPr>
          <w:rFonts w:hint="eastAsia" w:cs="宋体"/>
          <w:b/>
          <w:bCs/>
          <w:color w:val="auto"/>
          <w:sz w:val="24"/>
          <w:szCs w:val="24"/>
          <w:highlight w:val="none"/>
        </w:rPr>
        <w:t>）企业</w:t>
      </w:r>
      <w:r>
        <w:rPr>
          <w:rFonts w:cs="宋体"/>
          <w:b/>
          <w:bCs/>
          <w:color w:val="auto"/>
          <w:sz w:val="24"/>
          <w:szCs w:val="24"/>
          <w:highlight w:val="none"/>
        </w:rPr>
        <w:t>___年至___年</w:t>
      </w:r>
      <w:r>
        <w:rPr>
          <w:rFonts w:hint="eastAsia" w:cs="宋体"/>
          <w:b/>
          <w:bCs/>
          <w:color w:val="auto"/>
          <w:sz w:val="24"/>
          <w:szCs w:val="24"/>
          <w:highlight w:val="none"/>
        </w:rPr>
        <w:t>（一般为近三年）财务状况</w:t>
      </w:r>
    </w:p>
    <w:p w14:paraId="6172EEA8">
      <w:pPr>
        <w:spacing w:line="460" w:lineRule="exact"/>
        <w:ind w:firstLine="630" w:firstLineChars="300"/>
        <w:rPr>
          <w:color w:val="auto"/>
          <w:highlight w:val="none"/>
        </w:rPr>
      </w:pPr>
    </w:p>
    <w:p w14:paraId="574BD4CE">
      <w:pPr>
        <w:spacing w:line="360" w:lineRule="auto"/>
        <w:rPr>
          <w:rFonts w:eastAsia="楷体_GB2312" w:cs="楷体_GB2312"/>
          <w:color w:val="auto"/>
          <w:highlight w:val="none"/>
        </w:rPr>
      </w:pPr>
      <w:r>
        <w:rPr>
          <w:rFonts w:hint="eastAsia" w:eastAsia="楷体_GB2312" w:cs="楷体_GB2312"/>
          <w:color w:val="auto"/>
          <w:highlight w:val="none"/>
        </w:rPr>
        <w:t>【备注：指已</w:t>
      </w:r>
      <w:r>
        <w:rPr>
          <w:rFonts w:hint="eastAsia" w:eastAsia="楷体_GB2312" w:cs="楷体_GB2312"/>
          <w:b w:val="0"/>
          <w:bCs w:val="0"/>
          <w:color w:val="auto"/>
          <w:highlight w:val="none"/>
          <w:lang w:eastAsia="zh-CN"/>
        </w:rPr>
        <w:t>录入</w:t>
      </w:r>
      <w:r>
        <w:rPr>
          <w:rFonts w:hint="eastAsia" w:eastAsia="楷体_GB2312" w:cs="楷体_GB2312"/>
          <w:color w:val="auto"/>
          <w:highlight w:val="none"/>
          <w:lang w:eastAsia="zh-CN"/>
        </w:rPr>
        <w:t>“</w:t>
      </w:r>
      <w:r>
        <w:rPr>
          <w:rFonts w:hint="eastAsia" w:eastAsia="楷体_GB2312" w:cs="楷体_GB2312"/>
          <w:color w:val="auto"/>
          <w:highlight w:val="none"/>
        </w:rPr>
        <w:t>桂建云</w:t>
      </w:r>
      <w:r>
        <w:rPr>
          <w:rFonts w:hint="eastAsia" w:eastAsia="楷体_GB2312" w:cs="楷体_GB2312"/>
          <w:color w:val="auto"/>
          <w:highlight w:val="none"/>
          <w:lang w:eastAsia="zh-CN"/>
        </w:rPr>
        <w:t>”</w:t>
      </w:r>
      <w:r>
        <w:rPr>
          <w:rFonts w:hint="eastAsia" w:eastAsia="楷体_GB2312" w:cs="楷体_GB2312"/>
          <w:color w:val="auto"/>
          <w:highlight w:val="none"/>
        </w:rPr>
        <w:t>的经会计师事务所或审计机构审计的财务会计报表，包括资产负债表、现金流量表、利润表的扫描件。具体年份要求见第二章</w:t>
      </w:r>
      <w:r>
        <w:rPr>
          <w:rFonts w:hint="eastAsia" w:eastAsia="楷体_GB2312"/>
          <w:color w:val="auto"/>
          <w:highlight w:val="none"/>
          <w:lang w:eastAsia="zh-CN"/>
        </w:rPr>
        <w:t>“</w:t>
      </w:r>
      <w:r>
        <w:rPr>
          <w:rFonts w:hint="eastAsia" w:eastAsia="楷体_GB2312" w:cs="楷体_GB2312"/>
          <w:color w:val="auto"/>
          <w:highlight w:val="none"/>
        </w:rPr>
        <w:t>投标人须知</w:t>
      </w:r>
      <w:r>
        <w:rPr>
          <w:rFonts w:hint="eastAsia" w:eastAsia="楷体_GB2312"/>
          <w:color w:val="auto"/>
          <w:highlight w:val="none"/>
          <w:lang w:eastAsia="zh-CN"/>
        </w:rPr>
        <w:t>”</w:t>
      </w:r>
      <w:r>
        <w:rPr>
          <w:rFonts w:hint="eastAsia" w:eastAsia="楷体_GB2312" w:cs="楷体_GB2312"/>
          <w:color w:val="auto"/>
          <w:highlight w:val="none"/>
        </w:rPr>
        <w:t>的规定。以上扫描件均为原件的扫描件】</w:t>
      </w:r>
    </w:p>
    <w:p w14:paraId="53FC8178">
      <w:pPr>
        <w:spacing w:line="360" w:lineRule="auto"/>
        <w:rPr>
          <w:rFonts w:eastAsia="楷体_GB2312" w:cs="楷体_GB2312"/>
          <w:color w:val="auto"/>
          <w:highlight w:val="none"/>
        </w:rPr>
      </w:pPr>
    </w:p>
    <w:p w14:paraId="5420F551">
      <w:pPr>
        <w:spacing w:line="360" w:lineRule="auto"/>
        <w:rPr>
          <w:rFonts w:eastAsia="楷体_GB2312" w:cs="楷体_GB2312"/>
          <w:color w:val="auto"/>
          <w:highlight w:val="none"/>
        </w:rPr>
      </w:pPr>
    </w:p>
    <w:p w14:paraId="5A961A87">
      <w:pPr>
        <w:spacing w:line="360" w:lineRule="auto"/>
        <w:ind w:firstLine="562" w:firstLineChars="200"/>
        <w:rPr>
          <w:rFonts w:hint="eastAsia" w:cs="宋体"/>
          <w:b/>
          <w:bCs/>
          <w:color w:val="auto"/>
          <w:sz w:val="28"/>
          <w:szCs w:val="28"/>
          <w:highlight w:val="none"/>
        </w:rPr>
      </w:pPr>
      <w:r>
        <w:rPr>
          <w:rFonts w:hint="eastAsia" w:cs="宋体"/>
          <w:b/>
          <w:bCs/>
          <w:color w:val="auto"/>
          <w:sz w:val="28"/>
          <w:szCs w:val="28"/>
          <w:highlight w:val="none"/>
        </w:rPr>
        <w:t>（</w:t>
      </w:r>
      <w:r>
        <w:rPr>
          <w:rFonts w:cs="宋体"/>
          <w:b/>
          <w:bCs/>
          <w:color w:val="auto"/>
          <w:sz w:val="28"/>
          <w:szCs w:val="28"/>
          <w:highlight w:val="none"/>
        </w:rPr>
        <w:t>7</w:t>
      </w:r>
      <w:r>
        <w:rPr>
          <w:rFonts w:hint="eastAsia" w:cs="宋体"/>
          <w:b/>
          <w:bCs/>
          <w:color w:val="auto"/>
          <w:sz w:val="28"/>
          <w:szCs w:val="28"/>
          <w:highlight w:val="none"/>
        </w:rPr>
        <w:t>）中小企业声明函</w:t>
      </w:r>
    </w:p>
    <w:p w14:paraId="2280C2D6">
      <w:pPr>
        <w:pStyle w:val="37"/>
        <w:snapToGrid w:val="0"/>
        <w:spacing w:line="300" w:lineRule="auto"/>
        <w:jc w:val="center"/>
        <w:rPr>
          <w:rFonts w:cs="黑体"/>
          <w:b/>
          <w:snapToGrid w:val="0"/>
          <w:color w:val="auto"/>
          <w:highlight w:val="none"/>
        </w:rPr>
      </w:pPr>
      <w:r>
        <w:rPr>
          <w:rFonts w:hint="eastAsia" w:cs="黑体"/>
          <w:b/>
          <w:snapToGrid w:val="0"/>
          <w:color w:val="auto"/>
          <w:highlight w:val="none"/>
        </w:rPr>
        <w:t>中小企业声明函（工程）</w:t>
      </w:r>
    </w:p>
    <w:p w14:paraId="13FE1F26">
      <w:pPr>
        <w:spacing w:line="360" w:lineRule="auto"/>
        <w:ind w:firstLine="420"/>
        <w:rPr>
          <w:rFonts w:hint="eastAsia"/>
          <w:bCs/>
          <w:color w:val="auto"/>
          <w:highlight w:val="none"/>
        </w:rPr>
      </w:pPr>
      <w:r>
        <w:rPr>
          <w:rFonts w:hint="eastAsia"/>
          <w:bCs/>
          <w:color w:val="auto"/>
          <w:highlight w:val="none"/>
        </w:rPr>
        <w:t>本公司（联合体）郑重声明，根据《政府采购促进中小企业发展管理办法》（财库﹝</w:t>
      </w:r>
      <w:r>
        <w:rPr>
          <w:bCs/>
          <w:color w:val="auto"/>
          <w:highlight w:val="none"/>
        </w:rPr>
        <w:t>2020</w:t>
      </w:r>
      <w:r>
        <w:rPr>
          <w:rFonts w:hint="eastAsia"/>
          <w:bCs/>
          <w:color w:val="auto"/>
          <w:highlight w:val="none"/>
        </w:rPr>
        <w:t>﹞</w:t>
      </w:r>
      <w:r>
        <w:rPr>
          <w:bCs/>
          <w:color w:val="auto"/>
          <w:highlight w:val="none"/>
        </w:rPr>
        <w:t xml:space="preserve">46 </w:t>
      </w:r>
      <w:r>
        <w:rPr>
          <w:rFonts w:hint="eastAsia"/>
          <w:bCs/>
          <w:color w:val="auto"/>
          <w:highlight w:val="none"/>
        </w:rPr>
        <w:t>号）的规定，本公司（联合体）参加</w:t>
      </w:r>
      <w:r>
        <w:rPr>
          <w:rFonts w:hint="eastAsia"/>
          <w:bCs/>
          <w:color w:val="auto"/>
          <w:highlight w:val="none"/>
          <w:u w:val="single"/>
        </w:rPr>
        <w:t>（单位名称）</w:t>
      </w:r>
      <w:r>
        <w:rPr>
          <w:rFonts w:hint="eastAsia"/>
          <w:bCs/>
          <w:color w:val="auto"/>
          <w:highlight w:val="none"/>
        </w:rPr>
        <w:t>的</w:t>
      </w:r>
      <w:r>
        <w:rPr>
          <w:rFonts w:hint="eastAsia"/>
          <w:bCs/>
          <w:color w:val="auto"/>
          <w:highlight w:val="none"/>
          <w:u w:val="single"/>
          <w:lang w:eastAsia="zh-CN"/>
        </w:rPr>
        <w:t>广西警察学院长湖校区3号学员公寓楼改造工程（重）</w:t>
      </w:r>
      <w:r>
        <w:rPr>
          <w:rFonts w:hint="eastAsia"/>
          <w:bCs/>
          <w:color w:val="auto"/>
          <w:highlight w:val="none"/>
        </w:rPr>
        <w:t>采购活动，工程的施工单位全部为符合政策要求的中小企业。相关企业（含联合体中的中小企业、签订分包意向协议的中小企业）的具体情况如下：</w:t>
      </w:r>
    </w:p>
    <w:p w14:paraId="488EC329">
      <w:pPr>
        <w:spacing w:line="360" w:lineRule="auto"/>
        <w:ind w:firstLine="420"/>
        <w:rPr>
          <w:bCs/>
          <w:color w:val="auto"/>
          <w:highlight w:val="none"/>
        </w:rPr>
      </w:pPr>
      <w:r>
        <w:rPr>
          <w:bCs/>
          <w:color w:val="auto"/>
          <w:highlight w:val="none"/>
        </w:rPr>
        <w:t>1.</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w:t>
      </w:r>
      <w:r>
        <w:rPr>
          <w:rFonts w:hint="eastAsia"/>
          <w:bCs/>
          <w:color w:val="auto"/>
          <w:highlight w:val="none"/>
          <w:u w:val="single"/>
          <w:lang w:eastAsia="zh-CN"/>
        </w:rPr>
        <w:t>“</w:t>
      </w:r>
      <w:r>
        <w:rPr>
          <w:rFonts w:hint="eastAsia"/>
          <w:bCs/>
          <w:color w:val="auto"/>
          <w:highlight w:val="none"/>
          <w:u w:val="single"/>
        </w:rPr>
        <w:t>投标人须知前附表</w:t>
      </w:r>
      <w:r>
        <w:rPr>
          <w:rFonts w:hint="eastAsia"/>
          <w:bCs/>
          <w:color w:val="auto"/>
          <w:highlight w:val="none"/>
          <w:u w:val="single"/>
          <w:lang w:eastAsia="zh-CN"/>
        </w:rPr>
        <w:t>”</w:t>
      </w:r>
      <w:r>
        <w:rPr>
          <w:bCs/>
          <w:color w:val="auto"/>
          <w:highlight w:val="none"/>
          <w:u w:val="single"/>
        </w:rPr>
        <w:t>10.1</w:t>
      </w:r>
      <w:r>
        <w:rPr>
          <w:rFonts w:hint="eastAsia"/>
          <w:bCs/>
          <w:color w:val="auto"/>
          <w:highlight w:val="none"/>
          <w:u w:val="single"/>
          <w:lang w:val="en-US" w:eastAsia="zh-CN"/>
        </w:rPr>
        <w:t>1</w:t>
      </w:r>
      <w:r>
        <w:rPr>
          <w:rFonts w:hint="eastAsia"/>
          <w:bCs/>
          <w:color w:val="auto"/>
          <w:highlight w:val="none"/>
          <w:u w:val="single"/>
        </w:rPr>
        <w:t>中明确的所属行业）</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2A6B0130">
      <w:pPr>
        <w:spacing w:line="360" w:lineRule="auto"/>
        <w:ind w:firstLine="420"/>
        <w:rPr>
          <w:bCs/>
          <w:color w:val="auto"/>
          <w:highlight w:val="none"/>
        </w:rPr>
      </w:pPr>
      <w:r>
        <w:rPr>
          <w:bCs/>
          <w:color w:val="auto"/>
          <w:highlight w:val="none"/>
        </w:rPr>
        <w:t>2.</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w:t>
      </w:r>
      <w:r>
        <w:rPr>
          <w:rFonts w:hint="eastAsia"/>
          <w:bCs/>
          <w:color w:val="auto"/>
          <w:highlight w:val="none"/>
          <w:u w:val="single"/>
          <w:lang w:eastAsia="zh-CN"/>
        </w:rPr>
        <w:t>“</w:t>
      </w:r>
      <w:r>
        <w:rPr>
          <w:rFonts w:hint="eastAsia"/>
          <w:bCs/>
          <w:color w:val="auto"/>
          <w:highlight w:val="none"/>
          <w:u w:val="single"/>
        </w:rPr>
        <w:t>投标人须知前附表</w:t>
      </w:r>
      <w:r>
        <w:rPr>
          <w:rFonts w:hint="eastAsia"/>
          <w:bCs/>
          <w:color w:val="auto"/>
          <w:highlight w:val="none"/>
          <w:u w:val="single"/>
          <w:lang w:eastAsia="zh-CN"/>
        </w:rPr>
        <w:t>”</w:t>
      </w:r>
      <w:r>
        <w:rPr>
          <w:bCs/>
          <w:color w:val="auto"/>
          <w:highlight w:val="none"/>
          <w:u w:val="single"/>
        </w:rPr>
        <w:t>10.1</w:t>
      </w:r>
      <w:r>
        <w:rPr>
          <w:rFonts w:hint="eastAsia"/>
          <w:bCs/>
          <w:color w:val="auto"/>
          <w:highlight w:val="none"/>
          <w:u w:val="single"/>
          <w:lang w:val="en-US" w:eastAsia="zh-CN"/>
        </w:rPr>
        <w:t>1</w:t>
      </w:r>
      <w:r>
        <w:rPr>
          <w:rFonts w:hint="eastAsia"/>
          <w:bCs/>
          <w:color w:val="auto"/>
          <w:highlight w:val="none"/>
          <w:u w:val="single"/>
        </w:rPr>
        <w:t>中明确的所属行业）</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46706028">
      <w:pPr>
        <w:spacing w:line="360" w:lineRule="auto"/>
        <w:ind w:firstLine="420"/>
        <w:rPr>
          <w:bCs/>
          <w:color w:val="auto"/>
          <w:highlight w:val="none"/>
        </w:rPr>
      </w:pPr>
      <w:r>
        <w:rPr>
          <w:rFonts w:hint="eastAsia"/>
          <w:bCs/>
          <w:color w:val="auto"/>
          <w:highlight w:val="none"/>
        </w:rPr>
        <w:t>……</w:t>
      </w:r>
    </w:p>
    <w:p w14:paraId="7C7D0ECA">
      <w:pPr>
        <w:spacing w:line="360" w:lineRule="auto"/>
        <w:ind w:firstLine="42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5B4D75C2">
      <w:pPr>
        <w:spacing w:line="360" w:lineRule="auto"/>
        <w:ind w:firstLine="420"/>
        <w:rPr>
          <w:bCs/>
          <w:color w:val="auto"/>
          <w:highlight w:val="none"/>
        </w:rPr>
      </w:pPr>
      <w:r>
        <w:rPr>
          <w:rFonts w:hint="eastAsia"/>
          <w:bCs/>
          <w:color w:val="auto"/>
          <w:highlight w:val="none"/>
        </w:rPr>
        <w:t>本企业对上述声明内容的真实性负责。如有虚假，将依法承担相应责任。</w:t>
      </w:r>
    </w:p>
    <w:p w14:paraId="5C89E337">
      <w:pPr>
        <w:spacing w:line="360" w:lineRule="auto"/>
        <w:ind w:firstLine="3150" w:firstLineChars="1500"/>
        <w:rPr>
          <w:bCs/>
          <w:color w:val="auto"/>
          <w:highlight w:val="none"/>
        </w:rPr>
      </w:pPr>
      <w:r>
        <w:rPr>
          <w:rFonts w:hint="eastAsia"/>
          <w:bCs/>
          <w:color w:val="auto"/>
          <w:highlight w:val="none"/>
        </w:rPr>
        <w:t>企业名称（盖法人单位电子印章）：</w:t>
      </w:r>
    </w:p>
    <w:p w14:paraId="7ED8FC5D">
      <w:pPr>
        <w:spacing w:line="360" w:lineRule="auto"/>
        <w:ind w:firstLine="3150" w:firstLineChars="1500"/>
        <w:rPr>
          <w:bCs/>
          <w:color w:val="auto"/>
          <w:highlight w:val="none"/>
        </w:rPr>
      </w:pPr>
      <w:r>
        <w:rPr>
          <w:rFonts w:hint="eastAsia"/>
          <w:bCs/>
          <w:color w:val="auto"/>
          <w:highlight w:val="none"/>
        </w:rPr>
        <w:t>日期：</w:t>
      </w:r>
    </w:p>
    <w:p w14:paraId="49C6187D">
      <w:pPr>
        <w:spacing w:line="360" w:lineRule="auto"/>
        <w:jc w:val="left"/>
        <w:rPr>
          <w:bCs/>
          <w:color w:val="auto"/>
          <w:highlight w:val="none"/>
        </w:rPr>
      </w:pPr>
    </w:p>
    <w:p w14:paraId="33113550">
      <w:pPr>
        <w:spacing w:line="360" w:lineRule="auto"/>
        <w:jc w:val="left"/>
        <w:rPr>
          <w:bCs/>
          <w:color w:val="auto"/>
          <w:highlight w:val="none"/>
        </w:rPr>
      </w:pPr>
      <w:r>
        <w:rPr>
          <w:rFonts w:hint="eastAsia"/>
          <w:bCs/>
          <w:color w:val="auto"/>
          <w:highlight w:val="none"/>
        </w:rPr>
        <w:t>注：（</w:t>
      </w:r>
      <w:r>
        <w:rPr>
          <w:bCs/>
          <w:color w:val="auto"/>
          <w:highlight w:val="none"/>
        </w:rPr>
        <w:t>1</w:t>
      </w:r>
      <w:r>
        <w:rPr>
          <w:rFonts w:hint="eastAsia"/>
          <w:bCs/>
          <w:color w:val="auto"/>
          <w:highlight w:val="none"/>
        </w:rPr>
        <w:t>）如投标人为联合体或分包的，声明函中</w:t>
      </w:r>
      <w:r>
        <w:rPr>
          <w:rFonts w:hint="eastAsia"/>
          <w:bCs/>
          <w:color w:val="auto"/>
          <w:highlight w:val="none"/>
          <w:lang w:eastAsia="zh-CN"/>
        </w:rPr>
        <w:t>“</w:t>
      </w:r>
      <w:r>
        <w:rPr>
          <w:rFonts w:hint="eastAsia"/>
          <w:bCs/>
          <w:color w:val="auto"/>
          <w:highlight w:val="none"/>
          <w:lang w:val="en-US" w:eastAsia="zh-CN"/>
        </w:rPr>
        <w:t>标的</w:t>
      </w:r>
      <w:r>
        <w:rPr>
          <w:rFonts w:hint="eastAsia"/>
          <w:bCs/>
          <w:color w:val="auto"/>
          <w:highlight w:val="none"/>
        </w:rPr>
        <w:t>名称</w:t>
      </w:r>
      <w:r>
        <w:rPr>
          <w:rFonts w:hint="eastAsia"/>
          <w:bCs/>
          <w:color w:val="auto"/>
          <w:highlight w:val="none"/>
          <w:lang w:eastAsia="zh-CN"/>
        </w:rPr>
        <w:t>”</w:t>
      </w:r>
      <w:r>
        <w:rPr>
          <w:rFonts w:hint="eastAsia"/>
          <w:bCs/>
          <w:color w:val="auto"/>
          <w:highlight w:val="none"/>
        </w:rPr>
        <w:t>应填写联合体中中小企业承担的具体内容或者中小企业具体分包内容。</w:t>
      </w:r>
    </w:p>
    <w:p w14:paraId="6F23B366">
      <w:pPr>
        <w:spacing w:line="360" w:lineRule="auto"/>
        <w:jc w:val="left"/>
        <w:rPr>
          <w:bCs/>
          <w:color w:val="auto"/>
          <w:highlight w:val="none"/>
        </w:rPr>
      </w:pPr>
      <w:r>
        <w:rPr>
          <w:rFonts w:hint="eastAsia"/>
          <w:bCs/>
          <w:color w:val="auto"/>
          <w:highlight w:val="none"/>
        </w:rPr>
        <w:t>（</w:t>
      </w:r>
      <w:r>
        <w:rPr>
          <w:bCs/>
          <w:color w:val="auto"/>
          <w:highlight w:val="none"/>
        </w:rPr>
        <w:t>2</w:t>
      </w:r>
      <w:r>
        <w:rPr>
          <w:rFonts w:hint="eastAsia"/>
          <w:bCs/>
          <w:color w:val="auto"/>
          <w:highlight w:val="none"/>
        </w:rPr>
        <w:t>）请根据真实情况出具《中小企业声明函》。</w:t>
      </w:r>
      <w:r>
        <w:rPr>
          <w:rFonts w:hint="eastAsia"/>
          <w:color w:val="auto"/>
          <w:highlight w:val="none"/>
        </w:rPr>
        <w:t>中标候选人享受《政府采购促进中小企业发展管理办法》（财库〔2020〕46号）规定的中小企业扶持政策的，招标人</w:t>
      </w:r>
      <w:r>
        <w:rPr>
          <w:rFonts w:hint="eastAsia" w:cs="宋体"/>
          <w:color w:val="auto"/>
          <w:highlight w:val="none"/>
        </w:rPr>
        <w:t>或者其委托的招标代理机构</w:t>
      </w:r>
      <w:r>
        <w:rPr>
          <w:rFonts w:hint="eastAsia"/>
          <w:color w:val="auto"/>
          <w:highlight w:val="none"/>
        </w:rPr>
        <w:t>应当在公示中标候选人时公开中标候选人的《中小企业声明函》</w:t>
      </w:r>
      <w:r>
        <w:rPr>
          <w:rFonts w:hint="eastAsia"/>
          <w:bCs/>
          <w:color w:val="auto"/>
          <w:highlight w:val="none"/>
        </w:rPr>
        <w:t>，接受社会监督。</w:t>
      </w:r>
    </w:p>
    <w:p w14:paraId="1E14CA60">
      <w:pPr>
        <w:spacing w:line="360" w:lineRule="auto"/>
        <w:rPr>
          <w:rFonts w:hint="eastAsia"/>
          <w:bCs/>
          <w:color w:val="auto"/>
          <w:highlight w:val="none"/>
        </w:rPr>
      </w:pPr>
      <w:r>
        <w:rPr>
          <w:rFonts w:hint="eastAsia"/>
          <w:bCs/>
          <w:color w:val="auto"/>
          <w:highlight w:val="none"/>
        </w:rPr>
        <w:t>（</w:t>
      </w:r>
      <w:r>
        <w:rPr>
          <w:bCs/>
          <w:color w:val="auto"/>
          <w:highlight w:val="none"/>
        </w:rPr>
        <w:t>3</w:t>
      </w:r>
      <w:r>
        <w:rPr>
          <w:rFonts w:hint="eastAsia"/>
          <w:bCs/>
          <w:color w:val="auto"/>
          <w:highlight w:val="none"/>
        </w:rPr>
        <w:t>）从业人员、营业收入、资产总额填报上一年度数据，无上一年度数据的新成立企业可不填报。</w:t>
      </w:r>
    </w:p>
    <w:p w14:paraId="7A9D8A8C">
      <w:pPr>
        <w:spacing w:line="360" w:lineRule="auto"/>
        <w:ind w:firstLine="562" w:firstLineChars="200"/>
        <w:rPr>
          <w:rFonts w:hint="eastAsia" w:cs="宋体"/>
          <w:b/>
          <w:bCs/>
          <w:color w:val="auto"/>
          <w:sz w:val="28"/>
          <w:szCs w:val="28"/>
          <w:highlight w:val="none"/>
        </w:rPr>
      </w:pPr>
      <w:r>
        <w:rPr>
          <w:rFonts w:hint="eastAsia" w:cs="宋体"/>
          <w:b/>
          <w:bCs/>
          <w:color w:val="auto"/>
          <w:sz w:val="28"/>
          <w:szCs w:val="28"/>
          <w:highlight w:val="none"/>
        </w:rPr>
        <w:t>（</w:t>
      </w:r>
      <w:r>
        <w:rPr>
          <w:rFonts w:cs="宋体"/>
          <w:b/>
          <w:bCs/>
          <w:color w:val="auto"/>
          <w:sz w:val="28"/>
          <w:szCs w:val="28"/>
          <w:highlight w:val="none"/>
        </w:rPr>
        <w:t>8</w:t>
      </w:r>
      <w:r>
        <w:rPr>
          <w:rFonts w:hint="eastAsia" w:cs="宋体"/>
          <w:b/>
          <w:bCs/>
          <w:color w:val="auto"/>
          <w:sz w:val="28"/>
          <w:szCs w:val="28"/>
          <w:highlight w:val="none"/>
        </w:rPr>
        <w:t>）残疾人福利性单位声明函</w:t>
      </w:r>
    </w:p>
    <w:p w14:paraId="3CD6CF20">
      <w:pPr>
        <w:spacing w:line="360" w:lineRule="auto"/>
        <w:rPr>
          <w:color w:val="auto"/>
          <w:highlight w:val="none"/>
        </w:rPr>
      </w:pPr>
    </w:p>
    <w:p w14:paraId="23AC2635">
      <w:pPr>
        <w:spacing w:line="588" w:lineRule="exact"/>
        <w:jc w:val="center"/>
        <w:rPr>
          <w:rFonts w:ascii="宋体" w:hAnsi="宋体" w:cs="方正小标宋简体"/>
          <w:b/>
          <w:bCs/>
          <w:color w:val="auto"/>
          <w:spacing w:val="6"/>
          <w:sz w:val="24"/>
          <w:szCs w:val="24"/>
          <w:highlight w:val="none"/>
        </w:rPr>
      </w:pPr>
      <w:r>
        <w:rPr>
          <w:rFonts w:hint="eastAsia" w:ascii="宋体" w:hAnsi="宋体" w:cs="方正小标宋简体"/>
          <w:b/>
          <w:bCs/>
          <w:color w:val="auto"/>
          <w:spacing w:val="6"/>
          <w:sz w:val="24"/>
          <w:szCs w:val="24"/>
          <w:highlight w:val="none"/>
        </w:rPr>
        <w:t>残疾人福利性单位声明函</w:t>
      </w:r>
    </w:p>
    <w:p w14:paraId="2AA5C429">
      <w:pPr>
        <w:spacing w:line="360" w:lineRule="auto"/>
        <w:rPr>
          <w:rFonts w:hint="eastAsia" w:ascii="仿宋_GB2312" w:eastAsia="仿宋_GB2312"/>
          <w:bCs/>
          <w:color w:val="auto"/>
          <w:spacing w:val="6"/>
          <w:sz w:val="30"/>
          <w:szCs w:val="30"/>
          <w:highlight w:val="none"/>
        </w:rPr>
      </w:pPr>
    </w:p>
    <w:p w14:paraId="1502B7B0">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本单位郑重声明，根据《财政部 民政部 中国残疾人联合会关于促进残疾人就业政府采购政策的通知》（财库</w:t>
      </w:r>
      <w:r>
        <w:rPr>
          <w:rFonts w:hint="eastAsia" w:ascii="宋体" w:hAnsi="宋体"/>
          <w:color w:val="auto"/>
          <w:spacing w:val="6"/>
          <w:highlight w:val="none"/>
          <w:lang w:eastAsia="zh-CN"/>
        </w:rPr>
        <w:t>〔2017〕141号</w:t>
      </w:r>
      <w:r>
        <w:rPr>
          <w:rFonts w:hint="eastAsia" w:ascii="宋体" w:hAnsi="宋体"/>
          <w:color w:val="auto"/>
          <w:spacing w:val="6"/>
          <w:highlight w:val="none"/>
        </w:rPr>
        <w:t>）的规定，本单位为符合条件的残疾人福利性单位，且本单位参加</w:t>
      </w:r>
      <w:r>
        <w:rPr>
          <w:rFonts w:hint="eastAsia" w:ascii="宋体" w:hAnsi="宋体"/>
          <w:color w:val="auto"/>
          <w:spacing w:val="6"/>
          <w:highlight w:val="none"/>
          <w:u w:val="single"/>
        </w:rPr>
        <w:t>______</w:t>
      </w:r>
      <w:r>
        <w:rPr>
          <w:rFonts w:hint="eastAsia" w:ascii="宋体" w:hAnsi="宋体"/>
          <w:color w:val="auto"/>
          <w:spacing w:val="6"/>
          <w:highlight w:val="none"/>
        </w:rPr>
        <w:t>单位的</w:t>
      </w:r>
      <w:r>
        <w:rPr>
          <w:rFonts w:hint="eastAsia" w:ascii="宋体" w:hAnsi="宋体"/>
          <w:color w:val="auto"/>
          <w:spacing w:val="6"/>
          <w:highlight w:val="none"/>
          <w:u w:val="single"/>
        </w:rPr>
        <w:t>______</w:t>
      </w:r>
      <w:r>
        <w:rPr>
          <w:rFonts w:hint="eastAsia" w:ascii="宋体" w:hAnsi="宋体"/>
          <w:color w:val="auto"/>
          <w:spacing w:val="6"/>
          <w:highlight w:val="none"/>
        </w:rPr>
        <w:t>项目招标活动由本单位承担工程</w:t>
      </w:r>
      <w:r>
        <w:rPr>
          <w:rFonts w:hint="eastAsia" w:ascii="宋体" w:hAnsi="宋体"/>
          <w:color w:val="auto"/>
          <w:spacing w:val="-6"/>
          <w:highlight w:val="none"/>
        </w:rPr>
        <w:t>。</w:t>
      </w:r>
    </w:p>
    <w:p w14:paraId="27889B63">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本单位对上述声明的真实性负责。如有虚假，将依法承担相应责任。</w:t>
      </w:r>
    </w:p>
    <w:p w14:paraId="182A622B">
      <w:pPr>
        <w:spacing w:line="360" w:lineRule="auto"/>
        <w:ind w:firstLine="444" w:firstLineChars="200"/>
        <w:rPr>
          <w:rFonts w:hint="eastAsia" w:ascii="宋体" w:hAnsi="宋体"/>
          <w:color w:val="auto"/>
          <w:spacing w:val="6"/>
          <w:highlight w:val="none"/>
        </w:rPr>
      </w:pPr>
    </w:p>
    <w:p w14:paraId="76AD6368">
      <w:pPr>
        <w:spacing w:line="360" w:lineRule="auto"/>
        <w:ind w:firstLine="444" w:firstLineChars="200"/>
        <w:rPr>
          <w:rFonts w:hint="eastAsia" w:ascii="宋体" w:hAnsi="宋体"/>
          <w:color w:val="auto"/>
          <w:spacing w:val="6"/>
          <w:highlight w:val="none"/>
        </w:rPr>
      </w:pPr>
    </w:p>
    <w:p w14:paraId="0DDD2889">
      <w:pPr>
        <w:tabs>
          <w:tab w:val="left" w:pos="4860"/>
        </w:tabs>
        <w:spacing w:line="360" w:lineRule="auto"/>
        <w:ind w:right="1560" w:firstLine="444" w:firstLineChars="200"/>
        <w:contextualSpacing/>
        <w:jc w:val="center"/>
        <w:rPr>
          <w:rFonts w:hint="eastAsia" w:ascii="宋体" w:hAnsi="宋体"/>
          <w:color w:val="auto"/>
          <w:spacing w:val="6"/>
          <w:highlight w:val="none"/>
        </w:rPr>
      </w:pPr>
      <w:r>
        <w:rPr>
          <w:rFonts w:hint="eastAsia" w:ascii="宋体" w:hAnsi="宋体"/>
          <w:color w:val="auto"/>
          <w:spacing w:val="6"/>
          <w:highlight w:val="none"/>
        </w:rPr>
        <w:t xml:space="preserve">                              单位名称（盖法人单位电子印章）：</w:t>
      </w:r>
    </w:p>
    <w:p w14:paraId="396C10ED">
      <w:pPr>
        <w:tabs>
          <w:tab w:val="left" w:pos="4860"/>
        </w:tabs>
        <w:spacing w:line="360" w:lineRule="auto"/>
        <w:ind w:right="1560" w:firstLine="5328" w:firstLineChars="2400"/>
        <w:contextualSpacing/>
        <w:jc w:val="center"/>
        <w:rPr>
          <w:color w:val="auto"/>
          <w:highlight w:val="none"/>
        </w:rPr>
      </w:pPr>
      <w:r>
        <w:rPr>
          <w:rFonts w:hint="eastAsia" w:ascii="宋体" w:hAnsi="宋体"/>
          <w:color w:val="auto"/>
          <w:spacing w:val="6"/>
          <w:highlight w:val="none"/>
        </w:rPr>
        <w:t>日  期：</w:t>
      </w:r>
    </w:p>
    <w:p w14:paraId="70C70068">
      <w:pPr>
        <w:tabs>
          <w:tab w:val="left" w:pos="4860"/>
        </w:tabs>
        <w:spacing w:line="360" w:lineRule="auto"/>
        <w:ind w:right="1560" w:firstLine="5040" w:firstLineChars="2400"/>
        <w:contextualSpacing/>
        <w:jc w:val="center"/>
        <w:rPr>
          <w:color w:val="auto"/>
          <w:highlight w:val="none"/>
        </w:rPr>
      </w:pPr>
    </w:p>
    <w:p w14:paraId="3836781B">
      <w:pPr>
        <w:pBdr>
          <w:top w:val="none" w:color="auto" w:sz="0" w:space="0"/>
          <w:left w:val="none" w:color="auto" w:sz="0" w:space="0"/>
          <w:bottom w:val="none" w:color="auto" w:sz="0" w:space="0"/>
          <w:right w:val="none" w:color="auto" w:sz="0" w:space="0"/>
          <w:between w:val="none" w:color="auto" w:sz="0" w:space="0"/>
        </w:pBdr>
        <w:spacing w:line="460" w:lineRule="exact"/>
        <w:ind w:firstLine="5040" w:firstLineChars="2400"/>
        <w:rPr>
          <w:color w:val="auto"/>
          <w:highlight w:val="none"/>
        </w:rPr>
      </w:pPr>
    </w:p>
    <w:p w14:paraId="1096DFF8">
      <w:p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color w:val="auto"/>
          <w:highlight w:val="none"/>
        </w:rPr>
      </w:pPr>
    </w:p>
    <w:p w14:paraId="0054361B">
      <w:p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color w:val="auto"/>
          <w:highlight w:val="none"/>
        </w:rPr>
      </w:pPr>
    </w:p>
    <w:p w14:paraId="25C7BA24">
      <w:p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color w:val="auto"/>
          <w:highlight w:val="none"/>
        </w:rPr>
      </w:pPr>
    </w:p>
    <w:p w14:paraId="291A2B23">
      <w:p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color w:val="auto"/>
          <w:highlight w:val="none"/>
        </w:rPr>
      </w:pPr>
    </w:p>
    <w:p w14:paraId="065280BB">
      <w:p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color w:val="auto"/>
          <w:highlight w:val="none"/>
        </w:rPr>
      </w:pPr>
    </w:p>
    <w:p w14:paraId="61E6C81F">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424C7A5D">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08A7B76A">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2BDF18FC">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60C303D0">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7C0E5916">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161EB73B">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49CDD274">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4305850C">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60346EDC">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3C1624FC">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5493643A">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5C46C188">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27A91BCB">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73BCFF4E">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6221907F">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1152A9E5">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3745B559">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5BA1CD24">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59CD2276">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26214270">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04DE89FF">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5C8A7E26">
      <w:pPr>
        <w:pStyle w:val="28"/>
        <w:pBdr>
          <w:top w:val="none" w:color="auto" w:sz="0" w:space="0"/>
          <w:left w:val="none" w:color="auto" w:sz="0" w:space="0"/>
          <w:bottom w:val="none" w:color="auto" w:sz="0" w:space="0"/>
          <w:right w:val="none" w:color="auto" w:sz="0" w:space="0"/>
          <w:between w:val="none" w:color="auto" w:sz="0" w:space="0"/>
        </w:pBdr>
        <w:rPr>
          <w:color w:val="auto"/>
          <w:highlight w:val="none"/>
        </w:rPr>
      </w:pPr>
    </w:p>
    <w:p w14:paraId="0BBC2BB3">
      <w:p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color w:val="auto"/>
          <w:highlight w:val="none"/>
        </w:rPr>
      </w:pPr>
    </w:p>
    <w:p w14:paraId="493C6F37">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lang w:eastAsia="zh-CN"/>
        </w:rPr>
        <w:t>广西警察学院长湖校区3号学员公寓楼改造工程（重）</w:t>
      </w:r>
      <w:r>
        <w:rPr>
          <w:rFonts w:hint="eastAsia" w:cs="宋体"/>
          <w:color w:val="auto"/>
          <w:sz w:val="28"/>
          <w:szCs w:val="28"/>
          <w:highlight w:val="none"/>
        </w:rPr>
        <w:t>施工招标</w:t>
      </w:r>
    </w:p>
    <w:p w14:paraId="33DFACCA">
      <w:pPr>
        <w:jc w:val="center"/>
        <w:rPr>
          <w:color w:val="auto"/>
          <w:sz w:val="28"/>
          <w:szCs w:val="28"/>
          <w:highlight w:val="none"/>
        </w:rPr>
      </w:pPr>
    </w:p>
    <w:p w14:paraId="466E2D39">
      <w:pPr>
        <w:spacing w:before="240"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14:paraId="1CD68C42">
      <w:pPr>
        <w:jc w:val="center"/>
        <w:rPr>
          <w:color w:val="auto"/>
          <w:sz w:val="32"/>
          <w:szCs w:val="32"/>
          <w:highlight w:val="none"/>
        </w:rPr>
      </w:pPr>
    </w:p>
    <w:p w14:paraId="0AF969A6">
      <w:pPr>
        <w:jc w:val="center"/>
        <w:rPr>
          <w:color w:val="auto"/>
          <w:sz w:val="32"/>
          <w:szCs w:val="32"/>
          <w:highlight w:val="none"/>
        </w:rPr>
      </w:pPr>
    </w:p>
    <w:p w14:paraId="7DE23B25">
      <w:pPr>
        <w:jc w:val="center"/>
        <w:rPr>
          <w:color w:val="auto"/>
          <w:sz w:val="32"/>
          <w:szCs w:val="32"/>
          <w:highlight w:val="none"/>
        </w:rPr>
      </w:pPr>
    </w:p>
    <w:p w14:paraId="5B8F971E">
      <w:pPr>
        <w:jc w:val="center"/>
        <w:rPr>
          <w:color w:val="auto"/>
          <w:sz w:val="32"/>
          <w:szCs w:val="32"/>
          <w:highlight w:val="none"/>
        </w:rPr>
      </w:pPr>
    </w:p>
    <w:p w14:paraId="02064127">
      <w:pPr>
        <w:spacing w:line="360" w:lineRule="auto"/>
        <w:ind w:firstLine="2380" w:firstLineChars="850"/>
        <w:rPr>
          <w:color w:val="auto"/>
          <w:sz w:val="28"/>
          <w:szCs w:val="28"/>
          <w:highlight w:val="none"/>
          <w:u w:val="single"/>
        </w:rPr>
      </w:pPr>
      <w:r>
        <w:rPr>
          <w:rFonts w:hint="eastAsia" w:cs="宋体"/>
          <w:color w:val="auto"/>
          <w:sz w:val="28"/>
          <w:szCs w:val="28"/>
          <w:highlight w:val="none"/>
          <w:lang w:eastAsia="zh-CN"/>
        </w:rPr>
        <w:t>招标项目编号</w:t>
      </w:r>
      <w:r>
        <w:rPr>
          <w:rFonts w:hint="eastAsia" w:cs="宋体"/>
          <w:color w:val="auto"/>
          <w:sz w:val="28"/>
          <w:szCs w:val="28"/>
          <w:highlight w:val="none"/>
        </w:rPr>
        <w:t>：</w:t>
      </w:r>
      <w:r>
        <w:rPr>
          <w:color w:val="auto"/>
          <w:sz w:val="28"/>
          <w:szCs w:val="28"/>
          <w:highlight w:val="none"/>
          <w:u w:val="single"/>
        </w:rPr>
        <w:t xml:space="preserve">                   </w:t>
      </w:r>
    </w:p>
    <w:p w14:paraId="1FE4DCEF">
      <w:pPr>
        <w:jc w:val="center"/>
        <w:rPr>
          <w:color w:val="auto"/>
          <w:sz w:val="32"/>
          <w:szCs w:val="32"/>
          <w:highlight w:val="none"/>
        </w:rPr>
      </w:pPr>
    </w:p>
    <w:p w14:paraId="0A02E706">
      <w:pPr>
        <w:jc w:val="center"/>
        <w:rPr>
          <w:color w:val="auto"/>
          <w:sz w:val="32"/>
          <w:szCs w:val="32"/>
          <w:highlight w:val="none"/>
        </w:rPr>
      </w:pPr>
    </w:p>
    <w:p w14:paraId="332143DB">
      <w:pPr>
        <w:jc w:val="center"/>
        <w:rPr>
          <w:color w:val="auto"/>
          <w:sz w:val="32"/>
          <w:szCs w:val="32"/>
          <w:highlight w:val="none"/>
        </w:rPr>
      </w:pPr>
    </w:p>
    <w:p w14:paraId="2804F61D">
      <w:pPr>
        <w:jc w:val="center"/>
        <w:rPr>
          <w:color w:val="auto"/>
          <w:sz w:val="32"/>
          <w:szCs w:val="32"/>
          <w:highlight w:val="none"/>
        </w:rPr>
      </w:pPr>
    </w:p>
    <w:p w14:paraId="2C80D97B">
      <w:pPr>
        <w:jc w:val="center"/>
        <w:rPr>
          <w:color w:val="auto"/>
          <w:sz w:val="32"/>
          <w:szCs w:val="32"/>
          <w:highlight w:val="none"/>
        </w:rPr>
      </w:pPr>
    </w:p>
    <w:p w14:paraId="42D9D115">
      <w:pPr>
        <w:jc w:val="center"/>
        <w:rPr>
          <w:color w:val="auto"/>
          <w:sz w:val="32"/>
          <w:szCs w:val="32"/>
          <w:highlight w:val="none"/>
        </w:rPr>
      </w:pPr>
    </w:p>
    <w:p w14:paraId="6323F439">
      <w:pPr>
        <w:jc w:val="center"/>
        <w:rPr>
          <w:color w:val="auto"/>
          <w:sz w:val="32"/>
          <w:szCs w:val="32"/>
          <w:highlight w:val="none"/>
        </w:rPr>
      </w:pPr>
    </w:p>
    <w:p w14:paraId="5F28DC37">
      <w:pPr>
        <w:jc w:val="center"/>
        <w:rPr>
          <w:color w:val="auto"/>
          <w:sz w:val="32"/>
          <w:szCs w:val="32"/>
          <w:highlight w:val="none"/>
        </w:rPr>
      </w:pPr>
    </w:p>
    <w:p w14:paraId="4CE5D790">
      <w:pPr>
        <w:spacing w:line="360" w:lineRule="auto"/>
        <w:ind w:firstLine="1400" w:firstLineChars="500"/>
        <w:rPr>
          <w:color w:val="auto"/>
          <w:sz w:val="28"/>
          <w:szCs w:val="28"/>
          <w:highlight w:val="non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商务标部分</w:t>
      </w:r>
      <w:r>
        <w:rPr>
          <w:color w:val="auto"/>
          <w:sz w:val="28"/>
          <w:szCs w:val="28"/>
          <w:highlight w:val="none"/>
          <w:u w:val="single"/>
        </w:rPr>
        <w:t xml:space="preserve">           </w:t>
      </w:r>
    </w:p>
    <w:p w14:paraId="05301DAD">
      <w:pPr>
        <w:spacing w:line="360" w:lineRule="auto"/>
        <w:ind w:firstLine="1400" w:firstLineChars="500"/>
        <w:rPr>
          <w:rFonts w:hint="default" w:eastAsia="宋体"/>
          <w:color w:val="auto"/>
          <w:sz w:val="28"/>
          <w:szCs w:val="28"/>
          <w:highlight w:val="none"/>
          <w:lang w:val="en-US" w:eastAsia="zh-CN"/>
        </w:rPr>
      </w:pPr>
      <w:r>
        <w:rPr>
          <w:rFonts w:hint="eastAsia" w:cs="宋体"/>
          <w:color w:val="auto"/>
          <w:sz w:val="28"/>
          <w:szCs w:val="28"/>
          <w:highlight w:val="none"/>
        </w:rPr>
        <w:t>投标人：</w:t>
      </w:r>
      <w:r>
        <w:rPr>
          <w:color w:val="auto"/>
          <w:sz w:val="28"/>
          <w:szCs w:val="28"/>
          <w:highlight w:val="none"/>
          <w:u w:val="single"/>
        </w:rPr>
        <w:t xml:space="preserve">            </w:t>
      </w:r>
      <w:r>
        <w:rPr>
          <w:rFonts w:hint="eastAsia" w:cs="宋体"/>
          <w:color w:val="auto"/>
          <w:sz w:val="28"/>
          <w:szCs w:val="28"/>
          <w:highlight w:val="none"/>
          <w:u w:val="single"/>
        </w:rPr>
        <w:t>（</w:t>
      </w:r>
      <w:r>
        <w:rPr>
          <w:rFonts w:hint="eastAsia" w:cs="宋体"/>
          <w:color w:val="auto"/>
          <w:sz w:val="28"/>
          <w:szCs w:val="28"/>
          <w:highlight w:val="none"/>
          <w:u w:val="single"/>
          <w:lang w:eastAsia="zh-CN"/>
        </w:rPr>
        <w:t>盖法人单位电子印章</w:t>
      </w:r>
      <w:r>
        <w:rPr>
          <w:rFonts w:hint="eastAsia" w:cs="宋体"/>
          <w:color w:val="auto"/>
          <w:sz w:val="28"/>
          <w:szCs w:val="28"/>
          <w:highlight w:val="none"/>
          <w:u w:val="single"/>
        </w:rPr>
        <w:t>）</w:t>
      </w:r>
      <w:r>
        <w:rPr>
          <w:rFonts w:hint="eastAsia" w:cs="宋体"/>
          <w:color w:val="auto"/>
          <w:sz w:val="28"/>
          <w:szCs w:val="28"/>
          <w:highlight w:val="none"/>
          <w:u w:val="single"/>
          <w:lang w:val="en-US" w:eastAsia="zh-CN"/>
        </w:rPr>
        <w:t xml:space="preserve"> </w:t>
      </w:r>
    </w:p>
    <w:p w14:paraId="72EC1D9B">
      <w:pPr>
        <w:jc w:val="center"/>
        <w:rPr>
          <w:color w:val="auto"/>
          <w:sz w:val="28"/>
          <w:szCs w:val="28"/>
          <w:highlight w:val="none"/>
        </w:rPr>
      </w:pPr>
    </w:p>
    <w:p w14:paraId="4D813277">
      <w:pPr>
        <w:jc w:val="center"/>
        <w:rPr>
          <w:color w:val="auto"/>
          <w:sz w:val="28"/>
          <w:szCs w:val="28"/>
          <w:highlight w:val="none"/>
        </w:rPr>
      </w:pPr>
    </w:p>
    <w:p w14:paraId="622CB6B9">
      <w:pPr>
        <w:jc w:val="center"/>
        <w:rPr>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14:paraId="4A279C59">
      <w:pPr>
        <w:pStyle w:val="136"/>
        <w:jc w:val="center"/>
        <w:outlineLvl w:val="0"/>
        <w:rPr>
          <w:color w:val="auto"/>
          <w:highlight w:val="none"/>
        </w:rPr>
      </w:pPr>
      <w:r>
        <w:rPr>
          <w:color w:val="auto"/>
          <w:highlight w:val="none"/>
        </w:rPr>
        <w:br w:type="page"/>
      </w:r>
      <w:bookmarkStart w:id="1982" w:name="_Toc389065355"/>
    </w:p>
    <w:p w14:paraId="45B5DEC1">
      <w:pPr>
        <w:spacing w:line="400" w:lineRule="exact"/>
        <w:ind w:firstLine="420"/>
        <w:jc w:val="center"/>
        <w:outlineLvl w:val="1"/>
        <w:rPr>
          <w:rFonts w:hint="default" w:ascii="Times New Roman" w:hAnsi="Times New Roman" w:cs="Times New Roman"/>
          <w:b/>
          <w:color w:val="auto"/>
          <w:sz w:val="28"/>
          <w:szCs w:val="28"/>
          <w:highlight w:val="none"/>
        </w:rPr>
      </w:pPr>
      <w:bookmarkStart w:id="1983" w:name="_Toc855271648"/>
      <w:bookmarkStart w:id="1984" w:name="_Toc246517792"/>
      <w:bookmarkStart w:id="1985" w:name="_Toc529647244"/>
      <w:bookmarkStart w:id="1986" w:name="_Toc1472189110"/>
      <w:bookmarkStart w:id="1987" w:name="_Toc864125998"/>
      <w:bookmarkStart w:id="1988" w:name="_Toc154553176"/>
      <w:bookmarkStart w:id="1989" w:name="_Toc20684"/>
      <w:r>
        <w:rPr>
          <w:rFonts w:hint="default" w:ascii="Times New Roman" w:hAnsi="Times New Roman" w:cs="Times New Roman"/>
          <w:b/>
          <w:color w:val="auto"/>
          <w:sz w:val="28"/>
          <w:szCs w:val="28"/>
          <w:highlight w:val="none"/>
        </w:rPr>
        <w:t>商务标目录</w:t>
      </w:r>
      <w:bookmarkEnd w:id="1983"/>
      <w:bookmarkEnd w:id="1984"/>
      <w:bookmarkEnd w:id="1985"/>
      <w:bookmarkEnd w:id="1986"/>
      <w:bookmarkEnd w:id="1987"/>
      <w:bookmarkEnd w:id="1988"/>
      <w:bookmarkEnd w:id="1989"/>
    </w:p>
    <w:p w14:paraId="321446EA">
      <w:pPr>
        <w:spacing w:line="400" w:lineRule="exact"/>
        <w:ind w:firstLine="420"/>
        <w:rPr>
          <w:rFonts w:hint="default" w:ascii="Times New Roman" w:hAnsi="Times New Roman" w:cs="Times New Roman"/>
          <w:color w:val="auto"/>
          <w:highlight w:val="none"/>
        </w:rPr>
      </w:pPr>
    </w:p>
    <w:p w14:paraId="56F5B320">
      <w:pPr>
        <w:spacing w:line="360" w:lineRule="auto"/>
        <w:ind w:firstLine="420"/>
        <w:rPr>
          <w:rFonts w:hint="default" w:ascii="Times New Roman" w:hAnsi="Times New Roman" w:cs="Times New Roman"/>
          <w:color w:val="auto"/>
          <w:szCs w:val="21"/>
          <w:highlight w:val="none"/>
        </w:rPr>
      </w:pPr>
      <w:r>
        <w:rPr>
          <w:rFonts w:hint="eastAsia" w:cs="Times New Roman"/>
          <w:color w:val="auto"/>
          <w:szCs w:val="21"/>
          <w:highlight w:val="none"/>
          <w:lang w:eastAsia="zh-CN"/>
        </w:rPr>
        <w:t>1.</w:t>
      </w:r>
      <w:r>
        <w:rPr>
          <w:rFonts w:hint="default" w:ascii="Times New Roman" w:hAnsi="Times New Roman" w:cs="Times New Roman"/>
          <w:color w:val="auto"/>
          <w:szCs w:val="21"/>
          <w:highlight w:val="none"/>
        </w:rPr>
        <w:t>投标函</w:t>
      </w:r>
    </w:p>
    <w:p w14:paraId="6EF5CCAE">
      <w:pPr>
        <w:spacing w:line="360" w:lineRule="auto"/>
        <w:ind w:firstLine="420"/>
        <w:rPr>
          <w:rFonts w:hint="default" w:ascii="Times New Roman" w:hAnsi="Times New Roman" w:cs="Times New Roman"/>
          <w:color w:val="auto"/>
          <w:szCs w:val="21"/>
          <w:highlight w:val="none"/>
        </w:rPr>
      </w:pPr>
      <w:r>
        <w:rPr>
          <w:rFonts w:hint="eastAsia" w:cs="Times New Roman"/>
          <w:color w:val="auto"/>
          <w:szCs w:val="21"/>
          <w:highlight w:val="none"/>
          <w:lang w:eastAsia="zh-CN"/>
        </w:rPr>
        <w:t>2.</w:t>
      </w:r>
      <w:r>
        <w:rPr>
          <w:rFonts w:hint="default" w:ascii="Times New Roman" w:hAnsi="Times New Roman" w:cs="Times New Roman"/>
          <w:color w:val="auto"/>
          <w:szCs w:val="21"/>
          <w:highlight w:val="none"/>
        </w:rPr>
        <w:t>投标函附录</w:t>
      </w:r>
    </w:p>
    <w:p w14:paraId="7FCCD23B">
      <w:pPr>
        <w:spacing w:line="360" w:lineRule="auto"/>
        <w:ind w:firstLine="420"/>
        <w:rPr>
          <w:rFonts w:hint="default" w:ascii="Times New Roman" w:hAnsi="Times New Roman" w:cs="Times New Roman"/>
          <w:color w:val="auto"/>
          <w:szCs w:val="21"/>
          <w:highlight w:val="none"/>
        </w:rPr>
      </w:pPr>
      <w:r>
        <w:rPr>
          <w:rFonts w:hint="eastAsia" w:cs="Times New Roman"/>
          <w:color w:val="auto"/>
          <w:szCs w:val="21"/>
          <w:highlight w:val="none"/>
          <w:lang w:eastAsia="zh-CN"/>
        </w:rPr>
        <w:t>3.</w:t>
      </w:r>
      <w:r>
        <w:rPr>
          <w:rFonts w:hint="eastAsia" w:ascii="Times New Roman" w:hAnsi="Times New Roman" w:eastAsia="宋体" w:cs="Times New Roman"/>
          <w:color w:val="auto"/>
          <w:szCs w:val="21"/>
          <w:highlight w:val="none"/>
          <w:lang w:eastAsia="zh-CN"/>
        </w:rPr>
        <w:t>已标价工程量清单</w:t>
      </w:r>
    </w:p>
    <w:p w14:paraId="046BAA6B">
      <w:pPr>
        <w:spacing w:line="360" w:lineRule="auto"/>
        <w:ind w:firstLine="420"/>
        <w:rPr>
          <w:rFonts w:ascii="Times New Roman" w:hAnsi="Times New Roman" w:cs="Times New Roman"/>
          <w:color w:val="auto"/>
          <w:szCs w:val="21"/>
          <w:highlight w:val="none"/>
        </w:rPr>
      </w:pPr>
      <w:r>
        <w:rPr>
          <w:rFonts w:hint="eastAsia" w:cs="Times New Roman"/>
          <w:color w:val="auto"/>
          <w:szCs w:val="21"/>
          <w:highlight w:val="none"/>
          <w:lang w:val="en-US" w:eastAsia="zh-CN"/>
        </w:rPr>
        <w:t>4</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建筑材料和设备节能环保要求承诺书（政府采购工程项目须提供）</w:t>
      </w:r>
    </w:p>
    <w:p w14:paraId="1CBE0870">
      <w:pPr>
        <w:spacing w:line="360" w:lineRule="auto"/>
        <w:ind w:firstLine="420"/>
        <w:rPr>
          <w:rFonts w:ascii="Times New Roman" w:hAnsi="Times New Roman" w:cs="Times New Roman"/>
          <w:color w:val="auto"/>
          <w:szCs w:val="21"/>
          <w:highlight w:val="none"/>
        </w:rPr>
      </w:pPr>
      <w:r>
        <w:rPr>
          <w:rFonts w:hint="eastAsia" w:cs="Times New Roman"/>
          <w:color w:val="auto"/>
          <w:szCs w:val="21"/>
          <w:highlight w:val="none"/>
          <w:lang w:val="en-US" w:eastAsia="zh-CN"/>
        </w:rPr>
        <w:t>5</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《中小企业声明函》或者《残疾人福利性单位声明函》或者省级以上监狱管理局、戒毒管理局（含新疆生产建设兵团）出具的属于监狱企业的证明文件扫描件（如有）</w:t>
      </w:r>
    </w:p>
    <w:p w14:paraId="7EF5BE84">
      <w:pPr>
        <w:spacing w:line="360" w:lineRule="auto"/>
        <w:ind w:firstLine="420"/>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6</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投标人认为应提交的其他投标资料</w:t>
      </w:r>
    </w:p>
    <w:p w14:paraId="415DFB3A">
      <w:pPr>
        <w:spacing w:line="360" w:lineRule="auto"/>
        <w:ind w:firstLine="420"/>
        <w:rPr>
          <w:rFonts w:hint="default" w:ascii="Times New Roman" w:hAnsi="Times New Roman" w:cs="Times New Roman"/>
          <w:color w:val="auto"/>
          <w:szCs w:val="21"/>
          <w:highlight w:val="none"/>
        </w:rPr>
      </w:pPr>
    </w:p>
    <w:p w14:paraId="0F50B517">
      <w:pPr>
        <w:spacing w:line="360" w:lineRule="auto"/>
        <w:ind w:firstLine="420"/>
        <w:rPr>
          <w:rFonts w:hint="default" w:ascii="Times New Roman" w:hAnsi="Times New Roman" w:cs="Times New Roman"/>
          <w:color w:val="auto"/>
          <w:szCs w:val="21"/>
          <w:highlight w:val="none"/>
        </w:rPr>
      </w:pPr>
    </w:p>
    <w:p w14:paraId="034574AB">
      <w:pPr>
        <w:spacing w:line="360" w:lineRule="auto"/>
        <w:ind w:firstLine="420"/>
        <w:rPr>
          <w:rFonts w:hint="default" w:ascii="Times New Roman" w:hAnsi="Times New Roman" w:cs="Times New Roman"/>
          <w:color w:val="auto"/>
          <w:szCs w:val="21"/>
          <w:highlight w:val="none"/>
        </w:rPr>
      </w:pPr>
    </w:p>
    <w:p w14:paraId="10BB6D17">
      <w:pPr>
        <w:spacing w:line="360" w:lineRule="auto"/>
        <w:ind w:firstLine="420"/>
        <w:rPr>
          <w:rFonts w:hint="default" w:ascii="Times New Roman" w:hAnsi="Times New Roman" w:cs="Times New Roman"/>
          <w:color w:val="auto"/>
          <w:szCs w:val="21"/>
          <w:highlight w:val="none"/>
        </w:rPr>
      </w:pPr>
    </w:p>
    <w:p w14:paraId="304A2B60">
      <w:pPr>
        <w:spacing w:line="360" w:lineRule="auto"/>
        <w:ind w:firstLine="420"/>
        <w:rPr>
          <w:rFonts w:hint="default" w:ascii="Times New Roman" w:hAnsi="Times New Roman" w:cs="Times New Roman"/>
          <w:color w:val="auto"/>
          <w:szCs w:val="21"/>
          <w:highlight w:val="none"/>
        </w:rPr>
      </w:pPr>
    </w:p>
    <w:p w14:paraId="0BC2CF54">
      <w:pPr>
        <w:spacing w:line="360" w:lineRule="auto"/>
        <w:ind w:firstLine="420"/>
        <w:rPr>
          <w:rFonts w:hint="default" w:ascii="Times New Roman" w:hAnsi="Times New Roman" w:cs="Times New Roman"/>
          <w:color w:val="auto"/>
          <w:szCs w:val="21"/>
          <w:highlight w:val="none"/>
        </w:rPr>
      </w:pPr>
    </w:p>
    <w:p w14:paraId="201D201E">
      <w:pPr>
        <w:spacing w:line="360" w:lineRule="auto"/>
        <w:ind w:firstLine="420"/>
        <w:rPr>
          <w:rFonts w:hint="default" w:ascii="Times New Roman" w:hAnsi="Times New Roman" w:cs="Times New Roman"/>
          <w:color w:val="auto"/>
          <w:szCs w:val="21"/>
          <w:highlight w:val="none"/>
        </w:rPr>
      </w:pPr>
    </w:p>
    <w:p w14:paraId="5D425E1E">
      <w:pPr>
        <w:spacing w:line="360" w:lineRule="auto"/>
        <w:ind w:firstLine="420"/>
        <w:rPr>
          <w:rFonts w:hint="default" w:ascii="Times New Roman" w:hAnsi="Times New Roman" w:cs="Times New Roman"/>
          <w:color w:val="auto"/>
          <w:szCs w:val="21"/>
          <w:highlight w:val="none"/>
        </w:rPr>
      </w:pPr>
    </w:p>
    <w:p w14:paraId="11EA0962">
      <w:pPr>
        <w:spacing w:line="360" w:lineRule="auto"/>
        <w:ind w:firstLine="420"/>
        <w:rPr>
          <w:rFonts w:hint="default" w:ascii="Times New Roman" w:hAnsi="Times New Roman" w:cs="Times New Roman"/>
          <w:color w:val="auto"/>
          <w:szCs w:val="21"/>
          <w:highlight w:val="none"/>
        </w:rPr>
      </w:pPr>
    </w:p>
    <w:p w14:paraId="595E55DF">
      <w:pPr>
        <w:spacing w:line="360" w:lineRule="auto"/>
        <w:ind w:firstLine="420"/>
        <w:rPr>
          <w:rFonts w:hint="default" w:ascii="Times New Roman" w:hAnsi="Times New Roman" w:cs="Times New Roman"/>
          <w:color w:val="auto"/>
          <w:szCs w:val="21"/>
          <w:highlight w:val="none"/>
        </w:rPr>
      </w:pPr>
    </w:p>
    <w:p w14:paraId="36DF8175">
      <w:pPr>
        <w:spacing w:line="360" w:lineRule="auto"/>
        <w:ind w:firstLine="420"/>
        <w:rPr>
          <w:rFonts w:hint="default" w:ascii="Times New Roman" w:hAnsi="Times New Roman" w:cs="Times New Roman"/>
          <w:color w:val="auto"/>
          <w:szCs w:val="21"/>
          <w:highlight w:val="none"/>
        </w:rPr>
      </w:pPr>
    </w:p>
    <w:p w14:paraId="19192997">
      <w:pPr>
        <w:spacing w:line="360" w:lineRule="auto"/>
        <w:ind w:firstLine="420"/>
        <w:rPr>
          <w:rFonts w:hint="default" w:ascii="Times New Roman" w:hAnsi="Times New Roman" w:cs="Times New Roman"/>
          <w:color w:val="auto"/>
          <w:szCs w:val="21"/>
          <w:highlight w:val="none"/>
        </w:rPr>
      </w:pPr>
    </w:p>
    <w:p w14:paraId="1F562967">
      <w:pPr>
        <w:spacing w:line="360" w:lineRule="auto"/>
        <w:ind w:firstLine="420"/>
        <w:rPr>
          <w:rFonts w:hint="default" w:ascii="Times New Roman" w:hAnsi="Times New Roman" w:cs="Times New Roman"/>
          <w:color w:val="auto"/>
          <w:szCs w:val="21"/>
          <w:highlight w:val="none"/>
        </w:rPr>
      </w:pPr>
    </w:p>
    <w:p w14:paraId="53A127BF">
      <w:pPr>
        <w:spacing w:line="360" w:lineRule="auto"/>
        <w:ind w:firstLine="420"/>
        <w:rPr>
          <w:rFonts w:hint="default" w:ascii="Times New Roman" w:hAnsi="Times New Roman" w:cs="Times New Roman"/>
          <w:color w:val="auto"/>
          <w:szCs w:val="21"/>
          <w:highlight w:val="none"/>
        </w:rPr>
      </w:pPr>
    </w:p>
    <w:p w14:paraId="0769E570">
      <w:pPr>
        <w:spacing w:line="360" w:lineRule="auto"/>
        <w:ind w:firstLine="420"/>
        <w:rPr>
          <w:rFonts w:hint="default" w:ascii="Times New Roman" w:hAnsi="Times New Roman" w:cs="Times New Roman"/>
          <w:color w:val="auto"/>
          <w:szCs w:val="21"/>
          <w:highlight w:val="none"/>
        </w:rPr>
      </w:pPr>
    </w:p>
    <w:p w14:paraId="25DC4E97">
      <w:pPr>
        <w:spacing w:line="360" w:lineRule="auto"/>
        <w:ind w:firstLine="420"/>
        <w:rPr>
          <w:rFonts w:hint="default" w:ascii="Times New Roman" w:hAnsi="Times New Roman" w:cs="Times New Roman"/>
          <w:color w:val="auto"/>
          <w:szCs w:val="21"/>
          <w:highlight w:val="none"/>
        </w:rPr>
      </w:pPr>
    </w:p>
    <w:p w14:paraId="3C7D8115">
      <w:pPr>
        <w:spacing w:line="360" w:lineRule="auto"/>
        <w:ind w:firstLine="420"/>
        <w:rPr>
          <w:rFonts w:hint="default" w:ascii="Times New Roman" w:hAnsi="Times New Roman" w:cs="Times New Roman"/>
          <w:color w:val="auto"/>
          <w:szCs w:val="21"/>
          <w:highlight w:val="none"/>
        </w:rPr>
      </w:pPr>
    </w:p>
    <w:p w14:paraId="52BA360B">
      <w:pPr>
        <w:spacing w:line="360" w:lineRule="auto"/>
        <w:ind w:firstLine="420"/>
        <w:rPr>
          <w:rFonts w:hint="default" w:ascii="Times New Roman" w:hAnsi="Times New Roman" w:cs="Times New Roman"/>
          <w:color w:val="auto"/>
          <w:szCs w:val="21"/>
          <w:highlight w:val="none"/>
        </w:rPr>
      </w:pPr>
    </w:p>
    <w:p w14:paraId="63363CB3">
      <w:pPr>
        <w:spacing w:line="360" w:lineRule="auto"/>
        <w:ind w:firstLine="420"/>
        <w:rPr>
          <w:rFonts w:hint="default" w:ascii="Times New Roman" w:hAnsi="Times New Roman" w:cs="Times New Roman"/>
          <w:color w:val="auto"/>
          <w:szCs w:val="21"/>
          <w:highlight w:val="none"/>
        </w:rPr>
      </w:pPr>
    </w:p>
    <w:p w14:paraId="7F49A82D">
      <w:pPr>
        <w:spacing w:line="360" w:lineRule="auto"/>
        <w:ind w:firstLine="420"/>
        <w:rPr>
          <w:rFonts w:hint="default" w:ascii="Times New Roman" w:hAnsi="Times New Roman" w:cs="Times New Roman"/>
          <w:color w:val="auto"/>
          <w:szCs w:val="21"/>
          <w:highlight w:val="none"/>
        </w:rPr>
      </w:pPr>
    </w:p>
    <w:p w14:paraId="06CA328B">
      <w:pPr>
        <w:spacing w:line="360" w:lineRule="auto"/>
        <w:ind w:firstLine="420"/>
        <w:rPr>
          <w:rFonts w:hint="default" w:ascii="Times New Roman" w:hAnsi="Times New Roman" w:cs="Times New Roman"/>
          <w:color w:val="auto"/>
          <w:szCs w:val="21"/>
          <w:highlight w:val="none"/>
        </w:rPr>
      </w:pPr>
    </w:p>
    <w:p w14:paraId="5CBD737C">
      <w:pPr>
        <w:spacing w:line="360" w:lineRule="auto"/>
        <w:ind w:firstLine="420"/>
        <w:rPr>
          <w:rFonts w:hint="default" w:ascii="Times New Roman" w:hAnsi="Times New Roman" w:cs="Times New Roman"/>
          <w:color w:val="auto"/>
          <w:szCs w:val="21"/>
          <w:highlight w:val="none"/>
        </w:rPr>
      </w:pPr>
    </w:p>
    <w:p w14:paraId="18118E9A">
      <w:pPr>
        <w:spacing w:line="360" w:lineRule="auto"/>
        <w:ind w:firstLine="420"/>
        <w:rPr>
          <w:rFonts w:hint="default" w:ascii="Times New Roman" w:hAnsi="Times New Roman" w:cs="Times New Roman"/>
          <w:color w:val="auto"/>
          <w:szCs w:val="21"/>
          <w:highlight w:val="none"/>
        </w:rPr>
      </w:pPr>
    </w:p>
    <w:p w14:paraId="0C409736">
      <w:pPr>
        <w:spacing w:line="360" w:lineRule="auto"/>
        <w:ind w:firstLine="420"/>
        <w:rPr>
          <w:rFonts w:hint="default" w:ascii="Times New Roman" w:hAnsi="Times New Roman" w:cs="Times New Roman"/>
          <w:color w:val="auto"/>
          <w:szCs w:val="21"/>
          <w:highlight w:val="none"/>
        </w:rPr>
      </w:pPr>
    </w:p>
    <w:p w14:paraId="740E0207">
      <w:pPr>
        <w:spacing w:line="360" w:lineRule="auto"/>
        <w:ind w:firstLine="420"/>
        <w:rPr>
          <w:rFonts w:hint="default" w:ascii="Times New Roman" w:hAnsi="Times New Roman" w:cs="Times New Roman"/>
          <w:color w:val="auto"/>
          <w:szCs w:val="21"/>
          <w:highlight w:val="none"/>
        </w:rPr>
      </w:pPr>
    </w:p>
    <w:p w14:paraId="2EA3340E">
      <w:pPr>
        <w:spacing w:line="360" w:lineRule="auto"/>
        <w:ind w:firstLine="420"/>
        <w:rPr>
          <w:rFonts w:hint="default" w:ascii="Times New Roman" w:hAnsi="Times New Roman" w:cs="Times New Roman"/>
          <w:color w:val="auto"/>
          <w:szCs w:val="21"/>
          <w:highlight w:val="none"/>
        </w:rPr>
      </w:pPr>
    </w:p>
    <w:p w14:paraId="082327D0">
      <w:pPr>
        <w:spacing w:line="360" w:lineRule="auto"/>
        <w:ind w:firstLine="420"/>
        <w:rPr>
          <w:rFonts w:hint="default" w:ascii="Times New Roman" w:hAnsi="Times New Roman" w:cs="Times New Roman"/>
          <w:color w:val="auto"/>
          <w:szCs w:val="21"/>
          <w:highlight w:val="none"/>
        </w:rPr>
      </w:pPr>
    </w:p>
    <w:p w14:paraId="34A703FD">
      <w:pPr>
        <w:pStyle w:val="136"/>
        <w:jc w:val="center"/>
        <w:outlineLvl w:val="0"/>
        <w:rPr>
          <w:color w:val="auto"/>
          <w:highlight w:val="none"/>
        </w:rPr>
      </w:pPr>
    </w:p>
    <w:p w14:paraId="7D32B8BA">
      <w:pPr>
        <w:pStyle w:val="136"/>
        <w:jc w:val="center"/>
        <w:outlineLvl w:val="0"/>
        <w:rPr>
          <w:b/>
          <w:bCs/>
          <w:color w:val="auto"/>
          <w:highlight w:val="none"/>
        </w:rPr>
      </w:pPr>
      <w:r>
        <w:rPr>
          <w:rFonts w:hint="eastAsia" w:cs="宋体"/>
          <w:b/>
          <w:bCs/>
          <w:color w:val="auto"/>
          <w:sz w:val="24"/>
          <w:szCs w:val="24"/>
          <w:highlight w:val="none"/>
        </w:rPr>
        <w:t>一、投标函</w:t>
      </w:r>
      <w:bookmarkEnd w:id="1982"/>
    </w:p>
    <w:p w14:paraId="5B6CCF6F">
      <w:pPr>
        <w:tabs>
          <w:tab w:val="left" w:pos="7560"/>
        </w:tabs>
        <w:spacing w:line="460" w:lineRule="exact"/>
        <w:ind w:firstLine="420" w:firstLineChars="200"/>
        <w:rPr>
          <w:color w:val="auto"/>
          <w:highlight w:val="none"/>
        </w:rPr>
      </w:pPr>
      <w:r>
        <w:rPr>
          <w:rFonts w:hint="eastAsia"/>
          <w:color w:val="auto"/>
          <w:highlight w:val="none"/>
          <w:lang w:eastAsia="zh-CN"/>
        </w:rPr>
        <w:t>1.</w:t>
      </w:r>
      <w:r>
        <w:rPr>
          <w:rFonts w:hint="eastAsia" w:cs="宋体"/>
          <w:color w:val="auto"/>
          <w:highlight w:val="none"/>
        </w:rPr>
        <w:t>根据你方</w:t>
      </w:r>
      <w:r>
        <w:rPr>
          <w:rFonts w:hint="eastAsia" w:cs="宋体"/>
          <w:color w:val="auto"/>
          <w:highlight w:val="none"/>
          <w:lang w:eastAsia="zh-CN"/>
        </w:rPr>
        <w:t>招标项目编号</w:t>
      </w:r>
      <w:r>
        <w:rPr>
          <w:rFonts w:hint="eastAsia" w:cs="宋体"/>
          <w:color w:val="auto"/>
          <w:highlight w:val="none"/>
        </w:rPr>
        <w:t>为</w:t>
      </w:r>
      <w:r>
        <w:rPr>
          <w:color w:val="auto"/>
          <w:highlight w:val="none"/>
          <w:u w:val="single"/>
        </w:rPr>
        <w:t xml:space="preserve">  </w:t>
      </w:r>
      <w:r>
        <w:rPr>
          <w:rFonts w:hint="eastAsia" w:cs="宋体"/>
          <w:color w:val="auto"/>
          <w:highlight w:val="none"/>
          <w:u w:val="single"/>
        </w:rPr>
        <w:t>（</w:t>
      </w:r>
      <w:r>
        <w:rPr>
          <w:rFonts w:hint="eastAsia" w:cs="宋体"/>
          <w:color w:val="auto"/>
          <w:highlight w:val="none"/>
          <w:u w:val="single"/>
          <w:lang w:eastAsia="zh-CN"/>
        </w:rPr>
        <w:t>招标项目编号</w:t>
      </w:r>
      <w:r>
        <w:rPr>
          <w:rFonts w:hint="eastAsia" w:cs="宋体"/>
          <w:color w:val="auto"/>
          <w:highlight w:val="none"/>
          <w:u w:val="single"/>
        </w:rPr>
        <w:t>）</w:t>
      </w:r>
      <w:r>
        <w:rPr>
          <w:color w:val="auto"/>
          <w:highlight w:val="none"/>
          <w:u w:val="single"/>
        </w:rPr>
        <w:t xml:space="preserve">  </w:t>
      </w:r>
      <w:r>
        <w:rPr>
          <w:rFonts w:hint="eastAsia" w:cs="宋体"/>
          <w:color w:val="auto"/>
          <w:highlight w:val="none"/>
        </w:rPr>
        <w:t>的</w:t>
      </w:r>
      <w:r>
        <w:rPr>
          <w:color w:val="auto"/>
          <w:highlight w:val="none"/>
          <w:u w:val="single"/>
        </w:rPr>
        <w:t xml:space="preserve">  </w:t>
      </w:r>
      <w:r>
        <w:rPr>
          <w:rFonts w:hint="eastAsia" w:cs="宋体"/>
          <w:color w:val="auto"/>
          <w:highlight w:val="none"/>
          <w:u w:val="single"/>
          <w:lang w:eastAsia="zh-CN"/>
        </w:rPr>
        <w:t>广西警察学院长湖校区3号学员公寓楼改造工程（重）</w:t>
      </w:r>
      <w:r>
        <w:rPr>
          <w:color w:val="auto"/>
          <w:highlight w:val="none"/>
          <w:u w:val="single"/>
        </w:rPr>
        <w:t xml:space="preserve">  </w:t>
      </w:r>
      <w:r>
        <w:rPr>
          <w:rFonts w:hint="eastAsia" w:cs="宋体"/>
          <w:color w:val="auto"/>
          <w:highlight w:val="none"/>
        </w:rPr>
        <w:t>工程招标文件，遵照《中华人民共和国招标投标法》等有关规定，经踏勘项目现场和研究上述招标文件的投标须知、合同条款、图纸、工程建设标准和工程量清单及其他有关文件后，我方愿以人民币（大写）</w:t>
      </w:r>
      <w:r>
        <w:rPr>
          <w:color w:val="auto"/>
          <w:highlight w:val="none"/>
          <w:u w:val="single"/>
        </w:rPr>
        <w:t xml:space="preserve">      </w:t>
      </w:r>
      <w:r>
        <w:rPr>
          <w:rFonts w:hint="eastAsia" w:cs="宋体"/>
          <w:color w:val="auto"/>
          <w:highlight w:val="none"/>
        </w:rPr>
        <w:t>（</w:t>
      </w:r>
      <w:r>
        <w:rPr>
          <w:color w:val="auto"/>
          <w:highlight w:val="none"/>
        </w:rPr>
        <w:t>RMB</w:t>
      </w:r>
      <w:r>
        <w:rPr>
          <w:rFonts w:hint="eastAsia" w:cs="宋体"/>
          <w:color w:val="auto"/>
          <w:highlight w:val="none"/>
          <w:u w:val="single"/>
        </w:rPr>
        <w:t>￥</w:t>
      </w:r>
      <w:r>
        <w:rPr>
          <w:color w:val="auto"/>
          <w:highlight w:val="none"/>
          <w:u w:val="single"/>
        </w:rPr>
        <w:t xml:space="preserve">      </w:t>
      </w:r>
      <w:r>
        <w:rPr>
          <w:rFonts w:hint="eastAsia" w:cs="宋体"/>
          <w:color w:val="auto"/>
          <w:highlight w:val="none"/>
        </w:rPr>
        <w:t>元）的投标总价并按上述图纸、合同条款、工程建设标准和工程量清单（如有时）的条件要求承包上述工程的施工、竣工，并承担任何质量缺陷保修责任。我方保证工程质量达到</w:t>
      </w:r>
      <w:r>
        <w:rPr>
          <w:color w:val="auto"/>
          <w:highlight w:val="none"/>
          <w:u w:val="single"/>
        </w:rPr>
        <w:t xml:space="preserve">       </w:t>
      </w:r>
      <w:r>
        <w:rPr>
          <w:rFonts w:hint="eastAsia" w:cs="宋体"/>
          <w:color w:val="auto"/>
          <w:highlight w:val="none"/>
        </w:rPr>
        <w:t>等级。</w:t>
      </w:r>
    </w:p>
    <w:p w14:paraId="3D3FD1CE">
      <w:pPr>
        <w:tabs>
          <w:tab w:val="left" w:pos="7560"/>
        </w:tabs>
        <w:spacing w:line="460" w:lineRule="exact"/>
        <w:ind w:firstLine="420" w:firstLineChars="200"/>
        <w:rPr>
          <w:color w:val="auto"/>
          <w:highlight w:val="none"/>
        </w:rPr>
      </w:pPr>
      <w:r>
        <w:rPr>
          <w:rFonts w:hint="eastAsia"/>
          <w:color w:val="auto"/>
          <w:highlight w:val="none"/>
          <w:lang w:eastAsia="zh-CN"/>
        </w:rPr>
        <w:t>2.</w:t>
      </w:r>
      <w:r>
        <w:rPr>
          <w:rFonts w:hint="eastAsia" w:cs="宋体"/>
          <w:color w:val="auto"/>
          <w:highlight w:val="none"/>
        </w:rPr>
        <w:t>我方已详细审核全部招标文件，包括修改文件（如有时）及有关附件。</w:t>
      </w:r>
    </w:p>
    <w:p w14:paraId="676DD226">
      <w:pPr>
        <w:tabs>
          <w:tab w:val="left" w:pos="7560"/>
        </w:tabs>
        <w:spacing w:line="460" w:lineRule="exact"/>
        <w:ind w:firstLine="420" w:firstLineChars="200"/>
        <w:rPr>
          <w:color w:val="auto"/>
          <w:highlight w:val="none"/>
        </w:rPr>
      </w:pPr>
      <w:r>
        <w:rPr>
          <w:rFonts w:hint="eastAsia"/>
          <w:color w:val="auto"/>
          <w:highlight w:val="none"/>
          <w:lang w:eastAsia="zh-CN"/>
        </w:rPr>
        <w:t>3.</w:t>
      </w:r>
      <w:r>
        <w:rPr>
          <w:rFonts w:hint="eastAsia" w:cs="宋体"/>
          <w:color w:val="auto"/>
          <w:highlight w:val="none"/>
        </w:rPr>
        <w:t>我方承认投标函附录是我方投标函的组成部分。</w:t>
      </w:r>
    </w:p>
    <w:p w14:paraId="55792CE6">
      <w:pPr>
        <w:tabs>
          <w:tab w:val="left" w:pos="7560"/>
        </w:tabs>
        <w:spacing w:line="460" w:lineRule="exact"/>
        <w:ind w:firstLine="420" w:firstLineChars="200"/>
        <w:rPr>
          <w:color w:val="auto"/>
          <w:highlight w:val="none"/>
        </w:rPr>
      </w:pPr>
      <w:r>
        <w:rPr>
          <w:rFonts w:hint="eastAsia"/>
          <w:color w:val="auto"/>
          <w:highlight w:val="none"/>
          <w:lang w:eastAsia="zh-CN"/>
        </w:rPr>
        <w:t>4.</w:t>
      </w:r>
      <w:r>
        <w:rPr>
          <w:rFonts w:hint="eastAsia" w:cs="宋体"/>
          <w:color w:val="auto"/>
          <w:highlight w:val="none"/>
        </w:rPr>
        <w:t>一旦我方中标，我方保证按合同书中规定的工期</w:t>
      </w:r>
      <w:r>
        <w:rPr>
          <w:color w:val="auto"/>
          <w:highlight w:val="none"/>
          <w:u w:val="single"/>
        </w:rPr>
        <w:t xml:space="preserve">        </w:t>
      </w:r>
      <w:r>
        <w:rPr>
          <w:rFonts w:hint="eastAsia" w:cs="宋体"/>
          <w:color w:val="auto"/>
          <w:highlight w:val="none"/>
        </w:rPr>
        <w:t>日历天内完成并移交全部工程。</w:t>
      </w:r>
    </w:p>
    <w:p w14:paraId="053AC06C">
      <w:pPr>
        <w:tabs>
          <w:tab w:val="left" w:pos="7560"/>
        </w:tabs>
        <w:spacing w:line="460" w:lineRule="exact"/>
        <w:ind w:firstLine="420" w:firstLineChars="200"/>
        <w:rPr>
          <w:color w:val="auto"/>
          <w:highlight w:val="none"/>
        </w:rPr>
      </w:pPr>
      <w:r>
        <w:rPr>
          <w:rFonts w:hint="eastAsia"/>
          <w:color w:val="auto"/>
          <w:highlight w:val="none"/>
          <w:lang w:eastAsia="zh-CN"/>
        </w:rPr>
        <w:t>5.</w:t>
      </w:r>
      <w:r>
        <w:rPr>
          <w:rFonts w:hint="eastAsia" w:cs="宋体"/>
          <w:color w:val="auto"/>
          <w:highlight w:val="none"/>
        </w:rPr>
        <w:t>如果我方中标，我方将按照文件规定提交履约保证金作为履约担保。</w:t>
      </w:r>
    </w:p>
    <w:p w14:paraId="44C13077">
      <w:pPr>
        <w:tabs>
          <w:tab w:val="left" w:pos="7560"/>
        </w:tabs>
        <w:spacing w:line="460" w:lineRule="exact"/>
        <w:ind w:firstLine="420" w:firstLineChars="200"/>
        <w:rPr>
          <w:color w:val="auto"/>
          <w:highlight w:val="none"/>
        </w:rPr>
      </w:pPr>
      <w:r>
        <w:rPr>
          <w:rFonts w:hint="eastAsia"/>
          <w:color w:val="auto"/>
          <w:highlight w:val="none"/>
          <w:lang w:eastAsia="zh-CN"/>
        </w:rPr>
        <w:t>6.</w:t>
      </w:r>
      <w:r>
        <w:rPr>
          <w:rFonts w:hint="eastAsia" w:cs="宋体"/>
          <w:color w:val="auto"/>
          <w:highlight w:val="none"/>
        </w:rPr>
        <w:t>我方同意所提交的投标文件在招标文件的</w:t>
      </w:r>
      <w:r>
        <w:rPr>
          <w:rFonts w:hint="eastAsia" w:cs="宋体"/>
          <w:color w:val="auto"/>
          <w:highlight w:val="none"/>
          <w:lang w:eastAsia="zh-CN"/>
        </w:rPr>
        <w:t>“</w:t>
      </w:r>
      <w:r>
        <w:rPr>
          <w:rFonts w:hint="eastAsia" w:cs="宋体"/>
          <w:color w:val="auto"/>
          <w:highlight w:val="none"/>
        </w:rPr>
        <w:t>投标人须知</w:t>
      </w:r>
      <w:r>
        <w:rPr>
          <w:rFonts w:hint="eastAsia" w:cs="宋体"/>
          <w:color w:val="auto"/>
          <w:highlight w:val="none"/>
          <w:lang w:eastAsia="zh-CN"/>
        </w:rPr>
        <w:t>”</w:t>
      </w:r>
      <w:r>
        <w:rPr>
          <w:rFonts w:hint="eastAsia" w:cs="宋体"/>
          <w:color w:val="auto"/>
          <w:highlight w:val="none"/>
        </w:rPr>
        <w:t>中第</w:t>
      </w:r>
      <w:r>
        <w:rPr>
          <w:color w:val="auto"/>
          <w:highlight w:val="none"/>
        </w:rPr>
        <w:t>3.3.1</w:t>
      </w:r>
      <w:r>
        <w:rPr>
          <w:rFonts w:hint="eastAsia" w:cs="宋体"/>
          <w:color w:val="auto"/>
          <w:highlight w:val="none"/>
        </w:rPr>
        <w:t>条规定的投标有效期内有效，在此期间内如果中标，我方将受此约束。</w:t>
      </w:r>
    </w:p>
    <w:p w14:paraId="6CDF177A">
      <w:pPr>
        <w:tabs>
          <w:tab w:val="left" w:pos="7560"/>
        </w:tabs>
        <w:spacing w:line="460" w:lineRule="exact"/>
        <w:ind w:firstLine="420" w:firstLineChars="200"/>
        <w:rPr>
          <w:color w:val="auto"/>
          <w:highlight w:val="none"/>
        </w:rPr>
      </w:pPr>
      <w:r>
        <w:rPr>
          <w:rFonts w:hint="eastAsia"/>
          <w:color w:val="auto"/>
          <w:highlight w:val="none"/>
          <w:lang w:eastAsia="zh-CN"/>
        </w:rPr>
        <w:t>7.</w:t>
      </w:r>
      <w:r>
        <w:rPr>
          <w:rFonts w:hint="eastAsia" w:cs="宋体"/>
          <w:color w:val="auto"/>
          <w:highlight w:val="none"/>
        </w:rPr>
        <w:t>除非另外达成协议并生效，你方的中标通知书和本投标文件将成为约束双方的合同文件的组成部分。</w:t>
      </w:r>
    </w:p>
    <w:p w14:paraId="0E59EA5C">
      <w:pPr>
        <w:tabs>
          <w:tab w:val="left" w:pos="7560"/>
        </w:tabs>
        <w:spacing w:line="460" w:lineRule="exact"/>
        <w:ind w:firstLine="420" w:firstLineChars="200"/>
        <w:rPr>
          <w:color w:val="auto"/>
          <w:highlight w:val="none"/>
        </w:rPr>
      </w:pPr>
      <w:r>
        <w:rPr>
          <w:rFonts w:hint="eastAsia"/>
          <w:color w:val="auto"/>
          <w:highlight w:val="none"/>
          <w:lang w:eastAsia="zh-CN"/>
        </w:rPr>
        <w:t>8.</w:t>
      </w:r>
      <w:r>
        <w:rPr>
          <w:rFonts w:hint="eastAsia" w:cs="宋体"/>
          <w:color w:val="auto"/>
          <w:highlight w:val="none"/>
        </w:rPr>
        <w:t>我方将与本投标函一起，提交无条件保函（保证额度</w:t>
      </w:r>
      <w:r>
        <w:rPr>
          <w:color w:val="auto"/>
          <w:highlight w:val="none"/>
          <w:u w:val="single"/>
        </w:rPr>
        <w:t xml:space="preserve">     </w:t>
      </w:r>
      <w:r>
        <w:rPr>
          <w:rFonts w:hint="eastAsia" w:cs="宋体"/>
          <w:color w:val="auto"/>
          <w:highlight w:val="none"/>
          <w:u w:val="single"/>
        </w:rPr>
        <w:t>元</w:t>
      </w:r>
      <w:r>
        <w:rPr>
          <w:rFonts w:hint="eastAsia" w:cs="宋体"/>
          <w:color w:val="auto"/>
          <w:highlight w:val="none"/>
        </w:rPr>
        <w:t>）或人民币</w:t>
      </w:r>
      <w:r>
        <w:rPr>
          <w:color w:val="auto"/>
          <w:highlight w:val="none"/>
          <w:u w:val="single"/>
        </w:rPr>
        <w:t xml:space="preserve">       </w:t>
      </w:r>
      <w:r>
        <w:rPr>
          <w:rFonts w:hint="eastAsia" w:cs="宋体"/>
          <w:color w:val="auto"/>
          <w:highlight w:val="none"/>
        </w:rPr>
        <w:t>元作为投标保证金。</w:t>
      </w:r>
    </w:p>
    <w:p w14:paraId="43DEF097">
      <w:pPr>
        <w:spacing w:line="360" w:lineRule="auto"/>
        <w:rPr>
          <w:color w:val="auto"/>
          <w:highlight w:val="none"/>
        </w:rPr>
      </w:pPr>
    </w:p>
    <w:p w14:paraId="6F0D9F31">
      <w:pPr>
        <w:spacing w:line="360" w:lineRule="auto"/>
        <w:rPr>
          <w:color w:val="auto"/>
          <w:highlight w:val="none"/>
        </w:rPr>
      </w:pPr>
    </w:p>
    <w:p w14:paraId="2184FD0B">
      <w:pPr>
        <w:spacing w:line="360" w:lineRule="auto"/>
        <w:rPr>
          <w:color w:val="auto"/>
          <w:highlight w:val="none"/>
        </w:rPr>
      </w:pPr>
    </w:p>
    <w:p w14:paraId="21545493">
      <w:pPr>
        <w:spacing w:line="360" w:lineRule="auto"/>
        <w:ind w:left="1000"/>
        <w:rPr>
          <w:rFonts w:hint="eastAsia" w:eastAsia="宋体"/>
          <w:color w:val="auto"/>
          <w:highlight w:val="none"/>
          <w:u w:val="single"/>
          <w:lang w:val="en-US" w:eastAsia="zh-CN"/>
        </w:rPr>
      </w:pPr>
      <w:r>
        <w:rPr>
          <w:color w:val="auto"/>
          <w:highlight w:val="none"/>
        </w:rPr>
        <w:t xml:space="preserve">         </w:t>
      </w:r>
      <w:r>
        <w:rPr>
          <w:rFonts w:hint="eastAsia" w:cs="宋体"/>
          <w:color w:val="auto"/>
          <w:highlight w:val="none"/>
        </w:rPr>
        <w:t>投</w:t>
      </w:r>
      <w:r>
        <w:rPr>
          <w:color w:val="auto"/>
          <w:highlight w:val="none"/>
        </w:rPr>
        <w:t xml:space="preserve"> </w:t>
      </w:r>
      <w:r>
        <w:rPr>
          <w:rFonts w:hint="eastAsia" w:cs="宋体"/>
          <w:color w:val="auto"/>
          <w:highlight w:val="none"/>
        </w:rPr>
        <w:t>标</w:t>
      </w:r>
      <w:r>
        <w:rPr>
          <w:color w:val="auto"/>
          <w:highlight w:val="none"/>
        </w:rPr>
        <w:t xml:space="preserve"> </w:t>
      </w:r>
      <w:r>
        <w:rPr>
          <w:rFonts w:hint="eastAsia" w:cs="宋体"/>
          <w:color w:val="auto"/>
          <w:highlight w:val="none"/>
        </w:rPr>
        <w:t>人：</w:t>
      </w:r>
      <w:r>
        <w:rPr>
          <w:color w:val="auto"/>
          <w:highlight w:val="none"/>
          <w:u w:val="single"/>
        </w:rPr>
        <w:t xml:space="preserve">                   </w:t>
      </w:r>
      <w:r>
        <w:rPr>
          <w:rFonts w:hint="eastAsia" w:cs="宋体"/>
          <w:color w:val="auto"/>
          <w:highlight w:val="none"/>
          <w:u w:val="single"/>
        </w:rPr>
        <w:t>（</w:t>
      </w:r>
      <w:r>
        <w:rPr>
          <w:rFonts w:hint="eastAsia" w:cs="宋体"/>
          <w:color w:val="auto"/>
          <w:highlight w:val="none"/>
          <w:u w:val="single"/>
          <w:lang w:eastAsia="zh-CN"/>
        </w:rPr>
        <w:t>盖法人单位电子印章</w:t>
      </w:r>
      <w:r>
        <w:rPr>
          <w:rFonts w:hint="eastAsia" w:cs="宋体"/>
          <w:color w:val="auto"/>
          <w:highlight w:val="none"/>
          <w:u w:val="single"/>
        </w:rPr>
        <w:t>）</w:t>
      </w:r>
      <w:r>
        <w:rPr>
          <w:rFonts w:hint="eastAsia" w:cs="宋体"/>
          <w:color w:val="auto"/>
          <w:highlight w:val="none"/>
          <w:u w:val="single"/>
          <w:lang w:val="en-US" w:eastAsia="zh-CN"/>
        </w:rPr>
        <w:t xml:space="preserve"> </w:t>
      </w:r>
    </w:p>
    <w:p w14:paraId="014FEEFD">
      <w:pPr>
        <w:spacing w:line="360" w:lineRule="auto"/>
        <w:ind w:left="1000"/>
        <w:rPr>
          <w:color w:val="auto"/>
          <w:highlight w:val="none"/>
          <w:u w:val="single"/>
        </w:rPr>
      </w:pPr>
      <w:r>
        <w:rPr>
          <w:color w:val="auto"/>
          <w:highlight w:val="none"/>
        </w:rPr>
        <w:t xml:space="preserve">         </w:t>
      </w:r>
      <w:r>
        <w:rPr>
          <w:rFonts w:hint="eastAsia" w:cs="宋体"/>
          <w:color w:val="auto"/>
          <w:highlight w:val="none"/>
        </w:rPr>
        <w:t>单位地址：</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p>
    <w:p w14:paraId="2EDD6F74">
      <w:pPr>
        <w:spacing w:line="360" w:lineRule="auto"/>
        <w:ind w:left="1000" w:leftChars="476" w:firstLine="945" w:firstLineChars="450"/>
        <w:rPr>
          <w:color w:val="auto"/>
          <w:highlight w:val="none"/>
        </w:rPr>
      </w:pPr>
      <w:r>
        <w:rPr>
          <w:rFonts w:hint="eastAsia" w:cs="宋体"/>
          <w:color w:val="auto"/>
          <w:highlight w:val="none"/>
        </w:rPr>
        <w:t>邮政编码：</w:t>
      </w:r>
      <w:r>
        <w:rPr>
          <w:color w:val="auto"/>
          <w:highlight w:val="none"/>
          <w:u w:val="single"/>
        </w:rPr>
        <w:t xml:space="preserve">          </w:t>
      </w:r>
      <w:r>
        <w:rPr>
          <w:rFonts w:hint="eastAsia" w:cs="宋体"/>
          <w:color w:val="auto"/>
          <w:highlight w:val="none"/>
        </w:rPr>
        <w:t>电话：</w:t>
      </w:r>
      <w:r>
        <w:rPr>
          <w:color w:val="auto"/>
          <w:highlight w:val="none"/>
          <w:u w:val="single"/>
        </w:rPr>
        <w:t xml:space="preserve">         </w:t>
      </w:r>
      <w:r>
        <w:rPr>
          <w:color w:val="auto"/>
          <w:highlight w:val="none"/>
        </w:rPr>
        <w:t xml:space="preserve"> </w:t>
      </w:r>
      <w:r>
        <w:rPr>
          <w:rFonts w:hint="eastAsia" w:cs="宋体"/>
          <w:color w:val="auto"/>
          <w:highlight w:val="none"/>
        </w:rPr>
        <w:t>传真：</w:t>
      </w:r>
      <w:r>
        <w:rPr>
          <w:color w:val="auto"/>
          <w:highlight w:val="none"/>
          <w:u w:val="single"/>
        </w:rPr>
        <w:t xml:space="preserve">          </w:t>
      </w:r>
    </w:p>
    <w:p w14:paraId="792BF1CC">
      <w:pPr>
        <w:spacing w:line="360" w:lineRule="auto"/>
        <w:ind w:left="1000"/>
        <w:rPr>
          <w:color w:val="auto"/>
          <w:highlight w:val="none"/>
        </w:rPr>
      </w:pPr>
      <w:r>
        <w:rPr>
          <w:color w:val="auto"/>
          <w:highlight w:val="none"/>
        </w:rPr>
        <w:t xml:space="preserve">         </w:t>
      </w:r>
      <w:r>
        <w:rPr>
          <w:rFonts w:hint="eastAsia" w:cs="宋体"/>
          <w:color w:val="auto"/>
          <w:highlight w:val="none"/>
        </w:rPr>
        <w:t>开户银行名称：</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p>
    <w:p w14:paraId="62C38A77">
      <w:pPr>
        <w:spacing w:line="360" w:lineRule="auto"/>
        <w:ind w:left="1000"/>
        <w:rPr>
          <w:color w:val="auto"/>
          <w:highlight w:val="none"/>
        </w:rPr>
      </w:pPr>
      <w:r>
        <w:rPr>
          <w:color w:val="auto"/>
          <w:highlight w:val="none"/>
        </w:rPr>
        <w:t xml:space="preserve">         </w:t>
      </w:r>
      <w:r>
        <w:rPr>
          <w:rFonts w:hint="eastAsia" w:cs="宋体"/>
          <w:color w:val="auto"/>
          <w:highlight w:val="none"/>
        </w:rPr>
        <w:t>开户银行账号：</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p>
    <w:p w14:paraId="3B2CE26B">
      <w:pPr>
        <w:spacing w:line="360" w:lineRule="auto"/>
        <w:ind w:left="1000"/>
        <w:rPr>
          <w:color w:val="auto"/>
          <w:highlight w:val="none"/>
        </w:rPr>
      </w:pPr>
      <w:r>
        <w:rPr>
          <w:color w:val="auto"/>
          <w:highlight w:val="none"/>
        </w:rPr>
        <w:t xml:space="preserve">         </w:t>
      </w:r>
      <w:r>
        <w:rPr>
          <w:rFonts w:hint="eastAsia" w:cs="宋体"/>
          <w:color w:val="auto"/>
          <w:highlight w:val="none"/>
        </w:rPr>
        <w:t>开户银行地址：</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p>
    <w:p w14:paraId="183578EB">
      <w:pPr>
        <w:spacing w:line="360" w:lineRule="auto"/>
        <w:ind w:left="1000"/>
        <w:rPr>
          <w:color w:val="auto"/>
          <w:highlight w:val="none"/>
        </w:rPr>
      </w:pPr>
      <w:r>
        <w:rPr>
          <w:color w:val="auto"/>
          <w:highlight w:val="none"/>
        </w:rPr>
        <w:t xml:space="preserve">         </w:t>
      </w:r>
      <w:r>
        <w:rPr>
          <w:rFonts w:hint="eastAsia" w:cs="宋体"/>
          <w:color w:val="auto"/>
          <w:highlight w:val="none"/>
        </w:rPr>
        <w:t>开户银行电话：</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p>
    <w:p w14:paraId="200F6D8C">
      <w:pPr>
        <w:spacing w:line="360" w:lineRule="auto"/>
        <w:ind w:right="420" w:firstLine="1974" w:firstLineChars="940"/>
        <w:rPr>
          <w:color w:val="auto"/>
          <w:highlight w:val="none"/>
        </w:rPr>
      </w:pPr>
      <w:r>
        <w:rPr>
          <w:rFonts w:hint="eastAsia" w:cs="宋体"/>
          <w:color w:val="auto"/>
          <w:highlight w:val="none"/>
        </w:rPr>
        <w:t>日期：</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01EA2E05">
      <w:pPr>
        <w:spacing w:before="240" w:beforeLines="100" w:after="120" w:afterLines="50" w:line="510" w:lineRule="exact"/>
        <w:rPr>
          <w:color w:val="auto"/>
          <w:highlight w:val="none"/>
        </w:rPr>
      </w:pPr>
    </w:p>
    <w:p w14:paraId="443D1A31">
      <w:pPr>
        <w:spacing w:before="240" w:beforeLines="100" w:after="120" w:afterLines="50" w:line="510" w:lineRule="exact"/>
        <w:rPr>
          <w:color w:val="auto"/>
          <w:highlight w:val="none"/>
        </w:rPr>
        <w:sectPr>
          <w:pgSz w:w="11907" w:h="16840"/>
          <w:pgMar w:top="1440" w:right="1440" w:bottom="1440" w:left="1797" w:header="851" w:footer="851" w:gutter="0"/>
          <w:cols w:space="720" w:num="1"/>
          <w:docGrid w:linePitch="312" w:charSpace="0"/>
        </w:sectPr>
      </w:pPr>
    </w:p>
    <w:p w14:paraId="0306C83A">
      <w:pPr>
        <w:pStyle w:val="136"/>
        <w:jc w:val="center"/>
        <w:outlineLvl w:val="0"/>
        <w:rPr>
          <w:b/>
          <w:bCs/>
          <w:color w:val="auto"/>
          <w:highlight w:val="none"/>
        </w:rPr>
      </w:pPr>
      <w:bookmarkStart w:id="1990" w:name="_Toc389065357"/>
      <w:r>
        <w:rPr>
          <w:rFonts w:hint="eastAsia" w:cs="宋体"/>
          <w:b/>
          <w:bCs/>
          <w:color w:val="auto"/>
          <w:highlight w:val="none"/>
        </w:rPr>
        <w:t>二、投标函附录</w:t>
      </w:r>
      <w:bookmarkEnd w:id="1990"/>
    </w:p>
    <w:p w14:paraId="23327CD5">
      <w:pPr>
        <w:pStyle w:val="136"/>
        <w:jc w:val="center"/>
        <w:rPr>
          <w:color w:val="auto"/>
          <w:sz w:val="28"/>
          <w:szCs w:val="28"/>
          <w:highlight w:val="none"/>
        </w:rPr>
      </w:pPr>
    </w:p>
    <w:p w14:paraId="137E7051">
      <w:pPr>
        <w:ind w:firstLine="514" w:firstLineChars="245"/>
        <w:rPr>
          <w:rFonts w:hint="default" w:eastAsia="宋体" w:cs="宋体"/>
          <w:color w:val="auto"/>
          <w:highlight w:val="none"/>
          <w:u w:val="single"/>
          <w:lang w:val="en-US" w:eastAsia="zh-CN"/>
        </w:rPr>
      </w:pPr>
      <w:r>
        <w:rPr>
          <w:rFonts w:hint="eastAsia" w:cs="宋体"/>
          <w:color w:val="auto"/>
          <w:highlight w:val="none"/>
          <w:lang w:val="en-US" w:eastAsia="zh-CN"/>
        </w:rPr>
        <w:t>招标</w:t>
      </w:r>
      <w:r>
        <w:rPr>
          <w:rFonts w:hint="eastAsia" w:cs="宋体"/>
          <w:color w:val="auto"/>
          <w:highlight w:val="none"/>
        </w:rPr>
        <w:t>项目名称：</w:t>
      </w:r>
      <w:r>
        <w:rPr>
          <w:color w:val="auto"/>
          <w:highlight w:val="none"/>
          <w:u w:val="single"/>
        </w:rPr>
        <w:t xml:space="preserve">                               </w:t>
      </w:r>
      <w:r>
        <w:rPr>
          <w:color w:val="auto"/>
          <w:highlight w:val="none"/>
          <w:u w:val="none"/>
        </w:rPr>
        <w:t xml:space="preserve"> </w:t>
      </w:r>
      <w:r>
        <w:rPr>
          <w:rFonts w:hint="eastAsia" w:cs="宋体"/>
          <w:color w:val="auto"/>
          <w:highlight w:val="none"/>
          <w:u w:val="none"/>
          <w:lang w:eastAsia="zh-CN"/>
        </w:rPr>
        <w:t>招标项目编号</w:t>
      </w:r>
      <w:r>
        <w:rPr>
          <w:rFonts w:hint="eastAsia" w:cs="宋体"/>
          <w:color w:val="auto"/>
          <w:highlight w:val="none"/>
          <w:u w:val="none"/>
        </w:rPr>
        <w:t>：</w:t>
      </w:r>
      <w:r>
        <w:rPr>
          <w:rFonts w:hint="eastAsia" w:cs="宋体"/>
          <w:color w:val="auto"/>
          <w:highlight w:val="none"/>
          <w:u w:val="single"/>
          <w:lang w:val="en-US" w:eastAsia="zh-CN"/>
        </w:rPr>
        <w:t xml:space="preserve">                 </w:t>
      </w:r>
    </w:p>
    <w:p w14:paraId="7F200EAE">
      <w:pPr>
        <w:ind w:firstLine="514" w:firstLineChars="245"/>
        <w:rPr>
          <w:rFonts w:hint="default" w:eastAsia="宋体"/>
          <w:color w:val="auto"/>
          <w:highlight w:val="none"/>
          <w:lang w:val="en-US" w:eastAsia="zh-CN"/>
        </w:rPr>
      </w:pPr>
      <w:r>
        <w:rPr>
          <w:rFonts w:hint="eastAsia" w:cs="宋体"/>
          <w:color w:val="auto"/>
          <w:highlight w:val="none"/>
          <w:u w:val="none"/>
          <w:lang w:val="en-US" w:eastAsia="zh-CN"/>
        </w:rPr>
        <w:t>标段编号：</w:t>
      </w:r>
      <w:r>
        <w:rPr>
          <w:rFonts w:hint="eastAsia" w:cs="宋体"/>
          <w:color w:val="auto"/>
          <w:highlight w:val="none"/>
          <w:u w:val="single"/>
          <w:lang w:val="en-US" w:eastAsia="zh-CN"/>
        </w:rPr>
        <w:t xml:space="preserve">                             </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985"/>
        <w:gridCol w:w="2126"/>
        <w:gridCol w:w="1984"/>
        <w:gridCol w:w="1843"/>
      </w:tblGrid>
      <w:tr w14:paraId="03AB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662572B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w:t>
            </w:r>
            <w:r>
              <w:rPr>
                <w:rFonts w:hint="default" w:ascii="Calibri" w:hAnsi="Calibri" w:eastAsia="宋体" w:cs="Times New Roman"/>
                <w:color w:val="auto"/>
                <w:highlight w:val="none"/>
              </w:rPr>
              <w:t xml:space="preserve"> </w:t>
            </w:r>
            <w:r>
              <w:rPr>
                <w:rFonts w:hint="eastAsia" w:ascii="Calibri" w:hAnsi="Calibri" w:eastAsia="宋体" w:cs="宋体"/>
                <w:color w:val="auto"/>
                <w:highlight w:val="none"/>
              </w:rPr>
              <w:t>号</w:t>
            </w:r>
          </w:p>
        </w:tc>
        <w:tc>
          <w:tcPr>
            <w:tcW w:w="1985" w:type="dxa"/>
            <w:noWrap w:val="0"/>
            <w:vAlign w:val="center"/>
          </w:tcPr>
          <w:p w14:paraId="72B157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条款内容</w:t>
            </w:r>
          </w:p>
        </w:tc>
        <w:tc>
          <w:tcPr>
            <w:tcW w:w="2126" w:type="dxa"/>
            <w:noWrap w:val="0"/>
            <w:vAlign w:val="center"/>
          </w:tcPr>
          <w:p w14:paraId="3EAB123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合同条款号</w:t>
            </w:r>
          </w:p>
        </w:tc>
        <w:tc>
          <w:tcPr>
            <w:tcW w:w="1984" w:type="dxa"/>
            <w:noWrap w:val="0"/>
            <w:vAlign w:val="center"/>
          </w:tcPr>
          <w:p w14:paraId="770B7AB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约定内容</w:t>
            </w:r>
          </w:p>
        </w:tc>
        <w:tc>
          <w:tcPr>
            <w:tcW w:w="1843" w:type="dxa"/>
            <w:noWrap w:val="0"/>
            <w:vAlign w:val="center"/>
          </w:tcPr>
          <w:p w14:paraId="533E086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投标人响应情况</w:t>
            </w:r>
          </w:p>
        </w:tc>
      </w:tr>
      <w:tr w14:paraId="7491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448D0C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w:t>
            </w:r>
          </w:p>
        </w:tc>
        <w:tc>
          <w:tcPr>
            <w:tcW w:w="1985" w:type="dxa"/>
            <w:noWrap w:val="0"/>
            <w:vAlign w:val="center"/>
          </w:tcPr>
          <w:p w14:paraId="3F9C3B92">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项目经理</w:t>
            </w:r>
          </w:p>
        </w:tc>
        <w:tc>
          <w:tcPr>
            <w:tcW w:w="2126" w:type="dxa"/>
            <w:noWrap w:val="0"/>
            <w:tcMar>
              <w:left w:w="170" w:type="dxa"/>
            </w:tcMar>
            <w:vAlign w:val="center"/>
          </w:tcPr>
          <w:p w14:paraId="48022F5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3CC81758">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姓名：</w:t>
            </w:r>
            <w:r>
              <w:rPr>
                <w:rFonts w:hint="default" w:ascii="Calibri" w:hAnsi="Calibri" w:eastAsia="宋体" w:cs="Times New Roman"/>
                <w:color w:val="auto"/>
                <w:highlight w:val="none"/>
                <w:u w:val="single"/>
              </w:rPr>
              <w:t xml:space="preserve">          </w:t>
            </w:r>
          </w:p>
        </w:tc>
        <w:tc>
          <w:tcPr>
            <w:tcW w:w="1843" w:type="dxa"/>
            <w:noWrap w:val="0"/>
            <w:vAlign w:val="center"/>
          </w:tcPr>
          <w:p w14:paraId="46BA1F1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CC5A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7CC992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w:t>
            </w:r>
          </w:p>
        </w:tc>
        <w:tc>
          <w:tcPr>
            <w:tcW w:w="1985" w:type="dxa"/>
            <w:noWrap w:val="0"/>
            <w:vAlign w:val="center"/>
          </w:tcPr>
          <w:p w14:paraId="4D4BB179">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投标有效期</w:t>
            </w:r>
          </w:p>
        </w:tc>
        <w:tc>
          <w:tcPr>
            <w:tcW w:w="2126" w:type="dxa"/>
            <w:noWrap w:val="0"/>
            <w:tcMar>
              <w:left w:w="170" w:type="dxa"/>
            </w:tcMar>
            <w:vAlign w:val="center"/>
          </w:tcPr>
          <w:p w14:paraId="303ED53D">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1984" w:type="dxa"/>
            <w:noWrap w:val="0"/>
            <w:vAlign w:val="center"/>
          </w:tcPr>
          <w:p w14:paraId="4B17ECA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u w:val="single"/>
              </w:rPr>
            </w:pP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日历天</w:t>
            </w:r>
          </w:p>
        </w:tc>
        <w:tc>
          <w:tcPr>
            <w:tcW w:w="1843" w:type="dxa"/>
            <w:noWrap w:val="0"/>
            <w:vAlign w:val="center"/>
          </w:tcPr>
          <w:p w14:paraId="2C69A04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193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0B11336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1985" w:type="dxa"/>
            <w:noWrap w:val="0"/>
            <w:vAlign w:val="center"/>
          </w:tcPr>
          <w:p w14:paraId="13BC8E9A">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工期</w:t>
            </w:r>
          </w:p>
        </w:tc>
        <w:tc>
          <w:tcPr>
            <w:tcW w:w="2126" w:type="dxa"/>
            <w:noWrap w:val="0"/>
            <w:tcMar>
              <w:left w:w="170" w:type="dxa"/>
            </w:tcMar>
            <w:vAlign w:val="center"/>
          </w:tcPr>
          <w:p w14:paraId="79B2F9B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12B5FCD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u w:val="single"/>
              </w:rPr>
              <w:t xml:space="preserve">          </w:t>
            </w:r>
            <w:r>
              <w:rPr>
                <w:rFonts w:hint="eastAsia" w:ascii="Calibri" w:hAnsi="Calibri" w:eastAsia="宋体" w:cs="宋体"/>
                <w:color w:val="auto"/>
                <w:highlight w:val="none"/>
              </w:rPr>
              <w:t>日历天</w:t>
            </w:r>
          </w:p>
        </w:tc>
        <w:tc>
          <w:tcPr>
            <w:tcW w:w="1843" w:type="dxa"/>
            <w:noWrap w:val="0"/>
            <w:vAlign w:val="center"/>
          </w:tcPr>
          <w:p w14:paraId="73A90A0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F58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07C14B8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4</w:t>
            </w:r>
          </w:p>
        </w:tc>
        <w:tc>
          <w:tcPr>
            <w:tcW w:w="1985" w:type="dxa"/>
            <w:noWrap w:val="0"/>
            <w:vAlign w:val="center"/>
          </w:tcPr>
          <w:p w14:paraId="1C706E21">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缺陷责任期</w:t>
            </w:r>
          </w:p>
        </w:tc>
        <w:tc>
          <w:tcPr>
            <w:tcW w:w="2126" w:type="dxa"/>
            <w:noWrap w:val="0"/>
            <w:tcMar>
              <w:left w:w="170" w:type="dxa"/>
            </w:tcMar>
            <w:vAlign w:val="center"/>
          </w:tcPr>
          <w:p w14:paraId="36AA344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6B7871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noWrap w:val="0"/>
            <w:vAlign w:val="center"/>
          </w:tcPr>
          <w:p w14:paraId="0EED28B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206F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5FA2D45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5</w:t>
            </w:r>
          </w:p>
        </w:tc>
        <w:tc>
          <w:tcPr>
            <w:tcW w:w="1985" w:type="dxa"/>
            <w:noWrap w:val="0"/>
            <w:vAlign w:val="center"/>
          </w:tcPr>
          <w:p w14:paraId="1872176E">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发包人支付担保</w:t>
            </w:r>
          </w:p>
        </w:tc>
        <w:tc>
          <w:tcPr>
            <w:tcW w:w="2126" w:type="dxa"/>
            <w:noWrap w:val="0"/>
            <w:tcMar>
              <w:left w:w="170" w:type="dxa"/>
            </w:tcMar>
            <w:vAlign w:val="center"/>
          </w:tcPr>
          <w:p w14:paraId="261362D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2C0EE5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noWrap w:val="0"/>
            <w:vAlign w:val="center"/>
          </w:tcPr>
          <w:p w14:paraId="372DB5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EDD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20E2E2B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6</w:t>
            </w:r>
          </w:p>
        </w:tc>
        <w:tc>
          <w:tcPr>
            <w:tcW w:w="1985" w:type="dxa"/>
            <w:noWrap w:val="0"/>
            <w:vAlign w:val="center"/>
          </w:tcPr>
          <w:p w14:paraId="29D83AC4">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承包人履约担保金额</w:t>
            </w:r>
          </w:p>
        </w:tc>
        <w:tc>
          <w:tcPr>
            <w:tcW w:w="2126" w:type="dxa"/>
            <w:noWrap w:val="0"/>
            <w:tcMar>
              <w:left w:w="170" w:type="dxa"/>
            </w:tcMar>
            <w:vAlign w:val="center"/>
          </w:tcPr>
          <w:p w14:paraId="3F0EB2F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6C79454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noWrap w:val="0"/>
            <w:vAlign w:val="center"/>
          </w:tcPr>
          <w:p w14:paraId="3DE43E4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05A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2E6C99F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7</w:t>
            </w:r>
          </w:p>
        </w:tc>
        <w:tc>
          <w:tcPr>
            <w:tcW w:w="1985" w:type="dxa"/>
            <w:noWrap w:val="0"/>
            <w:vAlign w:val="center"/>
          </w:tcPr>
          <w:p w14:paraId="560F4AC3">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分包</w:t>
            </w:r>
          </w:p>
        </w:tc>
        <w:tc>
          <w:tcPr>
            <w:tcW w:w="2126" w:type="dxa"/>
            <w:noWrap w:val="0"/>
            <w:tcMar>
              <w:left w:w="170" w:type="dxa"/>
            </w:tcMar>
            <w:vAlign w:val="center"/>
          </w:tcPr>
          <w:p w14:paraId="13B8777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16C80E9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见分包项目情况表</w:t>
            </w:r>
          </w:p>
        </w:tc>
        <w:tc>
          <w:tcPr>
            <w:tcW w:w="1843" w:type="dxa"/>
            <w:noWrap w:val="0"/>
            <w:vAlign w:val="center"/>
          </w:tcPr>
          <w:p w14:paraId="0BA8892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6C6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22460F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8</w:t>
            </w:r>
          </w:p>
        </w:tc>
        <w:tc>
          <w:tcPr>
            <w:tcW w:w="1985" w:type="dxa"/>
            <w:noWrap w:val="0"/>
            <w:vAlign w:val="center"/>
          </w:tcPr>
          <w:p w14:paraId="0D235B1F">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逾期竣工违约金</w:t>
            </w:r>
          </w:p>
        </w:tc>
        <w:tc>
          <w:tcPr>
            <w:tcW w:w="2126" w:type="dxa"/>
            <w:noWrap w:val="0"/>
            <w:tcMar>
              <w:left w:w="170" w:type="dxa"/>
            </w:tcMar>
            <w:vAlign w:val="center"/>
          </w:tcPr>
          <w:p w14:paraId="487E66D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240D9C9B">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1843" w:type="dxa"/>
            <w:noWrap w:val="0"/>
            <w:vAlign w:val="center"/>
          </w:tcPr>
          <w:p w14:paraId="0DD138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4D68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31A7329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9</w:t>
            </w:r>
          </w:p>
        </w:tc>
        <w:tc>
          <w:tcPr>
            <w:tcW w:w="1985" w:type="dxa"/>
            <w:noWrap w:val="0"/>
            <w:vAlign w:val="center"/>
          </w:tcPr>
          <w:p w14:paraId="41AD27A5">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逾期竣工违约金最高限额</w:t>
            </w:r>
          </w:p>
        </w:tc>
        <w:tc>
          <w:tcPr>
            <w:tcW w:w="2126" w:type="dxa"/>
            <w:noWrap w:val="0"/>
            <w:tcMar>
              <w:left w:w="170" w:type="dxa"/>
            </w:tcMar>
            <w:vAlign w:val="center"/>
          </w:tcPr>
          <w:p w14:paraId="1915E2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4B9AA5C0">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1843" w:type="dxa"/>
            <w:noWrap w:val="0"/>
            <w:vAlign w:val="center"/>
          </w:tcPr>
          <w:p w14:paraId="678DE99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D5F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F3DB51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10</w:t>
            </w:r>
          </w:p>
        </w:tc>
        <w:tc>
          <w:tcPr>
            <w:tcW w:w="1985" w:type="dxa"/>
            <w:noWrap w:val="0"/>
            <w:vAlign w:val="center"/>
          </w:tcPr>
          <w:p w14:paraId="50F02225">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质量标准</w:t>
            </w:r>
          </w:p>
        </w:tc>
        <w:tc>
          <w:tcPr>
            <w:tcW w:w="2126" w:type="dxa"/>
            <w:noWrap w:val="0"/>
            <w:tcMar>
              <w:left w:w="170" w:type="dxa"/>
            </w:tcMar>
            <w:vAlign w:val="center"/>
          </w:tcPr>
          <w:p w14:paraId="259FEE0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20B354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noWrap w:val="0"/>
            <w:vAlign w:val="center"/>
          </w:tcPr>
          <w:p w14:paraId="11F1119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233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54687B1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11</w:t>
            </w:r>
          </w:p>
        </w:tc>
        <w:tc>
          <w:tcPr>
            <w:tcW w:w="1985" w:type="dxa"/>
            <w:noWrap w:val="0"/>
            <w:vAlign w:val="center"/>
          </w:tcPr>
          <w:p w14:paraId="10713BBA">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预付款额度</w:t>
            </w:r>
          </w:p>
        </w:tc>
        <w:tc>
          <w:tcPr>
            <w:tcW w:w="2126" w:type="dxa"/>
            <w:noWrap w:val="0"/>
            <w:tcMar>
              <w:left w:w="170" w:type="dxa"/>
            </w:tcMar>
            <w:vAlign w:val="center"/>
          </w:tcPr>
          <w:p w14:paraId="3BA8C81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080B3F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noWrap w:val="0"/>
            <w:vAlign w:val="center"/>
          </w:tcPr>
          <w:p w14:paraId="2BD6927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789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45E5F38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12</w:t>
            </w:r>
          </w:p>
        </w:tc>
        <w:tc>
          <w:tcPr>
            <w:tcW w:w="1985" w:type="dxa"/>
            <w:noWrap w:val="0"/>
            <w:vAlign w:val="center"/>
          </w:tcPr>
          <w:p w14:paraId="29983B8B">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预付款保函金额</w:t>
            </w:r>
          </w:p>
        </w:tc>
        <w:tc>
          <w:tcPr>
            <w:tcW w:w="2126" w:type="dxa"/>
            <w:noWrap w:val="0"/>
            <w:tcMar>
              <w:left w:w="170" w:type="dxa"/>
            </w:tcMar>
            <w:vAlign w:val="center"/>
          </w:tcPr>
          <w:p w14:paraId="11E76A1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76794C3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noWrap w:val="0"/>
            <w:vAlign w:val="center"/>
          </w:tcPr>
          <w:p w14:paraId="623E968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3F09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32109B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13</w:t>
            </w:r>
          </w:p>
        </w:tc>
        <w:tc>
          <w:tcPr>
            <w:tcW w:w="1985" w:type="dxa"/>
            <w:noWrap w:val="0"/>
            <w:vAlign w:val="center"/>
          </w:tcPr>
          <w:p w14:paraId="1B55DF23">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质量保证金额度</w:t>
            </w:r>
          </w:p>
        </w:tc>
        <w:tc>
          <w:tcPr>
            <w:tcW w:w="2126" w:type="dxa"/>
            <w:noWrap w:val="0"/>
            <w:tcMar>
              <w:left w:w="170" w:type="dxa"/>
            </w:tcMar>
            <w:vAlign w:val="center"/>
          </w:tcPr>
          <w:p w14:paraId="1193905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专用条款</w:t>
            </w:r>
          </w:p>
        </w:tc>
        <w:tc>
          <w:tcPr>
            <w:tcW w:w="1984" w:type="dxa"/>
            <w:noWrap w:val="0"/>
            <w:vAlign w:val="center"/>
          </w:tcPr>
          <w:p w14:paraId="0C303D9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结算价的</w:t>
            </w:r>
            <w:r>
              <w:rPr>
                <w:rFonts w:hint="default" w:ascii="Calibri" w:hAnsi="Calibri" w:eastAsia="宋体" w:cs="Times New Roman"/>
                <w:color w:val="auto"/>
                <w:highlight w:val="none"/>
                <w:u w:val="single"/>
              </w:rPr>
              <w:t xml:space="preserve">     </w:t>
            </w:r>
            <w:r>
              <w:rPr>
                <w:rFonts w:hint="default" w:ascii="Calibri" w:hAnsi="Calibri" w:eastAsia="宋体" w:cs="Times New Roman"/>
                <w:color w:val="auto"/>
                <w:highlight w:val="none"/>
              </w:rPr>
              <w:t xml:space="preserve">% </w:t>
            </w:r>
            <w:r>
              <w:rPr>
                <w:rFonts w:hint="default" w:ascii="Calibri" w:hAnsi="Calibri" w:eastAsia="宋体" w:cs="Times New Roman"/>
                <w:color w:val="auto"/>
                <w:highlight w:val="none"/>
                <w:u w:val="single"/>
              </w:rPr>
              <w:t xml:space="preserve"> </w:t>
            </w:r>
          </w:p>
        </w:tc>
        <w:tc>
          <w:tcPr>
            <w:tcW w:w="1843" w:type="dxa"/>
            <w:noWrap w:val="0"/>
            <w:vAlign w:val="center"/>
          </w:tcPr>
          <w:p w14:paraId="42A9B5B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656C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3E68CB0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1985" w:type="dxa"/>
            <w:noWrap w:val="0"/>
            <w:vAlign w:val="center"/>
          </w:tcPr>
          <w:p w14:paraId="34FCE44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w:t>
            </w:r>
          </w:p>
        </w:tc>
        <w:tc>
          <w:tcPr>
            <w:tcW w:w="2126" w:type="dxa"/>
            <w:noWrap w:val="0"/>
            <w:tcMar>
              <w:left w:w="170" w:type="dxa"/>
            </w:tcMar>
            <w:vAlign w:val="center"/>
          </w:tcPr>
          <w:p w14:paraId="78B1BF75">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1984" w:type="dxa"/>
            <w:noWrap w:val="0"/>
            <w:vAlign w:val="center"/>
          </w:tcPr>
          <w:p w14:paraId="2692166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noWrap w:val="0"/>
            <w:vAlign w:val="center"/>
          </w:tcPr>
          <w:p w14:paraId="09AD628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7B3F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8930" w:type="dxa"/>
            <w:gridSpan w:val="5"/>
            <w:noWrap w:val="0"/>
            <w:vAlign w:val="center"/>
          </w:tcPr>
          <w:p w14:paraId="78F7D51C">
            <w:pPr>
              <w:keepNext w:val="0"/>
              <w:keepLines w:val="0"/>
              <w:suppressLineNumbers w:val="0"/>
              <w:spacing w:before="0" w:beforeAutospacing="0" w:after="0" w:afterAutospacing="0" w:line="360" w:lineRule="auto"/>
              <w:ind w:left="0" w:right="0"/>
              <w:rPr>
                <w:rFonts w:hint="default" w:ascii="Calibri" w:hAnsi="Calibri" w:eastAsia="宋体" w:cs="Times New Roman"/>
                <w:color w:val="auto"/>
                <w:highlight w:val="none"/>
              </w:rPr>
            </w:pPr>
            <w:r>
              <w:rPr>
                <w:rFonts w:hint="eastAsia" w:ascii="Calibri" w:hAnsi="Calibri" w:eastAsia="宋体" w:cs="宋体"/>
                <w:color w:val="auto"/>
                <w:highlight w:val="none"/>
              </w:rPr>
              <w:t>说明：投标人在响应招标文件中规定的实质性要求和条件的基础上，可做出其他有利于招标人的承诺。此类承诺可在本表中予以补充填写。</w:t>
            </w:r>
          </w:p>
        </w:tc>
      </w:tr>
    </w:tbl>
    <w:p w14:paraId="4CE219E8">
      <w:pPr>
        <w:spacing w:line="480" w:lineRule="exact"/>
        <w:ind w:firstLine="420" w:firstLineChars="200"/>
        <w:rPr>
          <w:color w:val="auto"/>
          <w:highlight w:val="none"/>
        </w:rPr>
      </w:pPr>
      <w:r>
        <w:rPr>
          <w:rFonts w:hint="eastAsia" w:cs="宋体"/>
          <w:color w:val="auto"/>
          <w:highlight w:val="none"/>
        </w:rPr>
        <w:t>投标人（</w:t>
      </w:r>
      <w:r>
        <w:rPr>
          <w:rFonts w:hint="eastAsia" w:cs="宋体"/>
          <w:color w:val="auto"/>
          <w:highlight w:val="none"/>
          <w:lang w:eastAsia="zh-CN"/>
        </w:rPr>
        <w:t>盖法人单位电子印章</w:t>
      </w:r>
      <w:r>
        <w:rPr>
          <w:rFonts w:hint="eastAsia" w:cs="宋体"/>
          <w:color w:val="auto"/>
          <w:highlight w:val="none"/>
        </w:rPr>
        <w:t>）：</w:t>
      </w:r>
    </w:p>
    <w:p w14:paraId="6A3B106E">
      <w:pPr>
        <w:spacing w:line="480" w:lineRule="exact"/>
        <w:ind w:firstLine="420" w:firstLineChars="200"/>
        <w:rPr>
          <w:color w:val="auto"/>
          <w:highlight w:val="none"/>
        </w:rPr>
      </w:pPr>
      <w:r>
        <w:rPr>
          <w:rFonts w:hint="eastAsia" w:cs="宋体"/>
          <w:color w:val="auto"/>
          <w:highlight w:val="none"/>
        </w:rPr>
        <w:t>日期：</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524CBB2A">
      <w:pPr>
        <w:spacing w:line="480" w:lineRule="auto"/>
        <w:ind w:firstLine="525" w:firstLineChars="250"/>
        <w:rPr>
          <w:color w:val="auto"/>
          <w:highlight w:val="none"/>
        </w:rPr>
      </w:pPr>
    </w:p>
    <w:p w14:paraId="75B6E602">
      <w:pPr>
        <w:spacing w:line="480" w:lineRule="auto"/>
        <w:ind w:firstLine="525" w:firstLineChars="250"/>
        <w:rPr>
          <w:color w:val="auto"/>
          <w:highlight w:val="none"/>
        </w:rPr>
      </w:pPr>
    </w:p>
    <w:p w14:paraId="257ACFC5">
      <w:pPr>
        <w:pStyle w:val="136"/>
        <w:jc w:val="center"/>
        <w:outlineLvl w:val="0"/>
        <w:rPr>
          <w:rFonts w:hint="eastAsia" w:eastAsia="宋体" w:cs="宋体"/>
          <w:b/>
          <w:bCs/>
          <w:color w:val="auto"/>
          <w:sz w:val="24"/>
          <w:szCs w:val="24"/>
          <w:highlight w:val="none"/>
          <w:lang w:val="en-US" w:eastAsia="zh-CN"/>
        </w:rPr>
      </w:pPr>
      <w:r>
        <w:rPr>
          <w:color w:val="auto"/>
          <w:highlight w:val="none"/>
        </w:rPr>
        <w:br w:type="page"/>
      </w:r>
      <w:bookmarkStart w:id="1991" w:name="_Toc349558044"/>
      <w:bookmarkStart w:id="1992" w:name="_Toc349557654"/>
      <w:bookmarkStart w:id="1993" w:name="_Toc349640339"/>
      <w:bookmarkStart w:id="1994" w:name="_Toc349639687"/>
      <w:bookmarkStart w:id="1995" w:name="_Toc349215560"/>
      <w:bookmarkStart w:id="1996" w:name="_Toc349555832"/>
      <w:bookmarkStart w:id="1997" w:name="_Toc389065358"/>
      <w:r>
        <w:rPr>
          <w:rFonts w:hint="eastAsia" w:cs="宋体"/>
          <w:b/>
          <w:bCs/>
          <w:color w:val="auto"/>
          <w:sz w:val="24"/>
          <w:szCs w:val="24"/>
          <w:highlight w:val="none"/>
          <w:lang w:val="en-US" w:eastAsia="zh-CN"/>
        </w:rPr>
        <w:t xml:space="preserve"> </w:t>
      </w:r>
      <w:bookmarkEnd w:id="1991"/>
      <w:bookmarkEnd w:id="1992"/>
      <w:bookmarkEnd w:id="1993"/>
      <w:bookmarkEnd w:id="1994"/>
      <w:bookmarkEnd w:id="1995"/>
      <w:bookmarkEnd w:id="1996"/>
      <w:bookmarkEnd w:id="1997"/>
      <w:r>
        <w:rPr>
          <w:rFonts w:hint="eastAsia"/>
          <w:color w:val="auto"/>
          <w:sz w:val="24"/>
          <w:szCs w:val="24"/>
          <w:highlight w:val="none"/>
          <w:lang w:val="en-US" w:eastAsia="zh-CN"/>
        </w:rPr>
        <w:t>三</w:t>
      </w:r>
      <w:bookmarkStart w:id="1998" w:name="_Toc389065359"/>
      <w:r>
        <w:rPr>
          <w:rFonts w:hint="eastAsia" w:cs="宋体"/>
          <w:b/>
          <w:bCs/>
          <w:color w:val="auto"/>
          <w:sz w:val="24"/>
          <w:szCs w:val="24"/>
          <w:highlight w:val="none"/>
          <w:lang w:eastAsia="zh-CN"/>
        </w:rPr>
        <w:t>、</w:t>
      </w:r>
      <w:r>
        <w:rPr>
          <w:rFonts w:hint="eastAsia" w:cs="宋体"/>
          <w:b/>
          <w:bCs/>
          <w:color w:val="auto"/>
          <w:sz w:val="24"/>
          <w:szCs w:val="24"/>
          <w:highlight w:val="none"/>
          <w:lang w:val="en-US" w:eastAsia="zh-CN"/>
        </w:rPr>
        <w:t>已标价工程量清单</w:t>
      </w:r>
    </w:p>
    <w:p w14:paraId="18E8CBE8">
      <w:pPr>
        <w:pStyle w:val="136"/>
        <w:jc w:val="center"/>
        <w:outlineLvl w:val="0"/>
        <w:rPr>
          <w:rFonts w:hint="eastAsia" w:cs="宋体"/>
          <w:b/>
          <w:bCs/>
          <w:color w:val="auto"/>
          <w:sz w:val="24"/>
          <w:szCs w:val="24"/>
          <w:highlight w:val="none"/>
          <w:lang w:eastAsia="zh-CN"/>
        </w:rPr>
      </w:pPr>
    </w:p>
    <w:p w14:paraId="776A6864">
      <w:pPr>
        <w:pStyle w:val="5"/>
        <w:spacing w:line="360" w:lineRule="auto"/>
        <w:ind w:firstLine="422" w:firstLineChars="200"/>
        <w:rPr>
          <w:rFonts w:hint="default"/>
          <w:color w:val="auto"/>
          <w:sz w:val="21"/>
          <w:szCs w:val="21"/>
          <w:highlight w:val="none"/>
          <w:lang w:val="en-US" w:eastAsia="zh-CN"/>
        </w:rPr>
      </w:pPr>
      <w:r>
        <w:rPr>
          <w:rFonts w:hint="eastAsia" w:cs="宋体"/>
          <w:b/>
          <w:bCs/>
          <w:color w:val="auto"/>
          <w:sz w:val="21"/>
          <w:szCs w:val="21"/>
          <w:highlight w:val="none"/>
          <w:lang w:val="en-US" w:eastAsia="zh-CN"/>
        </w:rPr>
        <w:t xml:space="preserve"> </w:t>
      </w:r>
      <w:bookmarkStart w:id="1999" w:name="_Toc18100"/>
      <w:r>
        <w:rPr>
          <w:rFonts w:hint="eastAsia"/>
          <w:color w:val="auto"/>
          <w:sz w:val="21"/>
          <w:szCs w:val="21"/>
          <w:highlight w:val="none"/>
          <w:lang w:val="en-US" w:eastAsia="zh-CN"/>
        </w:rPr>
        <w:t>1投标报价要求</w:t>
      </w:r>
      <w:bookmarkEnd w:id="1999"/>
    </w:p>
    <w:p w14:paraId="4400B622">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1.1</w:t>
      </w:r>
      <w:r>
        <w:rPr>
          <w:rFonts w:hint="eastAsia" w:ascii="Times New Roman" w:hAnsi="Times New Roman" w:eastAsia="宋体" w:cs="宋体"/>
          <w:color w:val="auto"/>
          <w:highlight w:val="none"/>
        </w:rPr>
        <w:t xml:space="preserve"> 投标</w:t>
      </w:r>
      <w:r>
        <w:rPr>
          <w:rFonts w:hint="eastAsia" w:ascii="Times New Roman" w:hAnsi="Times New Roman" w:eastAsia="宋体" w:cs="宋体"/>
          <w:color w:val="auto"/>
          <w:highlight w:val="none"/>
          <w:lang w:val="zh-TW"/>
        </w:rPr>
        <w:t>人</w:t>
      </w:r>
      <w:r>
        <w:rPr>
          <w:rFonts w:hint="eastAsia" w:ascii="Times New Roman" w:hAnsi="Times New Roman" w:eastAsia="宋体" w:cs="宋体"/>
          <w:color w:val="auto"/>
          <w:highlight w:val="none"/>
        </w:rPr>
        <w:t>依据招标文件、招标工程量清单以及《计价规范》《计算规范》自主确定投标报价</w:t>
      </w:r>
      <w:r>
        <w:rPr>
          <w:rFonts w:hint="eastAsia" w:ascii="Times New Roman" w:hAnsi="Times New Roman" w:eastAsia="宋体" w:cs="宋体"/>
          <w:color w:val="auto"/>
          <w:highlight w:val="none"/>
          <w:lang w:eastAsia="zh-CN"/>
        </w:rPr>
        <w:t>，</w:t>
      </w:r>
      <w:r>
        <w:rPr>
          <w:rFonts w:hint="eastAsia" w:ascii="Times New Roman" w:hAnsi="Times New Roman" w:eastAsia="宋体" w:cs="宋体"/>
          <w:color w:val="auto"/>
          <w:highlight w:val="none"/>
          <w:lang w:val="zh-TW"/>
        </w:rPr>
        <w:t>并应对已标价工程量清单填报价格的一致性及合理性负责，承担不合理报价及总价合同工程量清单缺陷等风险</w:t>
      </w:r>
      <w:r>
        <w:rPr>
          <w:rFonts w:hint="eastAsia" w:ascii="Times New Roman" w:hAnsi="Times New Roman" w:eastAsia="宋体" w:cs="宋体"/>
          <w:color w:val="auto"/>
          <w:highlight w:val="none"/>
        </w:rPr>
        <w:t>。</w:t>
      </w:r>
    </w:p>
    <w:p w14:paraId="6EB2F30E">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 xml:space="preserve">1.2  </w:t>
      </w:r>
      <w:r>
        <w:rPr>
          <w:rFonts w:hint="eastAsia" w:ascii="Times New Roman" w:hAnsi="Times New Roman" w:eastAsia="宋体" w:cs="宋体"/>
          <w:color w:val="auto"/>
          <w:highlight w:val="none"/>
        </w:rPr>
        <w:t>投标人的投标报价不得低于成本价，且不得高于招标人公布的最高投标限价。</w:t>
      </w:r>
    </w:p>
    <w:p w14:paraId="73AB46C6">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1.3</w:t>
      </w:r>
      <w:r>
        <w:rPr>
          <w:rFonts w:hint="eastAsia" w:ascii="Times New Roman" w:hAnsi="Times New Roman" w:eastAsia="宋体" w:cs="宋体"/>
          <w:color w:val="auto"/>
          <w:highlight w:val="none"/>
          <w:lang w:val="zh-TW"/>
        </w:rPr>
        <w:t xml:space="preserve"> </w:t>
      </w:r>
      <w:r>
        <w:rPr>
          <w:rFonts w:hint="eastAsia" w:ascii="Times New Roman" w:hAnsi="Times New Roman" w:eastAsia="宋体" w:cs="宋体"/>
          <w:color w:val="auto"/>
          <w:highlight w:val="none"/>
          <w:lang w:val="en-US" w:eastAsia="zh-CN"/>
        </w:rPr>
        <w:t xml:space="preserve"> </w:t>
      </w:r>
      <w:r>
        <w:rPr>
          <w:rFonts w:hint="eastAsia" w:ascii="Times New Roman" w:hAnsi="Times New Roman" w:eastAsia="宋体" w:cs="宋体"/>
          <w:color w:val="auto"/>
          <w:highlight w:val="none"/>
        </w:rPr>
        <w:t>投标人应在接收招标文件后，在规定时间内根据招标文件说明的工程特点及合同要求复查招标文件中计划工期的可行性及其风险与影响，对计划工期存有疑问或异议的，应按招标文件的规定及时以书面形式提请招标人澄清</w:t>
      </w:r>
      <w:r>
        <w:rPr>
          <w:rFonts w:hint="eastAsia" w:ascii="Times New Roman" w:hAnsi="Times New Roman" w:eastAsia="宋体" w:cs="宋体"/>
          <w:color w:val="auto"/>
          <w:highlight w:val="none"/>
          <w:lang w:eastAsia="zh-CN"/>
        </w:rPr>
        <w:t>或修正</w:t>
      </w:r>
      <w:r>
        <w:rPr>
          <w:rFonts w:hint="eastAsia" w:ascii="Times New Roman" w:hAnsi="Times New Roman" w:eastAsia="宋体" w:cs="宋体"/>
          <w:color w:val="auto"/>
          <w:highlight w:val="none"/>
        </w:rPr>
        <w:t>。投标人对计划工期或招标人澄清</w:t>
      </w:r>
      <w:r>
        <w:rPr>
          <w:rFonts w:hint="eastAsia" w:ascii="Times New Roman" w:hAnsi="Times New Roman" w:eastAsia="宋体" w:cs="宋体"/>
          <w:color w:val="auto"/>
          <w:highlight w:val="none"/>
          <w:lang w:eastAsia="zh-CN"/>
        </w:rPr>
        <w:t>或修正</w:t>
      </w:r>
      <w:r>
        <w:rPr>
          <w:rFonts w:hint="eastAsia" w:ascii="Times New Roman" w:hAnsi="Times New Roman" w:eastAsia="宋体" w:cs="宋体"/>
          <w:color w:val="auto"/>
          <w:highlight w:val="none"/>
        </w:rPr>
        <w:t>后的计划工期无疑问或无异议的，投标人应根据自身的实施方案、施工技术、管理水平、合同履约风险及</w:t>
      </w:r>
      <w:r>
        <w:rPr>
          <w:rFonts w:hint="default" w:ascii="Times New Roman" w:hAnsi="Times New Roman" w:eastAsia="宋体" w:cs="宋体"/>
          <w:color w:val="auto"/>
          <w:highlight w:val="none"/>
          <w:lang w:val="en-US"/>
        </w:rPr>
        <w:t>暂估</w:t>
      </w:r>
      <w:r>
        <w:rPr>
          <w:rFonts w:hint="eastAsia" w:ascii="Times New Roman" w:hAnsi="Times New Roman" w:eastAsia="宋体" w:cs="宋体"/>
          <w:color w:val="auto"/>
          <w:highlight w:val="none"/>
        </w:rPr>
        <w:t>专业工程工期等合理确定投标工期并投标报价。投标工期不</w:t>
      </w:r>
      <w:r>
        <w:rPr>
          <w:rFonts w:hint="eastAsia" w:ascii="Times New Roman" w:hAnsi="Times New Roman" w:eastAsia="宋体" w:cs="宋体"/>
          <w:color w:val="auto"/>
          <w:highlight w:val="none"/>
          <w:lang w:val="en-US" w:eastAsia="zh-CN"/>
        </w:rPr>
        <w:t>得</w:t>
      </w:r>
      <w:r>
        <w:rPr>
          <w:rFonts w:hint="eastAsia" w:ascii="Times New Roman" w:hAnsi="Times New Roman" w:eastAsia="宋体" w:cs="宋体"/>
          <w:color w:val="auto"/>
          <w:highlight w:val="none"/>
        </w:rPr>
        <w:t>超过招标人的计划工期或澄清修</w:t>
      </w:r>
      <w:r>
        <w:rPr>
          <w:rFonts w:hint="eastAsia" w:ascii="Times New Roman" w:hAnsi="Times New Roman" w:eastAsia="宋体" w:cs="宋体"/>
          <w:color w:val="auto"/>
          <w:highlight w:val="none"/>
          <w:lang w:val="en-US" w:eastAsia="zh-CN"/>
        </w:rPr>
        <w:t>正</w:t>
      </w:r>
      <w:r>
        <w:rPr>
          <w:rFonts w:hint="eastAsia" w:ascii="Times New Roman" w:hAnsi="Times New Roman" w:eastAsia="宋体" w:cs="宋体"/>
          <w:color w:val="auto"/>
          <w:highlight w:val="none"/>
        </w:rPr>
        <w:t>的计划工期。</w:t>
      </w:r>
    </w:p>
    <w:p w14:paraId="1ED7CB6D">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1.4</w:t>
      </w:r>
      <w:r>
        <w:rPr>
          <w:rFonts w:hint="eastAsia" w:ascii="Times New Roman" w:hAnsi="Times New Roman" w:eastAsia="宋体" w:cs="宋体"/>
          <w:color w:val="auto"/>
          <w:highlight w:val="none"/>
        </w:rPr>
        <w:t xml:space="preserve"> </w:t>
      </w:r>
      <w:r>
        <w:rPr>
          <w:rFonts w:hint="eastAsia" w:ascii="Times New Roman" w:hAnsi="Times New Roman" w:eastAsia="宋体" w:cs="宋体"/>
          <w:color w:val="auto"/>
          <w:highlight w:val="none"/>
          <w:lang w:val="en-US" w:eastAsia="zh-CN"/>
        </w:rPr>
        <w:t xml:space="preserve"> </w:t>
      </w:r>
      <w:r>
        <w:rPr>
          <w:rFonts w:hint="eastAsia" w:ascii="Times New Roman" w:hAnsi="Times New Roman" w:eastAsia="宋体" w:cs="宋体"/>
          <w:color w:val="auto"/>
          <w:highlight w:val="none"/>
        </w:rPr>
        <w:t>投标人应在接收招标文件后，在规定时间内根据工程特点、合同要求及现场踏勘情况，复查措施项目清单列项的完整性和适用性。如投标人对措施项目清单有疑问或异议的，可按招标文件的规定以书面形式提请招标人澄清</w:t>
      </w:r>
      <w:r>
        <w:rPr>
          <w:rFonts w:hint="eastAsia" w:ascii="Times New Roman" w:hAnsi="Times New Roman" w:eastAsia="宋体" w:cs="宋体"/>
          <w:color w:val="auto"/>
          <w:highlight w:val="none"/>
          <w:lang w:eastAsia="zh-CN"/>
        </w:rPr>
        <w:t>，</w:t>
      </w:r>
      <w:r>
        <w:rPr>
          <w:rFonts w:hint="eastAsia" w:ascii="Times New Roman" w:hAnsi="Times New Roman" w:eastAsia="宋体" w:cs="宋体"/>
          <w:color w:val="auto"/>
          <w:highlight w:val="none"/>
        </w:rPr>
        <w:t>招标人核实后作出修正的，投标人应按修正后的</w:t>
      </w:r>
      <w:r>
        <w:rPr>
          <w:rFonts w:hint="eastAsia" w:ascii="Times New Roman" w:hAnsi="Times New Roman" w:eastAsia="宋体" w:cs="宋体"/>
          <w:color w:val="auto"/>
          <w:highlight w:val="none"/>
          <w:lang w:eastAsia="zh-CN"/>
        </w:rPr>
        <w:t>措施</w:t>
      </w:r>
      <w:r>
        <w:rPr>
          <w:rFonts w:hint="eastAsia" w:ascii="Times New Roman" w:hAnsi="Times New Roman" w:eastAsia="宋体" w:cs="宋体"/>
          <w:color w:val="auto"/>
          <w:highlight w:val="none"/>
        </w:rPr>
        <w:t>项目清单进行投标报价。若投标人认为需要增加措施项目的，可在措施项目中补充列项及报价，并对措施项目清单的准确性和完整性负责。</w:t>
      </w:r>
    </w:p>
    <w:p w14:paraId="7A98B430">
      <w:pPr>
        <w:spacing w:line="360" w:lineRule="auto"/>
        <w:ind w:firstLine="420" w:firstLineChars="20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1.5</w:t>
      </w:r>
      <w:r>
        <w:rPr>
          <w:rFonts w:hint="eastAsia" w:ascii="Times New Roman" w:hAnsi="Times New Roman" w:eastAsia="宋体" w:cs="宋体"/>
          <w:color w:val="auto"/>
          <w:highlight w:val="none"/>
        </w:rPr>
        <w:t xml:space="preserve"> </w:t>
      </w:r>
      <w:r>
        <w:rPr>
          <w:rFonts w:hint="eastAsia" w:ascii="Times New Roman" w:hAnsi="Times New Roman" w:eastAsia="宋体" w:cs="宋体"/>
          <w:color w:val="auto"/>
          <w:highlight w:val="none"/>
          <w:lang w:val="en-US" w:eastAsia="zh-CN"/>
        </w:rPr>
        <w:t xml:space="preserve"> </w:t>
      </w:r>
      <w:r>
        <w:rPr>
          <w:rFonts w:hint="eastAsia" w:ascii="Times New Roman" w:hAnsi="Times New Roman" w:eastAsia="宋体" w:cs="宋体"/>
          <w:color w:val="auto"/>
          <w:highlight w:val="none"/>
        </w:rPr>
        <w:t>采用单价合同的招标工程，投标人应在接收招标文件后，在规定时间内对招标工程量清单的分部分项工程项目清单进行复核。如投标人对分部分项</w:t>
      </w:r>
      <w:r>
        <w:rPr>
          <w:rFonts w:hint="eastAsia" w:ascii="Times New Roman" w:hAnsi="Times New Roman" w:eastAsia="宋体" w:cs="宋体"/>
          <w:color w:val="auto"/>
          <w:highlight w:val="none"/>
          <w:lang w:eastAsia="zh-CN"/>
        </w:rPr>
        <w:t>工</w:t>
      </w:r>
      <w:r>
        <w:rPr>
          <w:rFonts w:hint="eastAsia" w:ascii="Times New Roman" w:hAnsi="Times New Roman" w:eastAsia="宋体" w:cs="宋体"/>
          <w:color w:val="auto"/>
          <w:highlight w:val="none"/>
        </w:rPr>
        <w:t>程项目清单有疑问或异议的，应按招标文件的规定以书面形式提请招标</w:t>
      </w:r>
      <w:r>
        <w:rPr>
          <w:rFonts w:hint="default" w:ascii="Times New Roman" w:hAnsi="Times New Roman" w:eastAsia="宋体" w:cs="宋体"/>
          <w:color w:val="auto"/>
          <w:highlight w:val="none"/>
          <w:lang w:val="en-US"/>
        </w:rPr>
        <w:t>人</w:t>
      </w:r>
      <w:r>
        <w:rPr>
          <w:rFonts w:hint="eastAsia" w:ascii="Times New Roman" w:hAnsi="Times New Roman" w:eastAsia="宋体" w:cs="宋体"/>
          <w:color w:val="auto"/>
          <w:highlight w:val="none"/>
        </w:rPr>
        <w:t>澄清，招标人核实后作出修正的，投标人应按修正后的分部分项工程项目清单进行投标报价。无论投标人是否已提出疑问或异议，分部分项工程项目清单的完整性和准</w:t>
      </w:r>
      <w:r>
        <w:rPr>
          <w:rFonts w:hint="default" w:ascii="Times New Roman" w:hAnsi="Times New Roman" w:eastAsia="宋体" w:cs="宋体"/>
          <w:color w:val="auto"/>
          <w:highlight w:val="none"/>
          <w:lang w:val="en-US"/>
        </w:rPr>
        <w:t>确性由招标人负责</w:t>
      </w:r>
      <w:r>
        <w:rPr>
          <w:rFonts w:hint="eastAsia" w:ascii="Times New Roman" w:hAnsi="Times New Roman" w:eastAsia="宋体" w:cs="宋体"/>
          <w:color w:val="auto"/>
          <w:highlight w:val="none"/>
        </w:rPr>
        <w:t>。</w:t>
      </w:r>
    </w:p>
    <w:p w14:paraId="0EDE8C54">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1.6</w:t>
      </w:r>
      <w:r>
        <w:rPr>
          <w:rFonts w:hint="eastAsia" w:ascii="Times New Roman" w:hAnsi="Times New Roman" w:eastAsia="宋体" w:cs="宋体"/>
          <w:color w:val="auto"/>
          <w:highlight w:val="none"/>
        </w:rPr>
        <w:t xml:space="preserve"> </w:t>
      </w:r>
      <w:r>
        <w:rPr>
          <w:rFonts w:hint="eastAsia" w:ascii="Times New Roman" w:hAnsi="Times New Roman" w:eastAsia="宋体" w:cs="宋体"/>
          <w:color w:val="auto"/>
          <w:highlight w:val="none"/>
          <w:lang w:val="en-US" w:eastAsia="zh-CN"/>
        </w:rPr>
        <w:t xml:space="preserve"> </w:t>
      </w:r>
      <w:r>
        <w:rPr>
          <w:rFonts w:hint="eastAsia" w:ascii="Times New Roman" w:hAnsi="Times New Roman" w:eastAsia="宋体" w:cs="宋体"/>
          <w:color w:val="auto"/>
          <w:highlight w:val="none"/>
        </w:rPr>
        <w:t>采用总价合同的招标工程，投标人应在接收招标文件后，在规定时间内对招标工程量清单进行复核。如投标人对工程项目清单有疑问或异议的，应按招标文件的规定以书面形式提请招标人澄清，招标人核实后作出修正的，投标人应按修正后的工程量清单进行报价。如投标人经复核认为招标工程量清单及其修正后</w:t>
      </w:r>
      <w:r>
        <w:rPr>
          <w:rFonts w:hint="eastAsia" w:cs="宋体"/>
          <w:color w:val="auto"/>
          <w:highlight w:val="none"/>
          <w:lang w:eastAsia="zh-CN"/>
        </w:rPr>
        <w:t>（</w:t>
      </w:r>
      <w:r>
        <w:rPr>
          <w:rFonts w:hint="eastAsia" w:ascii="Times New Roman" w:hAnsi="Times New Roman" w:eastAsia="宋体" w:cs="宋体"/>
          <w:color w:val="auto"/>
          <w:highlight w:val="none"/>
        </w:rPr>
        <w:t>如有</w:t>
      </w:r>
      <w:r>
        <w:rPr>
          <w:rFonts w:hint="eastAsia" w:cs="宋体"/>
          <w:color w:val="auto"/>
          <w:highlight w:val="none"/>
          <w:lang w:eastAsia="zh-CN"/>
        </w:rPr>
        <w:t>）</w:t>
      </w:r>
      <w:r>
        <w:rPr>
          <w:rFonts w:hint="eastAsia" w:ascii="Times New Roman" w:hAnsi="Times New Roman" w:eastAsia="宋体" w:cs="宋体"/>
          <w:color w:val="auto"/>
          <w:highlight w:val="none"/>
        </w:rPr>
        <w:t>的分部分项工程项目清单存在工程量清单缺陷的，可在已标价工程量清单的分部分项工程项目清单中进行补充完善及报价，并对已标价分部分项工程项目清单的完整性和准确性负责。无论投标人是否已提出疑问、异议或按已修正后的工程量清单报价</w:t>
      </w:r>
      <w:r>
        <w:rPr>
          <w:rFonts w:hint="eastAsia" w:cs="宋体"/>
          <w:color w:val="auto"/>
          <w:highlight w:val="none"/>
          <w:lang w:eastAsia="zh-CN"/>
        </w:rPr>
        <w:t>或</w:t>
      </w:r>
      <w:r>
        <w:rPr>
          <w:rFonts w:hint="eastAsia" w:ascii="Times New Roman" w:hAnsi="Times New Roman" w:eastAsia="宋体" w:cs="宋体"/>
          <w:color w:val="auto"/>
          <w:highlight w:val="none"/>
        </w:rPr>
        <w:t>对分部分项工程项目清单</w:t>
      </w:r>
      <w:r>
        <w:rPr>
          <w:rFonts w:hint="eastAsia" w:cs="宋体"/>
          <w:color w:val="auto"/>
          <w:highlight w:val="none"/>
          <w:lang w:eastAsia="zh-CN"/>
        </w:rPr>
        <w:t>作出</w:t>
      </w:r>
      <w:r>
        <w:rPr>
          <w:rFonts w:hint="eastAsia" w:ascii="Times New Roman" w:hAnsi="Times New Roman" w:eastAsia="宋体" w:cs="宋体"/>
          <w:color w:val="auto"/>
          <w:highlight w:val="none"/>
        </w:rPr>
        <w:t>补充完善及报价，除招标工程量清单说明为暂定数量的单价计价分部分项工程项目清单外，合同价格不应因存在工程量清单缺陷而调整。</w:t>
      </w:r>
    </w:p>
    <w:p w14:paraId="1E5693AE">
      <w:pPr>
        <w:spacing w:line="360" w:lineRule="auto"/>
        <w:ind w:firstLine="420" w:firstLineChars="20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 xml:space="preserve">1.7  </w:t>
      </w:r>
      <w:r>
        <w:rPr>
          <w:rFonts w:hint="eastAsia" w:ascii="Times New Roman" w:hAnsi="Times New Roman" w:eastAsia="宋体" w:cs="宋体"/>
          <w:color w:val="auto"/>
          <w:highlight w:val="none"/>
        </w:rPr>
        <w:t>投标人的投标价应包括招标文件中规定的由承包人承担范围及幅度内的风险费用。如招标文件中未明确相关风险责任的，投标人应在接收招标文件后，在规定的时间内提请招标人明确，招标人应在规定时间内予以书面答复。</w:t>
      </w:r>
    </w:p>
    <w:p w14:paraId="68EF264C">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 xml:space="preserve">1.8  </w:t>
      </w:r>
      <w:r>
        <w:rPr>
          <w:rFonts w:hint="eastAsia" w:ascii="Times New Roman" w:hAnsi="Times New Roman" w:eastAsia="宋体" w:cs="宋体"/>
          <w:color w:val="auto"/>
          <w:highlight w:val="none"/>
        </w:rPr>
        <w:t>采用单价合同的工程，投标人应按要求完整填报工程量清单中所有清单项目的综合单价及其合价和</w:t>
      </w:r>
      <w:r>
        <w:rPr>
          <w:rFonts w:hint="eastAsia" w:cs="宋体"/>
          <w:color w:val="auto"/>
          <w:highlight w:val="none"/>
          <w:lang w:eastAsia="zh-CN"/>
        </w:rPr>
        <w:t>（</w:t>
      </w:r>
      <w:r>
        <w:rPr>
          <w:rFonts w:hint="eastAsia" w:ascii="Times New Roman" w:hAnsi="Times New Roman" w:eastAsia="宋体" w:cs="宋体"/>
          <w:color w:val="auto"/>
          <w:highlight w:val="none"/>
        </w:rPr>
        <w:t>或</w:t>
      </w:r>
      <w:r>
        <w:rPr>
          <w:rFonts w:hint="eastAsia" w:cs="宋体"/>
          <w:color w:val="auto"/>
          <w:highlight w:val="none"/>
          <w:lang w:eastAsia="zh-CN"/>
        </w:rPr>
        <w:t>）</w:t>
      </w:r>
      <w:r>
        <w:rPr>
          <w:rFonts w:hint="eastAsia" w:ascii="Times New Roman" w:hAnsi="Times New Roman" w:eastAsia="宋体" w:cs="宋体"/>
          <w:color w:val="auto"/>
          <w:highlight w:val="none"/>
        </w:rPr>
        <w:t>总价计价项目的价格，且每个清单项目应只填报一个报价，未按要求填报</w:t>
      </w:r>
      <w:r>
        <w:rPr>
          <w:rFonts w:hint="eastAsia" w:cs="宋体"/>
          <w:color w:val="auto"/>
          <w:highlight w:val="none"/>
          <w:lang w:eastAsia="zh-CN"/>
        </w:rPr>
        <w:t>（</w:t>
      </w:r>
      <w:r>
        <w:rPr>
          <w:rFonts w:hint="eastAsia" w:ascii="Times New Roman" w:hAnsi="Times New Roman" w:eastAsia="宋体" w:cs="宋体"/>
          <w:color w:val="auto"/>
          <w:highlight w:val="none"/>
        </w:rPr>
        <w:t>漏填或未填</w:t>
      </w:r>
      <w:r>
        <w:rPr>
          <w:rFonts w:hint="eastAsia" w:cs="宋体"/>
          <w:color w:val="auto"/>
          <w:highlight w:val="none"/>
          <w:lang w:eastAsia="zh-CN"/>
        </w:rPr>
        <w:t>）</w:t>
      </w:r>
      <w:r>
        <w:rPr>
          <w:rFonts w:hint="eastAsia" w:ascii="Times New Roman" w:hAnsi="Times New Roman" w:eastAsia="宋体" w:cs="宋体"/>
          <w:color w:val="auto"/>
          <w:highlight w:val="none"/>
        </w:rPr>
        <w:t>综合单价及其合价和</w:t>
      </w:r>
      <w:r>
        <w:rPr>
          <w:rFonts w:hint="eastAsia" w:cs="宋体"/>
          <w:color w:val="auto"/>
          <w:highlight w:val="none"/>
          <w:lang w:eastAsia="zh-CN"/>
        </w:rPr>
        <w:t>（</w:t>
      </w:r>
      <w:r>
        <w:rPr>
          <w:rFonts w:hint="eastAsia" w:ascii="Times New Roman" w:hAnsi="Times New Roman" w:eastAsia="宋体" w:cs="宋体"/>
          <w:color w:val="auto"/>
          <w:highlight w:val="none"/>
        </w:rPr>
        <w:t>或</w:t>
      </w:r>
      <w:r>
        <w:rPr>
          <w:rFonts w:hint="eastAsia" w:cs="宋体"/>
          <w:color w:val="auto"/>
          <w:highlight w:val="none"/>
          <w:lang w:eastAsia="zh-CN"/>
        </w:rPr>
        <w:t>）</w:t>
      </w:r>
      <w:r>
        <w:rPr>
          <w:rFonts w:hint="eastAsia" w:ascii="Times New Roman" w:hAnsi="Times New Roman" w:eastAsia="宋体" w:cs="宋体"/>
          <w:color w:val="auto"/>
          <w:highlight w:val="none"/>
        </w:rPr>
        <w:t>清单项目价格的，相关清单项目报价可视为已包含在</w:t>
      </w:r>
      <w:r>
        <w:rPr>
          <w:rFonts w:hint="default" w:ascii="Times New Roman" w:hAnsi="Times New Roman" w:eastAsia="宋体" w:cs="宋体"/>
          <w:color w:val="auto"/>
          <w:highlight w:val="none"/>
          <w:lang w:val="en-US"/>
        </w:rPr>
        <w:t>其他的清单项目</w:t>
      </w:r>
      <w:r>
        <w:rPr>
          <w:rFonts w:hint="eastAsia" w:ascii="Times New Roman" w:hAnsi="Times New Roman" w:eastAsia="宋体" w:cs="宋体"/>
          <w:color w:val="auto"/>
          <w:highlight w:val="none"/>
        </w:rPr>
        <w:t>中。</w:t>
      </w:r>
    </w:p>
    <w:p w14:paraId="6B6951FE">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 xml:space="preserve">1.9  </w:t>
      </w:r>
      <w:r>
        <w:rPr>
          <w:rFonts w:hint="eastAsia" w:ascii="Times New Roman" w:hAnsi="Times New Roman" w:eastAsia="宋体" w:cs="宋体"/>
          <w:color w:val="auto"/>
          <w:highlight w:val="none"/>
        </w:rPr>
        <w:t>采用总价合同的工程，投标人应按规定补充完善工程量清单，并完整填报工程量清单中所有清单项目的综合单价及其合价和</w:t>
      </w:r>
      <w:r>
        <w:rPr>
          <w:rFonts w:hint="eastAsia" w:cs="宋体"/>
          <w:color w:val="auto"/>
          <w:highlight w:val="none"/>
          <w:lang w:eastAsia="zh-CN"/>
        </w:rPr>
        <w:t>（</w:t>
      </w:r>
      <w:r>
        <w:rPr>
          <w:rFonts w:hint="eastAsia" w:ascii="Times New Roman" w:hAnsi="Times New Roman" w:eastAsia="宋体" w:cs="宋体"/>
          <w:color w:val="auto"/>
          <w:highlight w:val="none"/>
        </w:rPr>
        <w:t>或</w:t>
      </w:r>
      <w:r>
        <w:rPr>
          <w:rFonts w:hint="eastAsia" w:cs="宋体"/>
          <w:color w:val="auto"/>
          <w:highlight w:val="none"/>
          <w:lang w:eastAsia="zh-CN"/>
        </w:rPr>
        <w:t>）</w:t>
      </w:r>
      <w:r>
        <w:rPr>
          <w:rFonts w:hint="eastAsia" w:ascii="Times New Roman" w:hAnsi="Times New Roman" w:eastAsia="宋体" w:cs="宋体"/>
          <w:color w:val="auto"/>
          <w:highlight w:val="none"/>
        </w:rPr>
        <w:t>总价计价项目的价格，且每个清单项目应只填报一个报价，未按要求填报</w:t>
      </w:r>
      <w:r>
        <w:rPr>
          <w:rFonts w:hint="eastAsia" w:cs="宋体"/>
          <w:color w:val="auto"/>
          <w:highlight w:val="none"/>
          <w:lang w:eastAsia="zh-CN"/>
        </w:rPr>
        <w:t>（</w:t>
      </w:r>
      <w:r>
        <w:rPr>
          <w:rFonts w:hint="eastAsia" w:ascii="Times New Roman" w:hAnsi="Times New Roman" w:eastAsia="宋体" w:cs="宋体"/>
          <w:color w:val="auto"/>
          <w:highlight w:val="none"/>
        </w:rPr>
        <w:t>漏填或未填</w:t>
      </w:r>
      <w:r>
        <w:rPr>
          <w:rFonts w:hint="eastAsia" w:cs="宋体"/>
          <w:color w:val="auto"/>
          <w:highlight w:val="none"/>
          <w:lang w:eastAsia="zh-CN"/>
        </w:rPr>
        <w:t>）</w:t>
      </w:r>
      <w:r>
        <w:rPr>
          <w:rFonts w:hint="eastAsia" w:ascii="Times New Roman" w:hAnsi="Times New Roman" w:eastAsia="宋体" w:cs="宋体"/>
          <w:color w:val="auto"/>
          <w:highlight w:val="none"/>
        </w:rPr>
        <w:t>综合单价及其合价和</w:t>
      </w:r>
      <w:r>
        <w:rPr>
          <w:rFonts w:hint="eastAsia" w:cs="宋体"/>
          <w:color w:val="auto"/>
          <w:highlight w:val="none"/>
          <w:lang w:eastAsia="zh-CN"/>
        </w:rPr>
        <w:t>（</w:t>
      </w:r>
      <w:r>
        <w:rPr>
          <w:rFonts w:hint="eastAsia" w:ascii="Times New Roman" w:hAnsi="Times New Roman" w:eastAsia="宋体" w:cs="宋体"/>
          <w:color w:val="auto"/>
          <w:highlight w:val="none"/>
        </w:rPr>
        <w:t>或</w:t>
      </w:r>
      <w:r>
        <w:rPr>
          <w:rFonts w:hint="eastAsia" w:cs="宋体"/>
          <w:color w:val="auto"/>
          <w:highlight w:val="none"/>
          <w:lang w:eastAsia="zh-CN"/>
        </w:rPr>
        <w:t>）</w:t>
      </w:r>
      <w:r>
        <w:rPr>
          <w:rFonts w:hint="eastAsia" w:ascii="Times New Roman" w:hAnsi="Times New Roman" w:eastAsia="宋体" w:cs="宋体"/>
          <w:color w:val="auto"/>
          <w:highlight w:val="none"/>
        </w:rPr>
        <w:t>清单项目价格的，相关清单项目报价可视为已包含在其他的清单项目中。</w:t>
      </w:r>
    </w:p>
    <w:p w14:paraId="4681DA6A">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1.10</w:t>
      </w:r>
      <w:r>
        <w:rPr>
          <w:rFonts w:hint="eastAsia" w:ascii="Times New Roman" w:hAnsi="Times New Roman" w:eastAsia="宋体" w:cs="宋体"/>
          <w:color w:val="auto"/>
          <w:highlight w:val="none"/>
        </w:rPr>
        <w:t xml:space="preserve">  投标人的投标总价应</w:t>
      </w:r>
      <w:r>
        <w:rPr>
          <w:rFonts w:hint="eastAsia" w:ascii="Times New Roman" w:hAnsi="Times New Roman" w:eastAsia="宋体" w:cs="宋体"/>
          <w:color w:val="auto"/>
          <w:highlight w:val="none"/>
          <w:lang w:val="en-US" w:eastAsia="zh-CN"/>
        </w:rPr>
        <w:t>当与已标价工程量清单所含各项清单</w:t>
      </w:r>
      <w:r>
        <w:rPr>
          <w:rFonts w:hint="eastAsia" w:ascii="Times New Roman" w:hAnsi="Times New Roman" w:eastAsia="宋体" w:cs="宋体"/>
          <w:color w:val="auto"/>
          <w:highlight w:val="none"/>
        </w:rPr>
        <w:t>合价总额一致。</w:t>
      </w:r>
    </w:p>
    <w:p w14:paraId="530668B9">
      <w:pPr>
        <w:pageBreakBefore w:val="0"/>
        <w:widowControl/>
        <w:tabs>
          <w:tab w:val="left" w:pos="8647"/>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Times New Roman" w:hAnsi="Times New Roman" w:eastAsia="宋体" w:cs="宋体"/>
          <w:color w:val="auto"/>
          <w:highlight w:val="none"/>
          <w:lang w:val="en-US" w:eastAsia="zh-CN"/>
        </w:rPr>
        <w:t>1</w:t>
      </w:r>
      <w:r>
        <w:rPr>
          <w:rFonts w:hint="eastAsia" w:ascii="Times New Roman" w:hAnsi="Times New Roman" w:eastAsia="宋体" w:cs="宋体"/>
          <w:b w:val="0"/>
          <w:bCs w:val="0"/>
          <w:color w:val="auto"/>
          <w:sz w:val="21"/>
          <w:szCs w:val="21"/>
          <w:highlight w:val="none"/>
          <w:lang w:val="en-US" w:eastAsia="zh-CN"/>
        </w:rPr>
        <w:t>.11投标报价编制应</w:t>
      </w:r>
      <w:r>
        <w:rPr>
          <w:rFonts w:hint="eastAsia" w:ascii="宋体" w:hAnsi="宋体" w:eastAsia="宋体" w:cs="宋体"/>
          <w:b w:val="0"/>
          <w:bCs/>
          <w:color w:val="auto"/>
          <w:sz w:val="21"/>
          <w:szCs w:val="21"/>
          <w:highlight w:val="none"/>
          <w:lang w:val="zh-TW" w:eastAsia="zh-CN"/>
        </w:rPr>
        <w:t>符合下列规定：</w:t>
      </w:r>
    </w:p>
    <w:p w14:paraId="3F8E25F4">
      <w:pPr>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ascii="Times New Roman" w:hAnsi="Times New Roman" w:eastAsia="宋体" w:cs="宋体"/>
          <w:color w:val="auto"/>
          <w:highlight w:val="none"/>
        </w:rPr>
        <w:t>《计价规范》</w:t>
      </w:r>
      <w:r>
        <w:rPr>
          <w:rFonts w:hint="eastAsia" w:ascii="宋体" w:hAnsi="宋体" w:eastAsia="宋体" w:cs="宋体"/>
          <w:color w:val="auto"/>
          <w:sz w:val="21"/>
          <w:szCs w:val="21"/>
          <w:highlight w:val="none"/>
          <w:lang w:val="zh-TW" w:eastAsia="zh-CN"/>
        </w:rPr>
        <w:t>；</w:t>
      </w:r>
    </w:p>
    <w:p w14:paraId="7AF2A5CE">
      <w:pPr>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lang w:val="zh-TW"/>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ascii="宋体" w:hAnsi="宋体" w:eastAsia="宋体" w:cs="宋体"/>
          <w:b w:val="0"/>
          <w:bCs/>
          <w:color w:val="auto"/>
          <w:sz w:val="21"/>
          <w:szCs w:val="21"/>
          <w:highlight w:val="none"/>
          <w:lang w:val="zh-TW" w:eastAsia="zh-CN"/>
        </w:rPr>
        <w:t>自治区建设行政主管部门颁发的建设工程计算规范及根据工程需要补充的工程量计算规则；</w:t>
      </w:r>
    </w:p>
    <w:p w14:paraId="2BFAB975">
      <w:pPr>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color w:val="auto"/>
          <w:sz w:val="21"/>
          <w:szCs w:val="21"/>
          <w:highlight w:val="none"/>
          <w:lang w:val="zh-TW"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ascii="宋体" w:hAnsi="宋体" w:eastAsia="宋体" w:cs="宋体"/>
          <w:b w:val="0"/>
          <w:bCs/>
          <w:color w:val="auto"/>
          <w:sz w:val="21"/>
          <w:szCs w:val="21"/>
          <w:highlight w:val="none"/>
          <w:lang w:val="zh-TW" w:eastAsia="zh-CN"/>
        </w:rPr>
        <w:t>招标文件（包括招标工程量清单、合同条款、</w:t>
      </w:r>
      <w:r>
        <w:rPr>
          <w:rFonts w:hint="default" w:ascii="宋体" w:hAnsi="宋体" w:eastAsia="宋体" w:cs="宋体"/>
          <w:b w:val="0"/>
          <w:bCs/>
          <w:color w:val="auto"/>
          <w:sz w:val="21"/>
          <w:szCs w:val="21"/>
          <w:highlight w:val="none"/>
          <w:lang w:val="en-US" w:eastAsia="zh-TW"/>
        </w:rPr>
        <w:t>招标</w:t>
      </w:r>
      <w:r>
        <w:rPr>
          <w:rFonts w:hint="eastAsia" w:ascii="宋体" w:hAnsi="宋体" w:eastAsia="宋体" w:cs="宋体"/>
          <w:b w:val="0"/>
          <w:bCs/>
          <w:color w:val="auto"/>
          <w:sz w:val="21"/>
          <w:szCs w:val="21"/>
          <w:highlight w:val="none"/>
          <w:lang w:val="zh-TW" w:eastAsia="zh-TW"/>
        </w:rPr>
        <w:t>图纸等</w:t>
      </w:r>
      <w:r>
        <w:rPr>
          <w:rFonts w:hint="eastAsia" w:ascii="宋体" w:hAnsi="宋体" w:eastAsia="宋体" w:cs="宋体"/>
          <w:b w:val="0"/>
          <w:bCs/>
          <w:color w:val="auto"/>
          <w:sz w:val="21"/>
          <w:szCs w:val="21"/>
          <w:highlight w:val="none"/>
          <w:lang w:val="zh-TW" w:eastAsia="zh-CN"/>
        </w:rPr>
        <w:t>）及其补</w:t>
      </w:r>
      <w:r>
        <w:rPr>
          <w:rFonts w:hint="eastAsia" w:ascii="宋体" w:hAnsi="宋体" w:eastAsia="宋体" w:cs="宋体"/>
          <w:b w:val="0"/>
          <w:bCs/>
          <w:color w:val="auto"/>
          <w:sz w:val="21"/>
          <w:szCs w:val="21"/>
          <w:highlight w:val="none"/>
          <w:lang w:val="zh-TW" w:eastAsia="zh-TW"/>
        </w:rPr>
        <w:t>遗</w:t>
      </w:r>
      <w:r>
        <w:rPr>
          <w:rFonts w:hint="eastAsia" w:ascii="宋体" w:hAnsi="宋体" w:eastAsia="宋体" w:cs="宋体"/>
          <w:b w:val="0"/>
          <w:bCs/>
          <w:color w:val="auto"/>
          <w:sz w:val="21"/>
          <w:szCs w:val="21"/>
          <w:highlight w:val="none"/>
          <w:lang w:val="zh-TW" w:eastAsia="zh-CN"/>
        </w:rPr>
        <w:t>、答疑、异议澄清或修正；</w:t>
      </w:r>
    </w:p>
    <w:p w14:paraId="67BC4A6C">
      <w:pPr>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color w:val="auto"/>
          <w:sz w:val="21"/>
          <w:szCs w:val="21"/>
          <w:highlight w:val="none"/>
          <w:lang w:val="zh-TW"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ascii="宋体" w:hAnsi="宋体" w:eastAsia="宋体" w:cs="宋体"/>
          <w:b w:val="0"/>
          <w:bCs/>
          <w:color w:val="auto"/>
          <w:sz w:val="21"/>
          <w:szCs w:val="21"/>
          <w:highlight w:val="none"/>
          <w:lang w:val="zh-TW" w:eastAsia="zh-CN"/>
        </w:rPr>
        <w:t>与招标工程相关的技术、标准、规范等技术资料；</w:t>
      </w:r>
    </w:p>
    <w:p w14:paraId="63504068">
      <w:pPr>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color w:val="auto"/>
          <w:sz w:val="21"/>
          <w:szCs w:val="21"/>
          <w:highlight w:val="none"/>
          <w:lang w:val="zh-TW" w:eastAsia="zh-CN"/>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ascii="宋体" w:hAnsi="宋体" w:eastAsia="宋体" w:cs="宋体"/>
          <w:b w:val="0"/>
          <w:bCs/>
          <w:color w:val="auto"/>
          <w:sz w:val="21"/>
          <w:szCs w:val="21"/>
          <w:highlight w:val="none"/>
          <w:lang w:val="zh-TW" w:eastAsia="zh-CN"/>
        </w:rPr>
        <w:t>工程特点、地勘水文资料、现场踏勘情况；</w:t>
      </w:r>
    </w:p>
    <w:p w14:paraId="7841F91B">
      <w:pPr>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color w:val="auto"/>
          <w:sz w:val="21"/>
          <w:szCs w:val="21"/>
          <w:highlight w:val="none"/>
          <w:lang w:val="zh-TW" w:eastAsia="zh-CN"/>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ascii="宋体" w:hAnsi="宋体" w:eastAsia="宋体" w:cs="宋体"/>
          <w:b w:val="0"/>
          <w:bCs/>
          <w:color w:val="auto"/>
          <w:sz w:val="21"/>
          <w:szCs w:val="21"/>
          <w:highlight w:val="none"/>
          <w:lang w:val="zh-TW" w:eastAsia="zh-CN"/>
        </w:rPr>
        <w:t>投标人的工程实施方案及投标工期；</w:t>
      </w:r>
    </w:p>
    <w:p w14:paraId="354D95A6">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sz w:val="21"/>
          <w:szCs w:val="21"/>
          <w:highlight w:val="none"/>
          <w:lang w:val="zh-TW"/>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ascii="宋体" w:hAnsi="宋体" w:eastAsia="宋体" w:cs="宋体"/>
          <w:b w:val="0"/>
          <w:bCs/>
          <w:color w:val="auto"/>
          <w:sz w:val="21"/>
          <w:szCs w:val="21"/>
          <w:highlight w:val="none"/>
          <w:lang w:val="zh-TW" w:eastAsia="zh-CN"/>
        </w:rPr>
        <w:t>投标人的企业定额、工程造价数据、价格指数、市场价格信息及价格变动预期、装备及管理水平、造价资讯等；</w:t>
      </w:r>
    </w:p>
    <w:p w14:paraId="201DEB8C">
      <w:pPr>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color w:val="auto"/>
          <w:sz w:val="21"/>
          <w:szCs w:val="21"/>
          <w:highlight w:val="none"/>
        </w:rPr>
      </w:pPr>
      <w:r>
        <w:rPr>
          <w:rFonts w:hint="eastAsia"/>
          <w:color w:val="auto"/>
          <w:highlight w:val="none"/>
          <w:lang w:eastAsia="zh-CN"/>
        </w:rPr>
        <w:t>（</w:t>
      </w:r>
      <w:r>
        <w:rPr>
          <w:rFonts w:hint="eastAsia"/>
          <w:color w:val="auto"/>
          <w:highlight w:val="none"/>
          <w:lang w:val="en-US" w:eastAsia="zh-CN"/>
        </w:rPr>
        <w:t>8</w:t>
      </w:r>
      <w:r>
        <w:rPr>
          <w:rFonts w:hint="eastAsia"/>
          <w:color w:val="auto"/>
          <w:highlight w:val="none"/>
          <w:lang w:eastAsia="zh-CN"/>
        </w:rPr>
        <w:t>）其他</w:t>
      </w:r>
      <w:r>
        <w:rPr>
          <w:rFonts w:hint="eastAsia" w:ascii="宋体" w:hAnsi="宋体" w:eastAsia="宋体" w:cs="宋体"/>
          <w:b w:val="0"/>
          <w:bCs/>
          <w:color w:val="auto"/>
          <w:sz w:val="21"/>
          <w:szCs w:val="21"/>
          <w:highlight w:val="none"/>
        </w:rPr>
        <w:t>相关资料。</w:t>
      </w:r>
    </w:p>
    <w:p w14:paraId="3FBD624C">
      <w:pPr>
        <w:pStyle w:val="17"/>
        <w:spacing w:before="63" w:line="360" w:lineRule="auto"/>
        <w:ind w:right="30" w:firstLine="2"/>
        <w:jc w:val="left"/>
        <w:rPr>
          <w:rFonts w:hint="eastAsia" w:ascii="宋体" w:hAnsi="宋体" w:eastAsia="宋体" w:cs="宋体"/>
          <w:color w:val="auto"/>
          <w:sz w:val="21"/>
          <w:szCs w:val="21"/>
          <w:highlight w:val="none"/>
        </w:rPr>
      </w:pPr>
      <w:r>
        <w:rPr>
          <w:rFonts w:hint="eastAsia" w:ascii="宋体" w:hAnsi="宋体" w:eastAsia="宋体" w:cs="宋体"/>
          <w:b/>
          <w:bCs/>
          <w:color w:val="auto"/>
          <w:spacing w:val="15"/>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1</w:t>
      </w:r>
      <w:r>
        <w:rPr>
          <w:rFonts w:hint="eastAsia" w:ascii="宋体" w:hAnsi="宋体" w:eastAsia="宋体" w:cs="宋体"/>
          <w:b/>
          <w:bCs/>
          <w:color w:val="auto"/>
          <w:spacing w:val="15"/>
          <w:sz w:val="21"/>
          <w:szCs w:val="21"/>
          <w:highlight w:val="none"/>
          <w:lang w:val="en-US" w:eastAsia="zh-CN"/>
        </w:rPr>
        <w:t>.</w:t>
      </w:r>
      <w:r>
        <w:rPr>
          <w:rFonts w:hint="eastAsia" w:ascii="宋体" w:hAnsi="宋体" w:eastAsia="宋体" w:cs="宋体"/>
          <w:b w:val="0"/>
          <w:bCs w:val="0"/>
          <w:color w:val="auto"/>
          <w:spacing w:val="15"/>
          <w:sz w:val="21"/>
          <w:szCs w:val="21"/>
          <w:highlight w:val="none"/>
          <w:lang w:val="en-US" w:eastAsia="zh-CN"/>
        </w:rPr>
        <w:t>12</w:t>
      </w:r>
      <w:r>
        <w:rPr>
          <w:rFonts w:hint="eastAsia" w:ascii="宋体" w:hAnsi="宋体" w:eastAsia="宋体" w:cs="宋体"/>
          <w:color w:val="auto"/>
          <w:spacing w:val="15"/>
          <w:sz w:val="21"/>
          <w:szCs w:val="21"/>
          <w:highlight w:val="none"/>
        </w:rPr>
        <w:t xml:space="preserve">  </w:t>
      </w:r>
      <w:r>
        <w:rPr>
          <w:rFonts w:hint="eastAsia" w:ascii="宋体" w:hAnsi="宋体" w:eastAsia="宋体" w:cs="宋体"/>
          <w:color w:val="auto"/>
          <w:spacing w:val="0"/>
          <w:sz w:val="21"/>
          <w:szCs w:val="21"/>
          <w:highlight w:val="none"/>
        </w:rPr>
        <w:t>下列事项引起的计量与计价风险应由承包人承担，承包人在投标报价中应予考虑，因其引起的合同价格和</w:t>
      </w:r>
      <w:r>
        <w:rPr>
          <w:rFonts w:hint="eastAsia" w:ascii="宋体" w:hAnsi="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或</w:t>
      </w:r>
      <w:r>
        <w:rPr>
          <w:rFonts w:hint="eastAsia" w:ascii="宋体" w:hAnsi="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工期变化应视为已包含在合同总价及合同工期内，除合同另有约定外，合同价格和工期不应予调整。</w:t>
      </w:r>
    </w:p>
    <w:p w14:paraId="4AA260F6">
      <w:pPr>
        <w:pStyle w:val="17"/>
        <w:spacing w:before="96" w:line="360" w:lineRule="auto"/>
        <w:ind w:left="0" w:firstLine="440" w:firstLineChars="200"/>
        <w:jc w:val="left"/>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ascii="宋体" w:hAnsi="宋体" w:eastAsia="宋体" w:cs="宋体"/>
          <w:color w:val="auto"/>
          <w:spacing w:val="0"/>
          <w:sz w:val="21"/>
          <w:szCs w:val="21"/>
          <w:highlight w:val="none"/>
        </w:rPr>
        <w:t>措施项目清单的准确性及完整性；</w:t>
      </w:r>
    </w:p>
    <w:p w14:paraId="380C14A2">
      <w:pPr>
        <w:pStyle w:val="17"/>
        <w:spacing w:before="82" w:line="360" w:lineRule="auto"/>
        <w:ind w:left="0" w:right="19" w:firstLine="440" w:firstLineChars="200"/>
        <w:jc w:val="left"/>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ascii="宋体" w:hAnsi="宋体" w:eastAsia="宋体" w:cs="宋体"/>
          <w:color w:val="auto"/>
          <w:spacing w:val="0"/>
          <w:sz w:val="21"/>
          <w:szCs w:val="21"/>
          <w:highlight w:val="none"/>
        </w:rPr>
        <w:t>采用总价合同的工程，已标价工程量清单存在的缺陷</w:t>
      </w:r>
      <w:r>
        <w:rPr>
          <w:rFonts w:hint="eastAsia" w:ascii="宋体" w:hAnsi="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单价计价的暂定数量清单项目除外</w:t>
      </w:r>
      <w:r>
        <w:rPr>
          <w:rFonts w:hint="eastAsia" w:ascii="宋体" w:hAnsi="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以及承包人为完成总价合同中合同图纸及合同规范所要求的工程、</w:t>
      </w:r>
      <w:r>
        <w:rPr>
          <w:rFonts w:hint="eastAsia" w:ascii="宋体" w:hAnsi="宋体" w:eastAsia="宋体" w:cs="宋体"/>
          <w:color w:val="auto"/>
          <w:spacing w:val="0"/>
          <w:sz w:val="21"/>
          <w:szCs w:val="21"/>
          <w:highlight w:val="none"/>
          <w:lang w:eastAsia="zh-CN"/>
        </w:rPr>
        <w:t>自治区建设行政主管部门颁发的</w:t>
      </w:r>
      <w:r>
        <w:rPr>
          <w:rFonts w:hint="eastAsia" w:ascii="宋体" w:hAnsi="宋体" w:eastAsia="宋体" w:cs="宋体"/>
          <w:color w:val="auto"/>
          <w:spacing w:val="0"/>
          <w:sz w:val="21"/>
          <w:szCs w:val="21"/>
          <w:highlight w:val="none"/>
        </w:rPr>
        <w:t>工程量计算</w:t>
      </w:r>
      <w:r>
        <w:rPr>
          <w:rFonts w:hint="eastAsia" w:ascii="宋体" w:hAnsi="宋体" w:eastAsia="宋体" w:cs="宋体"/>
          <w:color w:val="auto"/>
          <w:spacing w:val="0"/>
          <w:sz w:val="21"/>
          <w:szCs w:val="21"/>
          <w:highlight w:val="none"/>
          <w:lang w:eastAsia="zh-CN"/>
        </w:rPr>
        <w:t>规范</w:t>
      </w:r>
      <w:r>
        <w:rPr>
          <w:rFonts w:hint="eastAsia" w:ascii="宋体" w:hAnsi="宋体" w:eastAsia="宋体" w:cs="宋体"/>
          <w:color w:val="auto"/>
          <w:spacing w:val="0"/>
          <w:sz w:val="21"/>
          <w:szCs w:val="21"/>
          <w:highlight w:val="none"/>
        </w:rPr>
        <w:t>中工作内容说明的所有工作所需费用；</w:t>
      </w:r>
    </w:p>
    <w:p w14:paraId="5AA63E2E">
      <w:pPr>
        <w:pStyle w:val="17"/>
        <w:spacing w:before="73" w:line="360" w:lineRule="auto"/>
        <w:ind w:left="0" w:right="8" w:firstLine="440" w:firstLineChars="200"/>
        <w:jc w:val="left"/>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ascii="宋体" w:hAnsi="宋体" w:eastAsia="宋体" w:cs="宋体"/>
          <w:color w:val="auto"/>
          <w:spacing w:val="0"/>
          <w:sz w:val="21"/>
          <w:szCs w:val="21"/>
          <w:highlight w:val="none"/>
        </w:rPr>
        <w:t>采用单价合同的工程，承包人为完成工程量清单及其项目特征所说明的工程、</w:t>
      </w:r>
      <w:r>
        <w:rPr>
          <w:rFonts w:hint="eastAsia" w:ascii="宋体" w:hAnsi="宋体" w:eastAsia="宋体" w:cs="宋体"/>
          <w:b w:val="0"/>
          <w:bCs w:val="0"/>
          <w:color w:val="auto"/>
          <w:sz w:val="21"/>
          <w:szCs w:val="21"/>
          <w:highlight w:val="none"/>
          <w:lang w:val="en-US" w:eastAsia="zh-CN"/>
        </w:rPr>
        <w:t>自治区建设行政主管部门颁发的</w:t>
      </w:r>
      <w:r>
        <w:rPr>
          <w:rFonts w:hint="eastAsia" w:ascii="宋体" w:hAnsi="宋体" w:eastAsia="宋体" w:cs="宋体"/>
          <w:color w:val="auto"/>
          <w:spacing w:val="0"/>
          <w:sz w:val="21"/>
          <w:szCs w:val="21"/>
          <w:highlight w:val="none"/>
        </w:rPr>
        <w:t>工程量计算</w:t>
      </w:r>
      <w:r>
        <w:rPr>
          <w:rFonts w:hint="eastAsia" w:ascii="宋体" w:hAnsi="宋体" w:eastAsia="宋体" w:cs="宋体"/>
          <w:color w:val="auto"/>
          <w:spacing w:val="0"/>
          <w:sz w:val="21"/>
          <w:szCs w:val="21"/>
          <w:highlight w:val="none"/>
          <w:lang w:eastAsia="zh-CN"/>
        </w:rPr>
        <w:t>规范</w:t>
      </w:r>
      <w:r>
        <w:rPr>
          <w:rFonts w:hint="eastAsia" w:ascii="宋体" w:hAnsi="宋体" w:eastAsia="宋体" w:cs="宋体"/>
          <w:color w:val="auto"/>
          <w:spacing w:val="0"/>
          <w:sz w:val="21"/>
          <w:szCs w:val="21"/>
          <w:highlight w:val="none"/>
        </w:rPr>
        <w:t>中工作内容说明的所有工作所需费用；</w:t>
      </w:r>
    </w:p>
    <w:p w14:paraId="2E000D54">
      <w:pPr>
        <w:pStyle w:val="17"/>
        <w:spacing w:before="94" w:line="360" w:lineRule="auto"/>
        <w:ind w:left="0" w:firstLine="440" w:firstLineChars="200"/>
        <w:jc w:val="left"/>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ascii="宋体" w:hAnsi="宋体" w:eastAsia="宋体" w:cs="宋体"/>
          <w:color w:val="auto"/>
          <w:spacing w:val="0"/>
          <w:sz w:val="21"/>
          <w:szCs w:val="21"/>
          <w:highlight w:val="none"/>
        </w:rPr>
        <w:t>承包人因自身原因引起实施方案变化引起的费用调整；</w:t>
      </w:r>
    </w:p>
    <w:p w14:paraId="07644E44">
      <w:pPr>
        <w:pStyle w:val="17"/>
        <w:spacing w:before="73" w:line="360" w:lineRule="auto"/>
        <w:ind w:left="0" w:firstLine="440" w:firstLineChars="200"/>
        <w:jc w:val="left"/>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ascii="宋体" w:hAnsi="宋体" w:eastAsia="宋体" w:cs="宋体"/>
          <w:color w:val="auto"/>
          <w:spacing w:val="0"/>
          <w:sz w:val="21"/>
          <w:szCs w:val="21"/>
          <w:highlight w:val="none"/>
        </w:rPr>
        <w:t>承包人因施工机具使用、施工技术应用以及组织管理水平等自身原因造成的施工费用增加；</w:t>
      </w:r>
    </w:p>
    <w:p w14:paraId="22CC4DD0">
      <w:pPr>
        <w:pStyle w:val="17"/>
        <w:spacing w:before="97" w:line="360" w:lineRule="auto"/>
        <w:ind w:left="0" w:firstLine="440" w:firstLineChars="200"/>
        <w:jc w:val="left"/>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ascii="宋体" w:hAnsi="宋体" w:eastAsia="宋体" w:cs="宋体"/>
          <w:color w:val="auto"/>
          <w:spacing w:val="0"/>
          <w:sz w:val="21"/>
          <w:szCs w:val="21"/>
          <w:highlight w:val="none"/>
        </w:rPr>
        <w:t>承包人因自身原因引起的赶工、停工或暂缓施</w:t>
      </w:r>
      <w:r>
        <w:rPr>
          <w:rFonts w:hint="default" w:ascii="宋体" w:hAnsi="宋体" w:eastAsia="宋体" w:cs="宋体"/>
          <w:color w:val="auto"/>
          <w:spacing w:val="0"/>
          <w:sz w:val="21"/>
          <w:szCs w:val="21"/>
          <w:highlight w:val="none"/>
          <w:lang w:val="en-US"/>
        </w:rPr>
        <w:t>工</w:t>
      </w:r>
      <w:r>
        <w:rPr>
          <w:rFonts w:hint="eastAsia" w:ascii="宋体" w:hAnsi="宋体" w:eastAsia="宋体" w:cs="宋体"/>
          <w:color w:val="auto"/>
          <w:spacing w:val="0"/>
          <w:sz w:val="21"/>
          <w:szCs w:val="21"/>
          <w:highlight w:val="none"/>
        </w:rPr>
        <w:t>；</w:t>
      </w:r>
    </w:p>
    <w:p w14:paraId="2C58BDB8">
      <w:pPr>
        <w:pStyle w:val="17"/>
        <w:spacing w:before="72" w:line="360" w:lineRule="auto"/>
        <w:ind w:left="0" w:firstLine="440" w:firstLineChars="200"/>
        <w:jc w:val="left"/>
        <w:rPr>
          <w:rFonts w:hint="eastAsia" w:ascii="宋体" w:hAnsi="宋体" w:eastAsia="宋体" w:cs="宋体"/>
          <w:color w:val="auto"/>
          <w:sz w:val="21"/>
          <w:szCs w:val="21"/>
          <w:highlight w:val="none"/>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ascii="宋体" w:hAnsi="宋体" w:eastAsia="宋体" w:cs="宋体"/>
          <w:color w:val="auto"/>
          <w:spacing w:val="0"/>
          <w:sz w:val="21"/>
          <w:szCs w:val="21"/>
          <w:highlight w:val="none"/>
        </w:rPr>
        <w:t>未超出招标文件、合同约定物价变化范围和波动幅度的市场物价变动；</w:t>
      </w:r>
    </w:p>
    <w:p w14:paraId="3894F16F">
      <w:pPr>
        <w:pStyle w:val="17"/>
        <w:spacing w:before="72" w:line="360" w:lineRule="auto"/>
        <w:ind w:left="0" w:firstLine="420" w:firstLineChars="200"/>
        <w:jc w:val="left"/>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lang w:eastAsia="zh-CN"/>
        </w:rPr>
        <w:t>（</w:t>
      </w:r>
      <w:r>
        <w:rPr>
          <w:rFonts w:hint="eastAsia"/>
          <w:color w:val="auto"/>
          <w:highlight w:val="none"/>
          <w:lang w:val="en-US" w:eastAsia="zh-CN"/>
        </w:rPr>
        <w:t>8</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其他应当由承包人承担责任的事项。</w:t>
      </w:r>
    </w:p>
    <w:p w14:paraId="5644A111">
      <w:pPr>
        <w:pageBreakBefore w:val="0"/>
        <w:widowControl/>
        <w:tabs>
          <w:tab w:val="left" w:pos="8647"/>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color w:val="auto"/>
          <w:sz w:val="21"/>
          <w:szCs w:val="21"/>
          <w:highlight w:val="none"/>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13</w:t>
      </w:r>
      <w:r>
        <w:rPr>
          <w:rFonts w:hint="eastAsia" w:ascii="宋体" w:hAnsi="宋体" w:eastAsia="宋体" w:cs="宋体"/>
          <w:b/>
          <w:bCs/>
          <w:color w:val="auto"/>
          <w:sz w:val="21"/>
          <w:szCs w:val="21"/>
          <w:highlight w:val="none"/>
        </w:rPr>
        <w:t xml:space="preserve">  </w:t>
      </w:r>
      <w:r>
        <w:rPr>
          <w:rFonts w:hint="eastAsia" w:ascii="宋体" w:hAnsi="宋体" w:eastAsia="宋体" w:cs="宋体"/>
          <w:b w:val="0"/>
          <w:bCs w:val="0"/>
          <w:color w:val="auto"/>
          <w:sz w:val="21"/>
          <w:szCs w:val="21"/>
          <w:highlight w:val="none"/>
        </w:rPr>
        <w:t>投标人按</w:t>
      </w:r>
      <w:r>
        <w:rPr>
          <w:rFonts w:hint="eastAsia" w:ascii="宋体" w:hAnsi="宋体" w:eastAsia="宋体" w:cs="宋体"/>
          <w:b w:val="0"/>
          <w:bCs w:val="0"/>
          <w:color w:val="auto"/>
          <w:sz w:val="21"/>
          <w:szCs w:val="21"/>
          <w:highlight w:val="none"/>
          <w:lang w:val="zh-TW" w:eastAsia="zh-CN"/>
        </w:rPr>
        <w:t>自治区建设行政主管部门颁发的计算规范</w:t>
      </w:r>
      <w:r>
        <w:rPr>
          <w:rFonts w:hint="eastAsia" w:ascii="宋体" w:hAnsi="宋体" w:eastAsia="宋体" w:cs="宋体"/>
          <w:b w:val="0"/>
          <w:bCs w:val="0"/>
          <w:color w:val="auto"/>
          <w:sz w:val="21"/>
          <w:szCs w:val="21"/>
          <w:highlight w:val="none"/>
        </w:rPr>
        <w:t>规定和</w:t>
      </w:r>
      <w:r>
        <w:rPr>
          <w:rFonts w:hint="eastAsia" w:ascii="宋体" w:hAnsi="宋体" w:cs="宋体"/>
          <w:b w:val="0"/>
          <w:bCs w:val="0"/>
          <w:color w:val="auto"/>
          <w:sz w:val="21"/>
          <w:szCs w:val="21"/>
          <w:highlight w:val="none"/>
          <w:lang w:eastAsia="zh-CN"/>
        </w:rPr>
        <w:t>招标人</w:t>
      </w:r>
      <w:r>
        <w:rPr>
          <w:rFonts w:hint="eastAsia" w:ascii="宋体" w:hAnsi="宋体" w:eastAsia="宋体" w:cs="宋体"/>
          <w:b w:val="0"/>
          <w:bCs w:val="0"/>
          <w:color w:val="auto"/>
          <w:sz w:val="21"/>
          <w:szCs w:val="21"/>
          <w:highlight w:val="none"/>
        </w:rPr>
        <w:t>补充的工程量计算规则，对分部分项工程项目清单的所有清单项目进行报价，其报价应满足下列因素对价格的要求</w:t>
      </w:r>
      <w:r>
        <w:rPr>
          <w:rFonts w:hint="eastAsia" w:ascii="宋体" w:hAnsi="宋体" w:eastAsia="宋体" w:cs="宋体"/>
          <w:bCs/>
          <w:color w:val="auto"/>
          <w:sz w:val="21"/>
          <w:szCs w:val="21"/>
          <w:highlight w:val="none"/>
        </w:rPr>
        <w:t>：</w:t>
      </w:r>
    </w:p>
    <w:p w14:paraId="2AA89CDB">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Cs/>
          <w:color w:val="auto"/>
          <w:sz w:val="21"/>
          <w:szCs w:val="21"/>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ascii="宋体" w:hAnsi="宋体" w:eastAsia="宋体" w:cs="宋体"/>
          <w:bCs/>
          <w:color w:val="auto"/>
          <w:sz w:val="21"/>
          <w:szCs w:val="21"/>
          <w:highlight w:val="none"/>
        </w:rPr>
        <w:t>工程数量对材料采购及人工价格的影响；</w:t>
      </w:r>
    </w:p>
    <w:p w14:paraId="35DF66A1">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Cs/>
          <w:color w:val="auto"/>
          <w:sz w:val="21"/>
          <w:szCs w:val="21"/>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ascii="宋体" w:hAnsi="宋体" w:eastAsia="宋体" w:cs="宋体"/>
          <w:bCs/>
          <w:color w:val="auto"/>
          <w:sz w:val="21"/>
          <w:szCs w:val="21"/>
          <w:highlight w:val="none"/>
        </w:rPr>
        <w:t>招标文件规定物价变化进行价格调整的清单项目，在调整的范围和波动幅度内市场物价变动及调整时段带来的承包风险的影响；</w:t>
      </w:r>
    </w:p>
    <w:p w14:paraId="5CF1C57E">
      <w:pPr>
        <w:pageBreakBefore w:val="0"/>
        <w:kinsoku/>
        <w:wordWrap/>
        <w:overflowPunct/>
        <w:topLinePunct w:val="0"/>
        <w:autoSpaceDE/>
        <w:autoSpaceDN/>
        <w:bidi w:val="0"/>
        <w:adjustRightInd/>
        <w:snapToGrid/>
        <w:spacing w:line="360" w:lineRule="auto"/>
        <w:ind w:left="0" w:leftChars="0" w:firstLine="424" w:firstLineChars="202"/>
        <w:jc w:val="left"/>
        <w:textAlignment w:val="auto"/>
        <w:rPr>
          <w:rFonts w:hint="eastAsia" w:ascii="宋体" w:hAnsi="宋体" w:eastAsia="宋体" w:cs="宋体"/>
          <w:bCs/>
          <w:color w:val="auto"/>
          <w:sz w:val="21"/>
          <w:szCs w:val="21"/>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ascii="宋体" w:hAnsi="宋体" w:eastAsia="宋体" w:cs="宋体"/>
          <w:bCs/>
          <w:color w:val="auto"/>
          <w:sz w:val="21"/>
          <w:szCs w:val="21"/>
          <w:highlight w:val="none"/>
        </w:rPr>
        <w:t>招标文件未规定物价变化进行价格调整的清单项目的材料费、人工费、施工机具使用费等市场价格波动的影响；</w:t>
      </w:r>
    </w:p>
    <w:p w14:paraId="550C1B8A">
      <w:pPr>
        <w:pageBreakBefore w:val="0"/>
        <w:kinsoku/>
        <w:wordWrap/>
        <w:overflowPunct/>
        <w:topLinePunct w:val="0"/>
        <w:autoSpaceDE/>
        <w:autoSpaceDN/>
        <w:bidi w:val="0"/>
        <w:adjustRightInd/>
        <w:snapToGrid/>
        <w:spacing w:line="360" w:lineRule="auto"/>
        <w:ind w:left="0" w:leftChars="0" w:firstLine="424" w:firstLineChars="202"/>
        <w:jc w:val="left"/>
        <w:textAlignment w:val="auto"/>
        <w:rPr>
          <w:rFonts w:hint="eastAsia" w:ascii="宋体" w:hAnsi="宋体" w:eastAsia="宋体" w:cs="宋体"/>
          <w:bCs/>
          <w:color w:val="auto"/>
          <w:sz w:val="21"/>
          <w:szCs w:val="21"/>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ascii="宋体" w:hAnsi="宋体" w:eastAsia="宋体" w:cs="宋体"/>
          <w:bCs/>
          <w:strike w:val="0"/>
          <w:color w:val="auto"/>
          <w:sz w:val="21"/>
          <w:szCs w:val="21"/>
          <w:highlight w:val="none"/>
        </w:rPr>
        <w:t>单价合同</w:t>
      </w:r>
      <w:r>
        <w:rPr>
          <w:rFonts w:hint="eastAsia" w:ascii="宋体" w:hAnsi="宋体" w:eastAsia="宋体" w:cs="宋体"/>
          <w:bCs/>
          <w:color w:val="auto"/>
          <w:sz w:val="21"/>
          <w:szCs w:val="21"/>
          <w:highlight w:val="none"/>
        </w:rPr>
        <w:t>工程量清单缺陷价格调整和工程变更计价规定的工程数量变化带来的承包风险的影响；</w:t>
      </w:r>
    </w:p>
    <w:p w14:paraId="4FE50FF9">
      <w:pPr>
        <w:pageBreakBefore w:val="0"/>
        <w:kinsoku/>
        <w:wordWrap/>
        <w:overflowPunct/>
        <w:topLinePunct w:val="0"/>
        <w:autoSpaceDE/>
        <w:autoSpaceDN/>
        <w:bidi w:val="0"/>
        <w:adjustRightInd/>
        <w:snapToGrid/>
        <w:spacing w:line="360" w:lineRule="auto"/>
        <w:ind w:left="0" w:leftChars="0" w:firstLine="424" w:firstLineChars="202"/>
        <w:jc w:val="left"/>
        <w:textAlignment w:val="auto"/>
        <w:rPr>
          <w:rFonts w:hint="eastAsia" w:ascii="宋体" w:hAnsi="宋体" w:eastAsia="宋体" w:cs="宋体"/>
          <w:bCs/>
          <w:strike w:val="0"/>
          <w:color w:val="auto"/>
          <w:sz w:val="21"/>
          <w:szCs w:val="21"/>
          <w:highlight w:val="none"/>
          <w:lang w:val="en-US" w:eastAsia="zh-CN"/>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ascii="宋体" w:hAnsi="宋体" w:eastAsia="宋体" w:cs="宋体"/>
          <w:bCs/>
          <w:strike w:val="0"/>
          <w:color w:val="auto"/>
          <w:sz w:val="21"/>
          <w:szCs w:val="21"/>
          <w:highlight w:val="none"/>
        </w:rPr>
        <w:t>总价合同工程量清单缺陷责任及价格包干规定，以及工程变更计价规则带来的承包风险的影响；</w:t>
      </w:r>
    </w:p>
    <w:p w14:paraId="2C329B31">
      <w:pPr>
        <w:pageBreakBefore w:val="0"/>
        <w:kinsoku/>
        <w:wordWrap/>
        <w:overflowPunct/>
        <w:topLinePunct w:val="0"/>
        <w:autoSpaceDE/>
        <w:autoSpaceDN/>
        <w:bidi w:val="0"/>
        <w:adjustRightInd/>
        <w:snapToGrid/>
        <w:spacing w:line="360" w:lineRule="auto"/>
        <w:ind w:left="0" w:leftChars="0" w:firstLine="424" w:firstLineChars="202"/>
        <w:jc w:val="left"/>
        <w:textAlignment w:val="auto"/>
        <w:rPr>
          <w:rFonts w:hint="eastAsia" w:ascii="宋体" w:hAnsi="宋体" w:eastAsia="宋体" w:cs="宋体"/>
          <w:bCs/>
          <w:color w:val="auto"/>
          <w:sz w:val="21"/>
          <w:szCs w:val="21"/>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ascii="宋体" w:hAnsi="宋体" w:eastAsia="宋体" w:cs="宋体"/>
          <w:bCs/>
          <w:strike w:val="0"/>
          <w:color w:val="auto"/>
          <w:sz w:val="21"/>
          <w:szCs w:val="21"/>
          <w:highlight w:val="none"/>
        </w:rPr>
        <w:t>除</w:t>
      </w:r>
      <w:r>
        <w:rPr>
          <w:rFonts w:hint="eastAsia" w:ascii="宋体" w:hAnsi="宋体" w:eastAsia="宋体" w:cs="宋体"/>
          <w:bCs/>
          <w:strike w:val="0"/>
          <w:color w:val="auto"/>
          <w:sz w:val="21"/>
          <w:szCs w:val="21"/>
          <w:highlight w:val="none"/>
          <w:lang w:val="en-US" w:eastAsia="zh-CN"/>
        </w:rPr>
        <w:t>招标文件中</w:t>
      </w:r>
      <w:r>
        <w:rPr>
          <w:rFonts w:hint="eastAsia" w:ascii="宋体" w:hAnsi="宋体" w:eastAsia="宋体" w:cs="宋体"/>
          <w:bCs/>
          <w:strike w:val="0"/>
          <w:color w:val="auto"/>
          <w:sz w:val="21"/>
          <w:szCs w:val="21"/>
          <w:highlight w:val="none"/>
        </w:rPr>
        <w:t>合同价款调整外，总价合同及单价合同中</w:t>
      </w:r>
      <w:r>
        <w:rPr>
          <w:rFonts w:hint="eastAsia" w:ascii="宋体" w:hAnsi="宋体" w:eastAsia="宋体" w:cs="宋体"/>
          <w:bCs/>
          <w:color w:val="auto"/>
          <w:sz w:val="21"/>
          <w:szCs w:val="21"/>
          <w:highlight w:val="none"/>
        </w:rPr>
        <w:t>综合单价不作调整</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规定所引</w:t>
      </w:r>
      <w:r>
        <w:rPr>
          <w:rFonts w:hint="eastAsia" w:ascii="宋体" w:hAnsi="宋体" w:eastAsia="宋体" w:cs="宋体"/>
          <w:bCs/>
          <w:color w:val="auto"/>
          <w:sz w:val="21"/>
          <w:szCs w:val="21"/>
          <w:highlight w:val="none"/>
          <w:lang w:val="en-US" w:eastAsia="zh-CN"/>
        </w:rPr>
        <w:t>起</w:t>
      </w:r>
      <w:r>
        <w:rPr>
          <w:rFonts w:hint="eastAsia" w:ascii="宋体" w:hAnsi="宋体" w:eastAsia="宋体" w:cs="宋体"/>
          <w:bCs/>
          <w:color w:val="auto"/>
          <w:sz w:val="21"/>
          <w:szCs w:val="21"/>
          <w:highlight w:val="none"/>
        </w:rPr>
        <w:t>的承包风险</w:t>
      </w:r>
      <w:r>
        <w:rPr>
          <w:rFonts w:hint="eastAsia" w:ascii="宋体" w:hAnsi="宋体" w:eastAsia="宋体" w:cs="宋体"/>
          <w:bCs/>
          <w:strike w:val="0"/>
          <w:color w:val="auto"/>
          <w:sz w:val="21"/>
          <w:szCs w:val="21"/>
          <w:highlight w:val="none"/>
        </w:rPr>
        <w:t>的影响</w:t>
      </w:r>
      <w:r>
        <w:rPr>
          <w:rFonts w:hint="eastAsia" w:ascii="宋体" w:hAnsi="宋体" w:eastAsia="宋体" w:cs="宋体"/>
          <w:bCs/>
          <w:strike w:val="0"/>
          <w:color w:val="auto"/>
          <w:sz w:val="21"/>
          <w:szCs w:val="21"/>
          <w:highlight w:val="none"/>
          <w:lang w:eastAsia="zh-CN"/>
        </w:rPr>
        <w:t>；</w:t>
      </w:r>
    </w:p>
    <w:p w14:paraId="0BCE32EE">
      <w:pPr>
        <w:pageBreakBefore w:val="0"/>
        <w:widowControl/>
        <w:tabs>
          <w:tab w:val="left" w:pos="8647"/>
        </w:tabs>
        <w:kinsoku/>
        <w:wordWrap/>
        <w:overflowPunct/>
        <w:topLinePunct w:val="0"/>
        <w:autoSpaceDE/>
        <w:autoSpaceDN/>
        <w:bidi w:val="0"/>
        <w:adjustRightInd/>
        <w:snapToGrid/>
        <w:spacing w:line="360" w:lineRule="auto"/>
        <w:ind w:left="0" w:leftChars="0" w:firstLine="424" w:firstLineChars="202"/>
        <w:jc w:val="left"/>
        <w:textAlignment w:val="auto"/>
        <w:rPr>
          <w:rFonts w:hint="eastAsia" w:ascii="宋体" w:hAnsi="宋体" w:cs="宋体"/>
          <w:b w:val="0"/>
          <w:bCs/>
          <w:color w:val="auto"/>
          <w:sz w:val="21"/>
          <w:szCs w:val="21"/>
          <w:highlight w:val="none"/>
          <w:lang w:val="en-US" w:eastAsia="zh-CN"/>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ascii="Times New Roman" w:hAnsi="Times New Roman" w:cs="Times New Roman"/>
          <w:color w:val="auto"/>
          <w:szCs w:val="21"/>
          <w:highlight w:val="none"/>
          <w:lang w:val="en-US" w:eastAsia="zh-CN"/>
        </w:rPr>
        <w:t>投标人可根据实际情况对</w:t>
      </w:r>
      <w:r>
        <w:rPr>
          <w:rFonts w:hint="eastAsia" w:ascii="宋体" w:hAnsi="宋体" w:eastAsia="宋体" w:cs="宋体"/>
          <w:b w:val="0"/>
          <w:bCs/>
          <w:color w:val="auto"/>
          <w:sz w:val="21"/>
          <w:szCs w:val="21"/>
          <w:highlight w:val="none"/>
          <w:lang w:val="en-US" w:eastAsia="zh-CN"/>
        </w:rPr>
        <w:t>招标人提供的</w:t>
      </w:r>
      <w:r>
        <w:rPr>
          <w:rFonts w:hint="eastAsia" w:ascii="宋体" w:hAnsi="宋体" w:cs="宋体"/>
          <w:b w:val="0"/>
          <w:bCs/>
          <w:color w:val="auto"/>
          <w:sz w:val="21"/>
          <w:szCs w:val="21"/>
          <w:highlight w:val="none"/>
          <w:lang w:val="en-US" w:eastAsia="zh-CN"/>
        </w:rPr>
        <w:t>分部分项工程预算清单项目中的主要材料消耗量进行调整。</w:t>
      </w:r>
    </w:p>
    <w:p w14:paraId="13A7094E">
      <w:pPr>
        <w:pageBreakBefore w:val="0"/>
        <w:widowControl/>
        <w:tabs>
          <w:tab w:val="left" w:pos="8647"/>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14</w:t>
      </w:r>
      <w:r>
        <w:rPr>
          <w:rFonts w:hint="eastAsia" w:ascii="宋体" w:hAnsi="宋体" w:eastAsia="宋体" w:cs="宋体"/>
          <w:bCs/>
          <w:color w:val="auto"/>
          <w:sz w:val="21"/>
          <w:szCs w:val="21"/>
          <w:highlight w:val="none"/>
        </w:rPr>
        <w:t xml:space="preserve">  </w:t>
      </w:r>
      <w:r>
        <w:rPr>
          <w:rFonts w:hint="eastAsia" w:ascii="宋体" w:hAnsi="宋体" w:eastAsia="宋体" w:cs="宋体"/>
          <w:b w:val="0"/>
          <w:bCs w:val="0"/>
          <w:color w:val="auto"/>
          <w:sz w:val="21"/>
          <w:szCs w:val="21"/>
          <w:highlight w:val="none"/>
        </w:rPr>
        <w:t>对分部分项工程项目清单中按项计价的项目，投标人应按其项目特征的工作内容、自身的实施方案、市场合理价格，以及履行招标图纸和技术标准规范要求、工程变更价格调整引起的承包风险，对按项计价项目进行投标报价。除合同另有约定外，按项计价项目报价为包干价，工程结算时不应做调整。</w:t>
      </w:r>
    </w:p>
    <w:p w14:paraId="6C1CC00F">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Cs/>
          <w:color w:val="auto"/>
          <w:sz w:val="21"/>
          <w:szCs w:val="21"/>
          <w:highlight w:val="none"/>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15</w:t>
      </w:r>
      <w:r>
        <w:rPr>
          <w:rFonts w:hint="eastAsia" w:ascii="宋体" w:hAnsi="宋体" w:eastAsia="宋体" w:cs="宋体"/>
          <w:b/>
          <w:bCs/>
          <w:color w:val="auto"/>
          <w:sz w:val="21"/>
          <w:szCs w:val="21"/>
          <w:highlight w:val="none"/>
        </w:rPr>
        <w:t xml:space="preserve">  </w:t>
      </w:r>
      <w:r>
        <w:rPr>
          <w:rFonts w:hint="eastAsia" w:ascii="宋体" w:hAnsi="宋体" w:eastAsia="宋体" w:cs="宋体"/>
          <w:b w:val="0"/>
          <w:bCs w:val="0"/>
          <w:color w:val="auto"/>
          <w:sz w:val="21"/>
          <w:szCs w:val="21"/>
          <w:highlight w:val="none"/>
        </w:rPr>
        <w:t>对分部分项工程项目清单中发包人提供材料的清单项目，投标人应按招标文件说明的发包人提供材料的规格型号，对发包人提供材料的清单项目进行安装报价</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并应满足工程数量对人工价格变化、招标文件规定的有效损耗率、自身原因超耗使用材料产生的承包风险等要求。投标报价的综合单价及总价不应包含发包人提供材料的供货人将相关的材料运抵交货地点、完成卸货的费用。</w:t>
      </w:r>
    </w:p>
    <w:p w14:paraId="4A266EBA">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val="0"/>
          <w:color w:val="auto"/>
          <w:sz w:val="21"/>
          <w:szCs w:val="21"/>
          <w:highlight w:val="none"/>
        </w:rPr>
      </w:pPr>
      <w:r>
        <w:rPr>
          <w:rFonts w:hint="eastAsia" w:ascii="Times New Roman" w:hAnsi="Times New Roman" w:eastAsia="宋体" w:cs="宋体"/>
          <w:color w:val="auto"/>
          <w:highlight w:val="none"/>
          <w:lang w:val="en-US" w:eastAsia="zh-CN"/>
        </w:rPr>
        <w:t>1.16</w:t>
      </w:r>
      <w:r>
        <w:rPr>
          <w:rFonts w:hint="eastAsia" w:ascii="宋体" w:hAnsi="宋体" w:eastAsia="宋体" w:cs="宋体"/>
          <w:b/>
          <w:bCs/>
          <w:color w:val="auto"/>
          <w:sz w:val="21"/>
          <w:szCs w:val="21"/>
          <w:highlight w:val="none"/>
        </w:rPr>
        <w:t xml:space="preserve">  </w:t>
      </w:r>
      <w:r>
        <w:rPr>
          <w:rFonts w:hint="eastAsia" w:ascii="宋体" w:hAnsi="宋体" w:eastAsia="宋体" w:cs="宋体"/>
          <w:b w:val="0"/>
          <w:bCs w:val="0"/>
          <w:color w:val="auto"/>
          <w:sz w:val="21"/>
          <w:szCs w:val="21"/>
          <w:highlight w:val="none"/>
        </w:rPr>
        <w:t>对分部分项工程项目清单中载明材料暂估价的清单项目，应按</w:t>
      </w:r>
      <w:r>
        <w:rPr>
          <w:rFonts w:hint="default" w:ascii="宋体" w:hAnsi="宋体" w:eastAsia="宋体" w:cs="宋体"/>
          <w:b w:val="0"/>
          <w:bCs w:val="0"/>
          <w:color w:val="auto"/>
          <w:sz w:val="21"/>
          <w:szCs w:val="21"/>
          <w:highlight w:val="none"/>
          <w:lang w:val="en-US"/>
        </w:rPr>
        <w:t>招标人提供的</w:t>
      </w:r>
      <w:r>
        <w:rPr>
          <w:rFonts w:hint="eastAsia" w:ascii="宋体" w:hAnsi="宋体" w:eastAsia="宋体" w:cs="宋体"/>
          <w:b w:val="0"/>
          <w:bCs w:val="0"/>
          <w:color w:val="auto"/>
          <w:sz w:val="21"/>
          <w:szCs w:val="21"/>
          <w:highlight w:val="none"/>
        </w:rPr>
        <w:t>工程量清单</w:t>
      </w:r>
      <w:r>
        <w:rPr>
          <w:rFonts w:hint="default" w:ascii="宋体" w:hAnsi="宋体" w:eastAsia="宋体" w:cs="宋体"/>
          <w:b w:val="0"/>
          <w:bCs w:val="0"/>
          <w:color w:val="auto"/>
          <w:sz w:val="21"/>
          <w:szCs w:val="21"/>
          <w:highlight w:val="none"/>
          <w:lang w:val="en-US"/>
        </w:rPr>
        <w:t>中的《</w:t>
      </w:r>
      <w:r>
        <w:rPr>
          <w:rFonts w:hint="default" w:ascii="宋体" w:hAnsi="宋体" w:cs="宋体"/>
          <w:b w:val="0"/>
          <w:bCs w:val="0"/>
          <w:color w:val="auto"/>
          <w:sz w:val="21"/>
          <w:szCs w:val="21"/>
          <w:highlight w:val="none"/>
          <w:lang w:val="en"/>
        </w:rPr>
        <w:t>材料暂估价</w:t>
      </w:r>
      <w:r>
        <w:rPr>
          <w:rFonts w:hint="eastAsia" w:ascii="宋体" w:hAnsi="宋体" w:cs="宋体"/>
          <w:b w:val="0"/>
          <w:bCs w:val="0"/>
          <w:color w:val="auto"/>
          <w:sz w:val="21"/>
          <w:szCs w:val="21"/>
          <w:highlight w:val="none"/>
          <w:lang w:val="en-US" w:eastAsia="zh-CN"/>
        </w:rPr>
        <w:t>明细</w:t>
      </w:r>
      <w:r>
        <w:rPr>
          <w:rFonts w:hint="default" w:ascii="宋体" w:hAnsi="宋体" w:eastAsia="宋体" w:cs="宋体"/>
          <w:b w:val="0"/>
          <w:bCs w:val="0"/>
          <w:color w:val="auto"/>
          <w:sz w:val="21"/>
          <w:szCs w:val="21"/>
          <w:highlight w:val="none"/>
          <w:lang w:val="en-US"/>
        </w:rPr>
        <w:t>表》</w:t>
      </w:r>
      <w:r>
        <w:rPr>
          <w:rFonts w:hint="eastAsia" w:ascii="宋体" w:hAnsi="宋体" w:eastAsia="宋体" w:cs="宋体"/>
          <w:b w:val="0"/>
          <w:bCs w:val="0"/>
          <w:color w:val="auto"/>
          <w:sz w:val="21"/>
          <w:szCs w:val="21"/>
          <w:highlight w:val="none"/>
        </w:rPr>
        <w:t>载明的</w:t>
      </w:r>
      <w:r>
        <w:rPr>
          <w:rFonts w:hint="eastAsia" w:ascii="宋体" w:hAnsi="宋体" w:eastAsia="宋体" w:cs="宋体"/>
          <w:b w:val="0"/>
          <w:bCs w:val="0"/>
          <w:color w:val="auto"/>
          <w:sz w:val="21"/>
          <w:szCs w:val="21"/>
          <w:highlight w:val="none"/>
          <w:lang w:eastAsia="zh-CN"/>
        </w:rPr>
        <w:t>材料</w:t>
      </w:r>
      <w:r>
        <w:rPr>
          <w:rFonts w:hint="eastAsia" w:ascii="宋体" w:hAnsi="宋体" w:eastAsia="宋体" w:cs="宋体"/>
          <w:b w:val="0"/>
          <w:bCs w:val="0"/>
          <w:color w:val="auto"/>
          <w:sz w:val="21"/>
          <w:szCs w:val="21"/>
          <w:highlight w:val="none"/>
        </w:rPr>
        <w:t>暂估</w:t>
      </w:r>
      <w:r>
        <w:rPr>
          <w:rFonts w:hint="eastAsia" w:ascii="宋体" w:hAnsi="宋体" w:eastAsia="宋体" w:cs="宋体"/>
          <w:b w:val="0"/>
          <w:bCs w:val="0"/>
          <w:color w:val="auto"/>
          <w:sz w:val="21"/>
          <w:szCs w:val="21"/>
          <w:highlight w:val="none"/>
          <w:lang w:eastAsia="zh-CN"/>
        </w:rPr>
        <w:t>单</w:t>
      </w:r>
      <w:r>
        <w:rPr>
          <w:rFonts w:hint="eastAsia" w:ascii="宋体" w:hAnsi="宋体" w:eastAsia="宋体" w:cs="宋体"/>
          <w:b w:val="0"/>
          <w:bCs w:val="0"/>
          <w:color w:val="auto"/>
          <w:sz w:val="21"/>
          <w:szCs w:val="21"/>
          <w:highlight w:val="none"/>
        </w:rPr>
        <w:t>价计入</w:t>
      </w:r>
      <w:r>
        <w:rPr>
          <w:rFonts w:hint="eastAsia" w:ascii="宋体" w:hAnsi="宋体" w:eastAsia="宋体" w:cs="宋体"/>
          <w:b w:val="0"/>
          <w:bCs w:val="0"/>
          <w:color w:val="auto"/>
          <w:sz w:val="21"/>
          <w:szCs w:val="21"/>
          <w:highlight w:val="none"/>
          <w:lang w:val="en-US" w:eastAsia="zh-CN"/>
        </w:rPr>
        <w:t>其他项目清单</w:t>
      </w:r>
      <w:r>
        <w:rPr>
          <w:rFonts w:hint="default" w:ascii="宋体" w:hAnsi="宋体" w:eastAsia="宋体" w:cs="宋体"/>
          <w:b w:val="0"/>
          <w:bCs w:val="0"/>
          <w:color w:val="auto"/>
          <w:sz w:val="21"/>
          <w:szCs w:val="21"/>
          <w:highlight w:val="none"/>
          <w:lang w:val="en-US"/>
        </w:rPr>
        <w:t>费用</w:t>
      </w:r>
      <w:r>
        <w:rPr>
          <w:rFonts w:hint="default" w:ascii="宋体" w:hAnsi="宋体" w:cs="宋体"/>
          <w:b w:val="0"/>
          <w:bCs w:val="0"/>
          <w:color w:val="auto"/>
          <w:sz w:val="21"/>
          <w:szCs w:val="21"/>
          <w:highlight w:val="none"/>
          <w:lang w:val="en-US"/>
        </w:rPr>
        <w:t>，</w:t>
      </w:r>
      <w:r>
        <w:rPr>
          <w:rFonts w:hint="eastAsia" w:ascii="宋体" w:hAnsi="宋体" w:eastAsia="宋体" w:cs="宋体"/>
          <w:b w:val="0"/>
          <w:bCs w:val="0"/>
          <w:color w:val="auto"/>
          <w:sz w:val="21"/>
          <w:szCs w:val="21"/>
          <w:highlight w:val="none"/>
          <w:lang w:eastAsia="zh-CN"/>
        </w:rPr>
        <w:t>不计入</w:t>
      </w:r>
      <w:r>
        <w:rPr>
          <w:rFonts w:hint="default" w:ascii="宋体" w:hAnsi="宋体" w:eastAsia="宋体" w:cs="宋体"/>
          <w:b w:val="0"/>
          <w:bCs w:val="0"/>
          <w:color w:val="auto"/>
          <w:sz w:val="21"/>
          <w:szCs w:val="21"/>
          <w:highlight w:val="none"/>
          <w:lang w:val="en-US" w:eastAsia="zh-CN"/>
        </w:rPr>
        <w:t>清单项目</w:t>
      </w:r>
      <w:r>
        <w:rPr>
          <w:rFonts w:hint="eastAsia" w:ascii="宋体" w:hAnsi="宋体" w:eastAsia="宋体" w:cs="宋体"/>
          <w:b w:val="0"/>
          <w:bCs w:val="0"/>
          <w:color w:val="auto"/>
          <w:sz w:val="21"/>
          <w:szCs w:val="21"/>
          <w:highlight w:val="none"/>
          <w:lang w:eastAsia="zh-CN"/>
        </w:rPr>
        <w:t>综合单价中，</w:t>
      </w:r>
      <w:r>
        <w:rPr>
          <w:rFonts w:hint="default" w:ascii="宋体" w:hAnsi="宋体" w:eastAsia="宋体" w:cs="宋体"/>
          <w:b w:val="0"/>
          <w:bCs w:val="0"/>
          <w:color w:val="auto"/>
          <w:sz w:val="21"/>
          <w:szCs w:val="21"/>
          <w:highlight w:val="none"/>
          <w:lang w:val="en-US" w:eastAsia="zh-CN"/>
        </w:rPr>
        <w:t>清单项目</w:t>
      </w:r>
      <w:r>
        <w:rPr>
          <w:rFonts w:hint="default" w:ascii="宋体" w:hAnsi="宋体" w:eastAsia="宋体" w:cs="宋体"/>
          <w:b w:val="0"/>
          <w:bCs w:val="0"/>
          <w:color w:val="auto"/>
          <w:sz w:val="21"/>
          <w:szCs w:val="21"/>
          <w:highlight w:val="none"/>
          <w:lang w:val="en-US"/>
        </w:rPr>
        <w:t>仅包含</w:t>
      </w:r>
      <w:r>
        <w:rPr>
          <w:rFonts w:hint="eastAsia" w:ascii="宋体" w:hAnsi="宋体" w:eastAsia="宋体" w:cs="宋体"/>
          <w:b w:val="0"/>
          <w:bCs w:val="0"/>
          <w:color w:val="auto"/>
          <w:sz w:val="21"/>
          <w:szCs w:val="21"/>
          <w:highlight w:val="none"/>
          <w:lang w:val="en-US" w:eastAsia="zh-CN"/>
        </w:rPr>
        <w:t>安装费用</w:t>
      </w:r>
      <w:r>
        <w:rPr>
          <w:rFonts w:hint="eastAsia" w:ascii="宋体" w:hAnsi="宋体" w:eastAsia="宋体" w:cs="宋体"/>
          <w:b w:val="0"/>
          <w:bCs w:val="0"/>
          <w:color w:val="auto"/>
          <w:sz w:val="21"/>
          <w:szCs w:val="21"/>
          <w:highlight w:val="none"/>
        </w:rPr>
        <w:t>。</w:t>
      </w:r>
    </w:p>
    <w:p w14:paraId="17DA4E1E">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bCs/>
          <w:color w:val="auto"/>
          <w:sz w:val="21"/>
          <w:szCs w:val="21"/>
          <w:highlight w:val="none"/>
          <w:lang w:val="zh-TW" w:eastAsia="zh-CN"/>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.17</w:t>
      </w:r>
      <w:r>
        <w:rPr>
          <w:rFonts w:hint="eastAsia" w:ascii="宋体" w:hAnsi="宋体" w:eastAsia="宋体" w:cs="宋体"/>
          <w:b/>
          <w:bCs/>
          <w:color w:val="auto"/>
          <w:sz w:val="21"/>
          <w:szCs w:val="21"/>
          <w:highlight w:val="none"/>
        </w:rPr>
        <w:t xml:space="preserve">  </w:t>
      </w:r>
      <w:r>
        <w:rPr>
          <w:rFonts w:hint="eastAsia" w:ascii="宋体" w:hAnsi="宋体" w:eastAsia="宋体" w:cs="宋体"/>
          <w:b w:val="0"/>
          <w:bCs w:val="0"/>
          <w:color w:val="auto"/>
          <w:sz w:val="21"/>
          <w:szCs w:val="21"/>
          <w:highlight w:val="none"/>
        </w:rPr>
        <w:t>投标人应按自身的工程实施方案及投标工期、</w:t>
      </w:r>
      <w:r>
        <w:rPr>
          <w:rFonts w:hint="eastAsia" w:ascii="宋体" w:hAnsi="宋体" w:eastAsia="宋体" w:cs="宋体"/>
          <w:b w:val="0"/>
          <w:bCs w:val="0"/>
          <w:color w:val="auto"/>
          <w:sz w:val="21"/>
          <w:szCs w:val="21"/>
          <w:highlight w:val="none"/>
          <w:u w:val="none"/>
        </w:rPr>
        <w:t>拟定的措施项目</w:t>
      </w:r>
      <w:r>
        <w:rPr>
          <w:rFonts w:hint="eastAsia" w:ascii="宋体" w:hAnsi="宋体" w:eastAsia="宋体" w:cs="宋体"/>
          <w:b w:val="0"/>
          <w:bCs w:val="0"/>
          <w:color w:val="auto"/>
          <w:sz w:val="21"/>
          <w:szCs w:val="21"/>
          <w:highlight w:val="none"/>
        </w:rPr>
        <w:t>，对措施项目清单进行自主报价。措施项目清单的报价应满足下列因素对价格影响的要求：</w:t>
      </w:r>
    </w:p>
    <w:p w14:paraId="30EBB469">
      <w:pPr>
        <w:pStyle w:val="17"/>
        <w:keepNext w:val="0"/>
        <w:pageBreakBefore w:val="0"/>
        <w:kinsoku/>
        <w:wordWrap/>
        <w:overflowPunct/>
        <w:topLinePunct w:val="0"/>
        <w:autoSpaceDN/>
        <w:bidi w:val="0"/>
        <w:adjustRightInd/>
        <w:snapToGrid/>
        <w:spacing w:before="0" w:line="360" w:lineRule="auto"/>
        <w:ind w:left="0" w:righ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kern w:val="2"/>
          <w:sz w:val="21"/>
          <w:szCs w:val="21"/>
          <w:highlight w:val="none"/>
          <w:lang w:val="en-US" w:eastAsia="zh-CN" w:bidi="ar-SA"/>
        </w:rPr>
        <w:t>招标工程的特点及其标段划分和完工交付标准；</w:t>
      </w:r>
    </w:p>
    <w:p w14:paraId="28A652AE">
      <w:pPr>
        <w:pStyle w:val="17"/>
        <w:keepNext w:val="0"/>
        <w:pageBreakBefore w:val="0"/>
        <w:kinsoku/>
        <w:wordWrap/>
        <w:overflowPunct/>
        <w:topLinePunct w:val="0"/>
        <w:autoSpaceDN/>
        <w:bidi w:val="0"/>
        <w:adjustRightInd/>
        <w:snapToGrid/>
        <w:spacing w:before="0" w:line="360" w:lineRule="auto"/>
        <w:ind w:left="0" w:righ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kern w:val="2"/>
          <w:sz w:val="21"/>
          <w:szCs w:val="21"/>
          <w:highlight w:val="none"/>
          <w:lang w:val="en-US" w:eastAsia="zh-CN" w:bidi="ar-SA"/>
        </w:rPr>
        <w:t>工程地质条件、邻近建筑物、现场设施情况、周边道路、交通、水文、环境；</w:t>
      </w:r>
    </w:p>
    <w:p w14:paraId="4AAD9645">
      <w:pPr>
        <w:pStyle w:val="17"/>
        <w:keepNext w:val="0"/>
        <w:pageBreakBefore w:val="0"/>
        <w:kinsoku/>
        <w:wordWrap/>
        <w:overflowPunct/>
        <w:topLinePunct w:val="0"/>
        <w:autoSpaceDN/>
        <w:bidi w:val="0"/>
        <w:adjustRightInd/>
        <w:snapToGrid/>
        <w:spacing w:before="0" w:line="360" w:lineRule="auto"/>
        <w:ind w:left="0" w:righ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kern w:val="2"/>
          <w:sz w:val="21"/>
          <w:szCs w:val="21"/>
          <w:highlight w:val="none"/>
          <w:lang w:val="en-US" w:eastAsia="zh-CN" w:bidi="ar-SA"/>
        </w:rPr>
        <w:t>招标文件说明的相关合同责任；</w:t>
      </w:r>
    </w:p>
    <w:p w14:paraId="0D6B736C">
      <w:pPr>
        <w:pStyle w:val="17"/>
        <w:keepNext w:val="0"/>
        <w:pageBreakBefore w:val="0"/>
        <w:kinsoku/>
        <w:wordWrap/>
        <w:overflowPunct/>
        <w:topLinePunct w:val="0"/>
        <w:autoSpaceDN/>
        <w:bidi w:val="0"/>
        <w:adjustRightInd/>
        <w:snapToGrid/>
        <w:spacing w:before="0" w:line="360" w:lineRule="auto"/>
        <w:ind w:left="0" w:right="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kern w:val="2"/>
          <w:sz w:val="21"/>
          <w:szCs w:val="21"/>
          <w:highlight w:val="none"/>
          <w:lang w:val="en-US" w:eastAsia="zh-CN" w:bidi="ar-SA"/>
        </w:rPr>
        <w:t>招标文件规定的承包风险；</w:t>
      </w:r>
    </w:p>
    <w:p w14:paraId="67374782">
      <w:pPr>
        <w:keepNext w:val="0"/>
        <w:keepLines w:val="0"/>
        <w:pageBreakBefore w:val="0"/>
        <w:widowControl w:val="0"/>
        <w:kinsoku/>
        <w:wordWrap/>
        <w:overflowPunct/>
        <w:topLinePunct w:val="0"/>
        <w:autoSpaceDE w:val="0"/>
        <w:autoSpaceDN/>
        <w:bidi w:val="0"/>
        <w:adjustRightInd/>
        <w:snapToGrid/>
        <w:spacing w:line="360" w:lineRule="auto"/>
        <w:ind w:left="0" w:righ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strike w:val="0"/>
          <w:color w:val="auto"/>
          <w:sz w:val="21"/>
          <w:szCs w:val="21"/>
          <w:highlight w:val="none"/>
        </w:rPr>
        <w:t>除</w:t>
      </w:r>
      <w:r>
        <w:rPr>
          <w:rFonts w:hint="eastAsia" w:ascii="宋体" w:hAnsi="宋体" w:eastAsia="宋体" w:cs="宋体"/>
          <w:color w:val="auto"/>
          <w:sz w:val="21"/>
          <w:szCs w:val="21"/>
          <w:highlight w:val="none"/>
        </w:rPr>
        <w:t>工程变</w:t>
      </w:r>
      <w:r>
        <w:rPr>
          <w:rFonts w:hint="eastAsia" w:ascii="宋体" w:hAnsi="宋体" w:eastAsia="宋体" w:cs="宋体"/>
          <w:b w:val="0"/>
          <w:bCs w:val="0"/>
          <w:color w:val="auto"/>
          <w:kern w:val="2"/>
          <w:sz w:val="21"/>
          <w:szCs w:val="21"/>
          <w:highlight w:val="none"/>
          <w:lang w:val="en-US" w:eastAsia="zh-CN" w:bidi="ar-SA"/>
        </w:rPr>
        <w:t>更、新增工程、工程索赔等引起的措施项目费用调整外，执行措施项目费用包干引起的承包风险</w:t>
      </w:r>
      <w:r>
        <w:rPr>
          <w:rFonts w:hint="eastAsia" w:ascii="宋体" w:hAnsi="宋体" w:eastAsia="宋体" w:cs="宋体"/>
          <w:color w:val="auto"/>
          <w:sz w:val="21"/>
          <w:szCs w:val="21"/>
          <w:highlight w:val="none"/>
        </w:rPr>
        <w:t>。</w:t>
      </w:r>
    </w:p>
    <w:p w14:paraId="0FA9DC52">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.18</w:t>
      </w:r>
      <w:r>
        <w:rPr>
          <w:rFonts w:hint="eastAsia" w:ascii="宋体" w:hAnsi="宋体" w:eastAsia="宋体" w:cs="宋体"/>
          <w:b/>
          <w:bCs/>
          <w:color w:val="auto"/>
          <w:sz w:val="21"/>
          <w:szCs w:val="21"/>
          <w:highlight w:val="none"/>
        </w:rPr>
        <w:t xml:space="preserve">  </w:t>
      </w:r>
      <w:r>
        <w:rPr>
          <w:rFonts w:hint="eastAsia" w:ascii="宋体" w:hAnsi="宋体" w:eastAsia="宋体" w:cs="宋体"/>
          <w:bCs/>
          <w:color w:val="auto"/>
          <w:sz w:val="21"/>
          <w:szCs w:val="21"/>
          <w:highlight w:val="none"/>
        </w:rPr>
        <w:t>投标人应按招标工程量清单</w:t>
      </w:r>
      <w:r>
        <w:rPr>
          <w:rFonts w:hint="eastAsia" w:ascii="宋体" w:hAnsi="宋体" w:eastAsia="宋体" w:cs="宋体"/>
          <w:color w:val="auto"/>
          <w:sz w:val="21"/>
          <w:szCs w:val="21"/>
          <w:highlight w:val="none"/>
        </w:rPr>
        <w:t>中提供的暂列金额、</w:t>
      </w:r>
      <w:r>
        <w:rPr>
          <w:rFonts w:hint="eastAsia" w:ascii="宋体" w:hAnsi="宋体" w:cs="宋体"/>
          <w:color w:val="auto"/>
          <w:sz w:val="21"/>
          <w:szCs w:val="21"/>
          <w:highlight w:val="none"/>
          <w:lang w:eastAsia="zh-CN"/>
        </w:rPr>
        <w:t>材料暂估价、</w:t>
      </w:r>
      <w:r>
        <w:rPr>
          <w:rFonts w:hint="eastAsia" w:ascii="宋体" w:hAnsi="宋体" w:eastAsia="宋体" w:cs="宋体"/>
          <w:color w:val="auto"/>
          <w:sz w:val="21"/>
          <w:szCs w:val="21"/>
          <w:highlight w:val="none"/>
        </w:rPr>
        <w:t>专业工程暂估价，准确填报在</w:t>
      </w:r>
      <w:r>
        <w:rPr>
          <w:rFonts w:hint="default" w:ascii="宋体" w:hAnsi="宋体" w:eastAsia="宋体" w:cs="宋体"/>
          <w:color w:val="auto"/>
          <w:sz w:val="21"/>
          <w:szCs w:val="21"/>
          <w:highlight w:val="none"/>
          <w:lang w:val="en-US"/>
        </w:rPr>
        <w:t>其他项目清单</w:t>
      </w:r>
      <w:r>
        <w:rPr>
          <w:rFonts w:hint="eastAsia" w:ascii="宋体" w:hAnsi="宋体" w:eastAsia="宋体" w:cs="宋体"/>
          <w:color w:val="auto"/>
          <w:sz w:val="21"/>
          <w:szCs w:val="21"/>
          <w:highlight w:val="none"/>
        </w:rPr>
        <w:t>内。</w:t>
      </w:r>
    </w:p>
    <w:p w14:paraId="5BD74528">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color w:val="auto"/>
          <w:sz w:val="21"/>
          <w:szCs w:val="21"/>
          <w:highlight w:val="none"/>
          <w:lang w:val="zh-TW"/>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.19</w:t>
      </w:r>
      <w:r>
        <w:rPr>
          <w:rFonts w:hint="eastAsia" w:ascii="宋体" w:hAnsi="宋体" w:eastAsia="宋体" w:cs="宋体"/>
          <w:b/>
          <w:bCs/>
          <w:color w:val="auto"/>
          <w:sz w:val="21"/>
          <w:szCs w:val="21"/>
          <w:highlight w:val="none"/>
        </w:rPr>
        <w:t xml:space="preserve">  </w:t>
      </w:r>
      <w:r>
        <w:rPr>
          <w:rFonts w:hint="eastAsia" w:ascii="宋体" w:hAnsi="宋体" w:eastAsia="宋体" w:cs="宋体"/>
          <w:b w:val="0"/>
          <w:bCs w:val="0"/>
          <w:color w:val="auto"/>
          <w:sz w:val="21"/>
          <w:szCs w:val="21"/>
          <w:highlight w:val="none"/>
        </w:rPr>
        <w:t>投标人应按工程实施方案和对</w:t>
      </w:r>
      <w:r>
        <w:rPr>
          <w:rFonts w:hint="default" w:ascii="宋体" w:hAnsi="宋体" w:eastAsia="宋体" w:cs="宋体"/>
          <w:b w:val="0"/>
          <w:bCs w:val="0"/>
          <w:color w:val="auto"/>
          <w:sz w:val="21"/>
          <w:szCs w:val="21"/>
          <w:highlight w:val="none"/>
          <w:lang w:val="en-US"/>
        </w:rPr>
        <w:t>暂估</w:t>
      </w:r>
      <w:r>
        <w:rPr>
          <w:rFonts w:hint="eastAsia" w:ascii="宋体" w:hAnsi="宋体" w:eastAsia="宋体" w:cs="宋体"/>
          <w:b w:val="0"/>
          <w:bCs w:val="0"/>
          <w:color w:val="auto"/>
          <w:sz w:val="21"/>
          <w:szCs w:val="21"/>
          <w:highlight w:val="none"/>
        </w:rPr>
        <w:t>专业工程的工期安排，以及对发包人提供材料的供应履行管理及协调责任、对各</w:t>
      </w:r>
      <w:r>
        <w:rPr>
          <w:rFonts w:hint="default" w:ascii="宋体" w:hAnsi="宋体" w:eastAsia="宋体" w:cs="宋体"/>
          <w:b w:val="0"/>
          <w:bCs w:val="0"/>
          <w:color w:val="auto"/>
          <w:sz w:val="21"/>
          <w:szCs w:val="21"/>
          <w:highlight w:val="none"/>
          <w:lang w:val="en-US"/>
        </w:rPr>
        <w:t>暂估</w:t>
      </w:r>
      <w:r>
        <w:rPr>
          <w:rFonts w:hint="eastAsia" w:ascii="宋体" w:hAnsi="宋体" w:eastAsia="宋体" w:cs="宋体"/>
          <w:b w:val="0"/>
          <w:bCs w:val="0"/>
          <w:color w:val="auto"/>
          <w:sz w:val="21"/>
          <w:szCs w:val="21"/>
          <w:highlight w:val="none"/>
        </w:rPr>
        <w:t>专业工程履行协调及配合责任等招标文件规定的总承包服务内容及要求进行投标报价，并应满足总承包服务费计价风险的要求。</w:t>
      </w:r>
    </w:p>
    <w:p w14:paraId="1DADAB28">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Cs/>
          <w:color w:val="auto"/>
          <w:sz w:val="21"/>
          <w:szCs w:val="21"/>
          <w:highlight w:val="none"/>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.20</w:t>
      </w:r>
      <w:r>
        <w:rPr>
          <w:rFonts w:hint="eastAsia" w:ascii="宋体" w:hAnsi="宋体" w:eastAsia="宋体" w:cs="宋体"/>
          <w:bCs/>
          <w:color w:val="auto"/>
          <w:sz w:val="21"/>
          <w:szCs w:val="21"/>
          <w:highlight w:val="none"/>
        </w:rPr>
        <w:t xml:space="preserve">  </w:t>
      </w:r>
      <w:r>
        <w:rPr>
          <w:rFonts w:hint="eastAsia" w:ascii="宋体" w:hAnsi="宋体" w:eastAsia="宋体" w:cs="宋体"/>
          <w:b w:val="0"/>
          <w:bCs w:val="0"/>
          <w:color w:val="auto"/>
          <w:sz w:val="21"/>
          <w:szCs w:val="21"/>
          <w:highlight w:val="none"/>
        </w:rPr>
        <w:t>投标人应在投标文件递交时完整递交与已标价工程量清单中综合单价及合价一致的费用构成明细表，相关表格应符合《分部分项工程项目清单综合单价分析表</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技术措施</w:t>
      </w:r>
      <w:r>
        <w:rPr>
          <w:rFonts w:hint="eastAsia" w:ascii="宋体" w:hAnsi="宋体" w:eastAsia="宋体" w:cs="宋体"/>
          <w:b w:val="0"/>
          <w:bCs w:val="0"/>
          <w:color w:val="auto"/>
          <w:sz w:val="21"/>
          <w:szCs w:val="21"/>
          <w:highlight w:val="none"/>
        </w:rPr>
        <w:t>综合单价分析表》</w:t>
      </w:r>
      <w:r>
        <w:rPr>
          <w:rFonts w:hint="eastAsia" w:ascii="宋体" w:hAnsi="宋体" w:eastAsia="宋体" w:cs="宋体"/>
          <w:b w:val="0"/>
          <w:bCs w:val="0"/>
          <w:color w:val="auto"/>
          <w:sz w:val="21"/>
          <w:szCs w:val="21"/>
          <w:highlight w:val="none"/>
          <w:lang w:val="en-US" w:eastAsia="zh-CN"/>
        </w:rPr>
        <w:t>要求</w:t>
      </w:r>
      <w:r>
        <w:rPr>
          <w:rFonts w:hint="eastAsia" w:ascii="宋体" w:hAnsi="宋体" w:eastAsia="宋体" w:cs="宋体"/>
          <w:b w:val="0"/>
          <w:bCs w:val="0"/>
          <w:color w:val="auto"/>
          <w:sz w:val="21"/>
          <w:szCs w:val="21"/>
          <w:highlight w:val="none"/>
        </w:rPr>
        <w:t>。</w:t>
      </w:r>
    </w:p>
    <w:p w14:paraId="087C3007">
      <w:pPr>
        <w:pageBreakBefore w:val="0"/>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color w:val="auto"/>
          <w:sz w:val="21"/>
          <w:szCs w:val="21"/>
          <w:highlight w:val="none"/>
          <w:lang w:val="en-US" w:eastAsia="zh-CN"/>
        </w:rPr>
        <w:t>.21</w:t>
      </w:r>
      <w:r>
        <w:rPr>
          <w:rFonts w:hint="eastAsia" w:ascii="宋体" w:hAnsi="宋体" w:eastAsia="宋体" w:cs="宋体"/>
          <w:color w:val="auto"/>
          <w:sz w:val="21"/>
          <w:szCs w:val="21"/>
          <w:highlight w:val="none"/>
        </w:rPr>
        <w:t xml:space="preserve">  </w:t>
      </w:r>
      <w:r>
        <w:rPr>
          <w:rFonts w:hint="eastAsia" w:ascii="宋体" w:hAnsi="宋体" w:cs="宋体"/>
          <w:b w:val="0"/>
          <w:bCs w:val="0"/>
          <w:color w:val="auto"/>
          <w:sz w:val="21"/>
          <w:szCs w:val="21"/>
          <w:highlight w:val="none"/>
          <w:lang w:val="en-US" w:eastAsia="zh-CN"/>
        </w:rPr>
        <w:t>投标人应</w:t>
      </w:r>
      <w:r>
        <w:rPr>
          <w:rFonts w:hint="eastAsia" w:ascii="宋体" w:hAnsi="宋体" w:eastAsia="宋体" w:cs="宋体"/>
          <w:b w:val="0"/>
          <w:bCs w:val="0"/>
          <w:color w:val="auto"/>
          <w:sz w:val="21"/>
          <w:szCs w:val="21"/>
          <w:highlight w:val="none"/>
          <w:lang w:val="en-US" w:eastAsia="zh-CN"/>
        </w:rPr>
        <w:t>根据政府有关主管部门的规定计算增值税。</w:t>
      </w:r>
    </w:p>
    <w:p w14:paraId="5BF4E7FD">
      <w:pPr>
        <w:spacing w:line="360" w:lineRule="auto"/>
        <w:ind w:firstLine="420" w:firstLineChars="200"/>
        <w:jc w:val="left"/>
        <w:rPr>
          <w:rFonts w:hint="eastAsia" w:ascii="宋体" w:hAnsi="宋体" w:eastAsia="宋体" w:cs="宋体"/>
          <w:color w:val="auto"/>
          <w:sz w:val="21"/>
          <w:szCs w:val="21"/>
          <w:highlight w:val="none"/>
          <w:lang w:val="en"/>
        </w:rPr>
      </w:pPr>
      <w:r>
        <w:rPr>
          <w:rFonts w:hint="eastAsia" w:ascii="Times New Roman" w:hAnsi="Times New Roman" w:eastAsia="宋体" w:cs="宋体"/>
          <w:color w:val="auto"/>
          <w:highlight w:val="none"/>
          <w:lang w:val="en-US" w:eastAsia="zh-CN"/>
        </w:rPr>
        <w:t>1</w:t>
      </w:r>
      <w:r>
        <w:rPr>
          <w:rFonts w:hint="eastAsia" w:ascii="宋体" w:hAnsi="宋体" w:eastAsia="宋体" w:cs="宋体"/>
          <w:b w:val="0"/>
          <w:bCs w:val="0"/>
          <w:color w:val="auto"/>
          <w:sz w:val="21"/>
          <w:szCs w:val="21"/>
          <w:highlight w:val="none"/>
          <w:lang w:val="en-US" w:eastAsia="zh-CN"/>
        </w:rPr>
        <w:t>.22</w:t>
      </w:r>
      <w:r>
        <w:rPr>
          <w:rFonts w:hint="eastAsia" w:ascii="宋体" w:hAnsi="宋体" w:eastAsia="宋体" w:cs="宋体"/>
          <w:color w:val="auto"/>
          <w:sz w:val="21"/>
          <w:szCs w:val="21"/>
          <w:highlight w:val="none"/>
          <w:lang w:val="en"/>
        </w:rPr>
        <w:t xml:space="preserve"> 投标人响应招标文件的要求填写</w:t>
      </w:r>
      <w:r>
        <w:rPr>
          <w:rFonts w:hint="eastAsia" w:ascii="宋体" w:hAnsi="宋体" w:eastAsia="宋体" w:cs="宋体"/>
          <w:color w:val="auto"/>
          <w:sz w:val="21"/>
          <w:szCs w:val="21"/>
          <w:highlight w:val="none"/>
          <w:lang w:val="en-US"/>
        </w:rPr>
        <w:t>《</w:t>
      </w:r>
      <w:r>
        <w:rPr>
          <w:rFonts w:hint="eastAsia" w:ascii="宋体" w:hAnsi="宋体" w:eastAsia="宋体" w:cs="宋体"/>
          <w:color w:val="auto"/>
          <w:sz w:val="21"/>
          <w:szCs w:val="21"/>
          <w:highlight w:val="none"/>
          <w:lang w:val="en" w:eastAsia="zh-CN"/>
        </w:rPr>
        <w:t>允许调整价格的主要材料</w:t>
      </w:r>
      <w:r>
        <w:rPr>
          <w:rFonts w:hint="eastAsia" w:ascii="宋体" w:hAnsi="宋体" w:eastAsia="宋体" w:cs="宋体"/>
          <w:color w:val="auto"/>
          <w:sz w:val="21"/>
          <w:szCs w:val="21"/>
          <w:highlight w:val="none"/>
          <w:lang w:val="en"/>
        </w:rPr>
        <w:t>一览表</w:t>
      </w:r>
      <w:r>
        <w:rPr>
          <w:rFonts w:hint="eastAsia" w:ascii="宋体" w:hAnsi="宋体" w:eastAsia="宋体" w:cs="宋体"/>
          <w:color w:val="auto"/>
          <w:sz w:val="21"/>
          <w:szCs w:val="21"/>
          <w:highlight w:val="none"/>
          <w:lang w:val="en-US"/>
        </w:rPr>
        <w:t>》</w:t>
      </w:r>
      <w:r>
        <w:rPr>
          <w:rFonts w:hint="eastAsia" w:ascii="宋体" w:hAnsi="宋体" w:eastAsia="宋体" w:cs="宋体"/>
          <w:color w:val="auto"/>
          <w:sz w:val="21"/>
          <w:szCs w:val="21"/>
          <w:highlight w:val="none"/>
          <w:lang w:val="en"/>
        </w:rPr>
        <w:t>相应材料的投标报价</w:t>
      </w:r>
      <w:r>
        <w:rPr>
          <w:rFonts w:hint="eastAsia" w:ascii="宋体" w:hAnsi="宋体" w:cs="宋体"/>
          <w:color w:val="auto"/>
          <w:sz w:val="21"/>
          <w:szCs w:val="21"/>
          <w:highlight w:val="none"/>
          <w:lang w:val="en-US" w:eastAsia="zh-CN"/>
        </w:rPr>
        <w:t>或</w:t>
      </w:r>
      <w:r>
        <w:rPr>
          <w:rFonts w:hint="eastAsia" w:ascii="宋体" w:hAnsi="宋体" w:cs="宋体"/>
          <w:color w:val="auto"/>
          <w:sz w:val="21"/>
          <w:szCs w:val="21"/>
          <w:highlight w:val="none"/>
          <w:lang w:val="en" w:eastAsia="zh-CN"/>
        </w:rPr>
        <w:t>《</w:t>
      </w:r>
      <w:r>
        <w:rPr>
          <w:rFonts w:hint="eastAsia" w:ascii="宋体" w:eastAsia="宋体" w:cs="宋体"/>
          <w:b w:val="0"/>
          <w:bCs w:val="0"/>
          <w:color w:val="auto"/>
          <w:sz w:val="21"/>
          <w:szCs w:val="21"/>
          <w:highlight w:val="none"/>
          <w:lang w:val="en" w:eastAsia="zh-CN"/>
        </w:rPr>
        <w:t>人工及主要材料可调因子价格指数及</w:t>
      </w:r>
      <w:r>
        <w:rPr>
          <w:rFonts w:hint="eastAsia" w:ascii="宋体" w:eastAsia="宋体" w:cs="宋体"/>
          <w:b w:val="0"/>
          <w:bCs w:val="0"/>
          <w:color w:val="auto"/>
          <w:sz w:val="21"/>
          <w:szCs w:val="21"/>
          <w:highlight w:val="none"/>
          <w:lang w:val="en"/>
        </w:rPr>
        <w:t>权重表</w:t>
      </w:r>
      <w:r>
        <w:rPr>
          <w:rFonts w:hint="eastAsia" w:cs="宋体"/>
          <w:b w:val="0"/>
          <w:bCs w:val="0"/>
          <w:color w:val="auto"/>
          <w:sz w:val="21"/>
          <w:szCs w:val="21"/>
          <w:highlight w:val="none"/>
          <w:lang w:val="en" w:eastAsia="zh-CN"/>
        </w:rPr>
        <w:t>》</w:t>
      </w:r>
      <w:r>
        <w:rPr>
          <w:rFonts w:hint="eastAsia" w:cs="宋体"/>
          <w:b w:val="0"/>
          <w:bCs w:val="0"/>
          <w:color w:val="auto"/>
          <w:sz w:val="21"/>
          <w:szCs w:val="21"/>
          <w:highlight w:val="none"/>
          <w:lang w:val="en-US" w:eastAsia="zh-CN"/>
        </w:rPr>
        <w:t>表中可调因子权重</w:t>
      </w:r>
      <w:r>
        <w:rPr>
          <w:rFonts w:hint="eastAsia" w:ascii="宋体" w:hAnsi="宋体" w:eastAsia="宋体" w:cs="宋体"/>
          <w:color w:val="auto"/>
          <w:sz w:val="21"/>
          <w:szCs w:val="21"/>
          <w:highlight w:val="none"/>
          <w:lang w:val="en"/>
        </w:rPr>
        <w:t>。投标人若发现招标人提供的工程量清单或发包人要求中无</w:t>
      </w:r>
      <w:r>
        <w:rPr>
          <w:rFonts w:hint="eastAsia" w:ascii="宋体" w:hAnsi="宋体" w:eastAsia="宋体" w:cs="宋体"/>
          <w:color w:val="auto"/>
          <w:sz w:val="21"/>
          <w:szCs w:val="21"/>
          <w:highlight w:val="none"/>
          <w:lang w:val="en-US"/>
        </w:rPr>
        <w:t>《</w:t>
      </w:r>
      <w:r>
        <w:rPr>
          <w:rFonts w:hint="eastAsia" w:ascii="宋体" w:hAnsi="宋体" w:eastAsia="宋体" w:cs="宋体"/>
          <w:color w:val="auto"/>
          <w:sz w:val="21"/>
          <w:szCs w:val="21"/>
          <w:highlight w:val="none"/>
          <w:lang w:val="en" w:eastAsia="zh-CN"/>
        </w:rPr>
        <w:t>允许调整价格</w:t>
      </w:r>
      <w:r>
        <w:rPr>
          <w:rFonts w:hint="eastAsia" w:ascii="宋体" w:hAnsi="宋体" w:eastAsia="宋体" w:cs="宋体"/>
          <w:color w:val="auto"/>
          <w:sz w:val="21"/>
          <w:szCs w:val="21"/>
          <w:highlight w:val="none"/>
          <w:lang w:val="en"/>
        </w:rPr>
        <w:t>主要材料一览表</w:t>
      </w:r>
      <w:r>
        <w:rPr>
          <w:rFonts w:hint="eastAsia" w:ascii="宋体" w:hAnsi="宋体" w:eastAsia="宋体" w:cs="宋体"/>
          <w:color w:val="auto"/>
          <w:sz w:val="21"/>
          <w:szCs w:val="21"/>
          <w:highlight w:val="none"/>
          <w:lang w:val="en-US"/>
        </w:rPr>
        <w:t>》</w:t>
      </w:r>
      <w:r>
        <w:rPr>
          <w:rFonts w:hint="eastAsia" w:ascii="宋体" w:hAnsi="宋体" w:cs="宋体"/>
          <w:color w:val="auto"/>
          <w:sz w:val="21"/>
          <w:szCs w:val="21"/>
          <w:highlight w:val="none"/>
          <w:lang w:val="en" w:eastAsia="zh-CN"/>
        </w:rPr>
        <w:t>《</w:t>
      </w:r>
      <w:r>
        <w:rPr>
          <w:rFonts w:hint="eastAsia" w:ascii="宋体" w:eastAsia="宋体" w:cs="宋体"/>
          <w:b w:val="0"/>
          <w:bCs w:val="0"/>
          <w:color w:val="auto"/>
          <w:sz w:val="21"/>
          <w:szCs w:val="21"/>
          <w:highlight w:val="none"/>
          <w:lang w:val="en" w:eastAsia="zh-CN"/>
        </w:rPr>
        <w:t>人工及主要材料可调因子价格指数及</w:t>
      </w:r>
      <w:r>
        <w:rPr>
          <w:rFonts w:hint="eastAsia" w:ascii="宋体" w:eastAsia="宋体" w:cs="宋体"/>
          <w:b w:val="0"/>
          <w:bCs w:val="0"/>
          <w:color w:val="auto"/>
          <w:sz w:val="21"/>
          <w:szCs w:val="21"/>
          <w:highlight w:val="none"/>
          <w:lang w:val="en"/>
        </w:rPr>
        <w:t>权重表</w:t>
      </w:r>
      <w:r>
        <w:rPr>
          <w:rFonts w:hint="eastAsia" w:cs="宋体"/>
          <w:b w:val="0"/>
          <w:bCs w:val="0"/>
          <w:color w:val="auto"/>
          <w:sz w:val="21"/>
          <w:szCs w:val="21"/>
          <w:highlight w:val="none"/>
          <w:lang w:val="en" w:eastAsia="zh-CN"/>
        </w:rPr>
        <w:t>》</w:t>
      </w:r>
      <w:r>
        <w:rPr>
          <w:rFonts w:hint="eastAsia" w:ascii="宋体" w:hAnsi="宋体" w:eastAsia="宋体" w:cs="宋体"/>
          <w:color w:val="auto"/>
          <w:sz w:val="21"/>
          <w:szCs w:val="21"/>
          <w:highlight w:val="none"/>
          <w:lang w:val="en"/>
        </w:rPr>
        <w:t>或表格内容未明确的，在规定时间内提出质疑，招标人在规定时间内进行修改。</w:t>
      </w:r>
      <w:r>
        <w:rPr>
          <w:rFonts w:hint="eastAsia" w:cs="宋体"/>
          <w:b w:val="0"/>
          <w:bCs w:val="0"/>
          <w:color w:val="auto"/>
          <w:sz w:val="21"/>
          <w:szCs w:val="21"/>
          <w:highlight w:val="none"/>
          <w:lang w:val="en-US" w:eastAsia="zh-CN"/>
        </w:rPr>
        <w:t>如投标人未填写可调因子权重，材料价格上涨时则按招标人提供的权重范围低值计算，材料下跌时按招标人提供的权重范围高值计算。</w:t>
      </w:r>
    </w:p>
    <w:p w14:paraId="78B440E7">
      <w:pPr>
        <w:spacing w:line="360" w:lineRule="auto"/>
        <w:ind w:firstLine="420" w:firstLineChars="200"/>
        <w:rPr>
          <w:color w:val="auto"/>
          <w:highlight w:val="none"/>
        </w:rPr>
      </w:pPr>
      <w:r>
        <w:rPr>
          <w:rFonts w:hint="eastAsia" w:ascii="Times New Roman" w:hAnsi="Times New Roman" w:eastAsia="宋体" w:cs="宋体"/>
          <w:color w:val="auto"/>
          <w:highlight w:val="none"/>
          <w:lang w:val="en-US" w:eastAsia="zh-CN"/>
        </w:rPr>
        <w:t>1</w:t>
      </w:r>
      <w:r>
        <w:rPr>
          <w:rFonts w:hint="eastAsia"/>
          <w:color w:val="auto"/>
          <w:highlight w:val="none"/>
          <w:lang w:val="en-US" w:eastAsia="zh-CN"/>
        </w:rPr>
        <w:t>.23</w:t>
      </w:r>
      <w:r>
        <w:rPr>
          <w:color w:val="auto"/>
          <w:highlight w:val="none"/>
        </w:rPr>
        <w:t xml:space="preserve"> </w:t>
      </w:r>
      <w:r>
        <w:rPr>
          <w:rFonts w:hint="eastAsia" w:ascii="宋体" w:hAnsi="宋体" w:cs="宋体"/>
          <w:color w:val="auto"/>
          <w:sz w:val="21"/>
          <w:szCs w:val="21"/>
          <w:highlight w:val="none"/>
          <w:lang w:val="en-US" w:eastAsia="zh-CN"/>
        </w:rPr>
        <w:t>安全生产费应</w:t>
      </w:r>
      <w:r>
        <w:rPr>
          <w:rFonts w:hint="eastAsia" w:ascii="宋体" w:hAnsi="宋体" w:cs="宋体"/>
          <w:b w:val="0"/>
          <w:bCs w:val="0"/>
          <w:color w:val="auto"/>
          <w:szCs w:val="21"/>
          <w:highlight w:val="none"/>
        </w:rPr>
        <w:t>按</w:t>
      </w:r>
      <w:r>
        <w:rPr>
          <w:rFonts w:hint="eastAsia" w:ascii="宋体" w:hAnsi="宋体" w:cs="宋体"/>
          <w:b w:val="0"/>
          <w:bCs w:val="0"/>
          <w:color w:val="auto"/>
          <w:szCs w:val="21"/>
          <w:highlight w:val="none"/>
          <w:lang w:eastAsia="zh-CN"/>
        </w:rPr>
        <w:t>自治区建设行政主管部门</w:t>
      </w:r>
      <w:r>
        <w:rPr>
          <w:rFonts w:hint="eastAsia" w:ascii="宋体" w:hAnsi="宋体" w:cs="宋体"/>
          <w:b w:val="0"/>
          <w:bCs w:val="0"/>
          <w:color w:val="auto"/>
          <w:szCs w:val="21"/>
          <w:highlight w:val="none"/>
        </w:rPr>
        <w:t>规定</w:t>
      </w:r>
      <w:r>
        <w:rPr>
          <w:rFonts w:hint="eastAsia" w:ascii="宋体" w:hAnsi="宋体" w:cs="宋体"/>
          <w:b w:val="0"/>
          <w:bCs w:val="0"/>
          <w:color w:val="auto"/>
          <w:szCs w:val="21"/>
          <w:highlight w:val="none"/>
          <w:lang w:eastAsia="zh-CN"/>
        </w:rPr>
        <w:t>的计算</w:t>
      </w:r>
      <w:r>
        <w:rPr>
          <w:rFonts w:hint="eastAsia" w:ascii="宋体" w:hAnsi="宋体" w:cs="宋体"/>
          <w:b w:val="0"/>
          <w:bCs w:val="0"/>
          <w:color w:val="auto"/>
          <w:szCs w:val="21"/>
          <w:highlight w:val="none"/>
          <w:lang w:val="en-US" w:eastAsia="zh-CN"/>
        </w:rPr>
        <w:t>基础</w:t>
      </w:r>
      <w:r>
        <w:rPr>
          <w:rFonts w:hint="eastAsia" w:ascii="宋体" w:hAnsi="宋体" w:cs="宋体"/>
          <w:b w:val="0"/>
          <w:bCs w:val="0"/>
          <w:color w:val="auto"/>
          <w:szCs w:val="21"/>
          <w:highlight w:val="none"/>
          <w:lang w:eastAsia="zh-CN"/>
        </w:rPr>
        <w:t>和费率</w:t>
      </w:r>
      <w:r>
        <w:rPr>
          <w:rFonts w:hint="eastAsia" w:ascii="宋体" w:hAnsi="宋体" w:cs="宋体"/>
          <w:b w:val="0"/>
          <w:bCs w:val="0"/>
          <w:color w:val="auto"/>
          <w:szCs w:val="21"/>
          <w:highlight w:val="none"/>
        </w:rPr>
        <w:t>计算</w:t>
      </w:r>
      <w:r>
        <w:rPr>
          <w:rFonts w:hint="eastAsia" w:cs="宋体"/>
          <w:color w:val="auto"/>
          <w:highlight w:val="none"/>
        </w:rPr>
        <w:t>，作为不可竞争费用。</w:t>
      </w:r>
    </w:p>
    <w:p w14:paraId="2F167201">
      <w:pPr>
        <w:spacing w:line="360" w:lineRule="auto"/>
        <w:ind w:firstLine="420" w:firstLineChars="200"/>
        <w:rPr>
          <w:color w:val="auto"/>
          <w:highlight w:val="none"/>
        </w:rPr>
      </w:pPr>
      <w:r>
        <w:rPr>
          <w:rFonts w:hint="eastAsia" w:ascii="Times New Roman" w:hAnsi="Times New Roman" w:eastAsia="宋体" w:cs="宋体"/>
          <w:color w:val="auto"/>
          <w:highlight w:val="none"/>
          <w:lang w:val="en-US" w:eastAsia="zh-CN"/>
        </w:rPr>
        <w:t>1</w:t>
      </w:r>
      <w:r>
        <w:rPr>
          <w:rFonts w:hint="eastAsia"/>
          <w:color w:val="auto"/>
          <w:highlight w:val="none"/>
          <w:lang w:val="en-US" w:eastAsia="zh-CN"/>
        </w:rPr>
        <w:t>.24</w:t>
      </w:r>
      <w:r>
        <w:rPr>
          <w:color w:val="auto"/>
          <w:highlight w:val="none"/>
        </w:rPr>
        <w:t xml:space="preserve"> </w:t>
      </w:r>
      <w:r>
        <w:rPr>
          <w:rFonts w:hint="eastAsia" w:cs="宋体"/>
          <w:color w:val="auto"/>
          <w:highlight w:val="none"/>
        </w:rPr>
        <w:t>投标总价应当与分部分项工程费、</w:t>
      </w:r>
      <w:r>
        <w:rPr>
          <w:rFonts w:hint="eastAsia" w:cs="宋体"/>
          <w:color w:val="auto"/>
          <w:highlight w:val="none"/>
          <w:lang w:val="en-US" w:eastAsia="zh-CN"/>
        </w:rPr>
        <w:t>技术措施项目费、综合</w:t>
      </w:r>
      <w:r>
        <w:rPr>
          <w:rFonts w:hint="eastAsia" w:cs="宋体"/>
          <w:color w:val="auto"/>
          <w:highlight w:val="none"/>
        </w:rPr>
        <w:t>措施项目费、其他项目费的合计金额一致。</w:t>
      </w:r>
    </w:p>
    <w:p w14:paraId="42F230E1">
      <w:pPr>
        <w:spacing w:line="360" w:lineRule="auto"/>
        <w:ind w:firstLine="420" w:firstLineChars="200"/>
        <w:rPr>
          <w:rFonts w:hint="eastAsia" w:cs="宋体"/>
          <w:color w:val="auto"/>
          <w:highlight w:val="none"/>
        </w:rPr>
      </w:pPr>
      <w:r>
        <w:rPr>
          <w:rFonts w:hint="eastAsia" w:cs="宋体"/>
          <w:color w:val="auto"/>
          <w:highlight w:val="none"/>
        </w:rPr>
        <w:t>未尽事宜详见本工程招标工程量清单以及现行《计价规范》等有关规定执行。</w:t>
      </w:r>
    </w:p>
    <w:p w14:paraId="1633BF37">
      <w:pPr>
        <w:pStyle w:val="5"/>
        <w:spacing w:line="360" w:lineRule="auto"/>
        <w:ind w:firstLine="422" w:firstLineChars="200"/>
        <w:rPr>
          <w:rFonts w:hint="default" w:eastAsia="宋体" w:cs="宋体"/>
          <w:color w:val="auto"/>
          <w:sz w:val="21"/>
          <w:szCs w:val="21"/>
          <w:highlight w:val="none"/>
          <w:lang w:val="en-US" w:eastAsia="zh-CN"/>
        </w:rPr>
      </w:pPr>
      <w:bookmarkStart w:id="2000" w:name="_Toc26532"/>
      <w:r>
        <w:rPr>
          <w:rFonts w:hint="eastAsia" w:cs="宋体"/>
          <w:color w:val="auto"/>
          <w:sz w:val="21"/>
          <w:szCs w:val="21"/>
          <w:highlight w:val="none"/>
          <w:lang w:val="en-US" w:eastAsia="zh-CN"/>
        </w:rPr>
        <w:t>2投标报价格式</w:t>
      </w:r>
      <w:bookmarkEnd w:id="2000"/>
    </w:p>
    <w:p w14:paraId="686B0070">
      <w:pPr>
        <w:spacing w:line="360" w:lineRule="auto"/>
        <w:ind w:firstLine="420" w:firstLineChars="200"/>
        <w:rPr>
          <w:rFonts w:hint="eastAsia" w:cs="宋体"/>
          <w:color w:val="auto"/>
          <w:highlight w:val="none"/>
        </w:rPr>
      </w:pPr>
      <w:r>
        <w:rPr>
          <w:rFonts w:hint="eastAsia"/>
          <w:color w:val="auto"/>
          <w:highlight w:val="none"/>
          <w:lang w:val="en-US" w:eastAsia="zh-CN"/>
        </w:rPr>
        <w:t>2.1</w:t>
      </w:r>
      <w:r>
        <w:rPr>
          <w:color w:val="auto"/>
          <w:highlight w:val="none"/>
        </w:rPr>
        <w:t>.</w:t>
      </w:r>
      <w:r>
        <w:rPr>
          <w:rFonts w:hint="eastAsia" w:cs="宋体"/>
          <w:color w:val="auto"/>
          <w:highlight w:val="none"/>
        </w:rPr>
        <w:t>已标价工程量清单表格具体内容包括：</w:t>
      </w:r>
    </w:p>
    <w:p w14:paraId="77225877">
      <w:pPr>
        <w:spacing w:line="360" w:lineRule="auto"/>
        <w:ind w:firstLine="630" w:firstLineChars="300"/>
        <w:jc w:val="left"/>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xml:space="preserve">1.1 </w:t>
      </w:r>
      <w:r>
        <w:rPr>
          <w:rFonts w:hint="eastAsia" w:ascii="Times New Roman" w:hAnsi="Times New Roman" w:eastAsia="宋体" w:cs="宋体"/>
          <w:b w:val="0"/>
          <w:color w:val="auto"/>
          <w:sz w:val="21"/>
          <w:szCs w:val="21"/>
          <w:highlight w:val="none"/>
        </w:rPr>
        <w:t>投标报价</w:t>
      </w:r>
      <w:r>
        <w:rPr>
          <w:rFonts w:hint="eastAsia" w:ascii="Times New Roman" w:hAnsi="Times New Roman" w:eastAsia="宋体" w:cs="宋体"/>
          <w:color w:val="auto"/>
          <w:highlight w:val="none"/>
        </w:rPr>
        <w:t>（封-</w:t>
      </w: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rPr>
        <w:t>）</w:t>
      </w:r>
    </w:p>
    <w:p w14:paraId="07CB5B95">
      <w:pPr>
        <w:spacing w:line="360" w:lineRule="auto"/>
        <w:ind w:firstLine="630" w:firstLineChars="300"/>
        <w:jc w:val="left"/>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 xml:space="preserve">1.2 </w:t>
      </w:r>
      <w:r>
        <w:rPr>
          <w:rFonts w:hint="eastAsia" w:ascii="Times New Roman" w:hAnsi="Times New Roman" w:eastAsia="宋体" w:cs="宋体"/>
          <w:b w:val="0"/>
          <w:color w:val="auto"/>
          <w:sz w:val="21"/>
          <w:szCs w:val="21"/>
          <w:highlight w:val="none"/>
        </w:rPr>
        <w:t>投标总价</w:t>
      </w:r>
      <w:r>
        <w:rPr>
          <w:rFonts w:hint="eastAsia" w:ascii="Times New Roman" w:hAnsi="Times New Roman" w:eastAsia="宋体" w:cs="宋体"/>
          <w:color w:val="auto"/>
          <w:highlight w:val="none"/>
        </w:rPr>
        <w:t>（扉-</w:t>
      </w: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rPr>
        <w:t>）</w:t>
      </w:r>
    </w:p>
    <w:p w14:paraId="6FEDB218">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ascii="Times New Roman" w:hAnsi="Times New Roman" w:eastAsia="宋体" w:cs="宋体"/>
          <w:color w:val="auto"/>
          <w:highlight w:val="none"/>
        </w:rPr>
        <w:t xml:space="preserve"> </w:t>
      </w:r>
      <w:r>
        <w:rPr>
          <w:rFonts w:hint="eastAsia" w:ascii="Times New Roman" w:hAnsi="Times New Roman" w:eastAsia="宋体" w:cs="宋体"/>
          <w:color w:val="auto"/>
          <w:highlight w:val="none"/>
          <w:lang w:val="en-US" w:eastAsia="zh-CN"/>
        </w:rPr>
        <w:t>编制</w:t>
      </w:r>
      <w:r>
        <w:rPr>
          <w:rFonts w:hint="eastAsia" w:ascii="Times New Roman" w:hAnsi="Times New Roman" w:eastAsia="宋体" w:cs="宋体"/>
          <w:color w:val="auto"/>
          <w:highlight w:val="none"/>
        </w:rPr>
        <w:t>说明（表-</w:t>
      </w:r>
      <w:r>
        <w:rPr>
          <w:rFonts w:hint="eastAsia" w:ascii="Times New Roman" w:hAnsi="Times New Roman" w:eastAsia="宋体" w:cs="宋体"/>
          <w:color w:val="auto"/>
          <w:highlight w:val="none"/>
          <w:lang w:val="en-US" w:eastAsia="zh-CN"/>
        </w:rPr>
        <w:t>0</w:t>
      </w:r>
      <w:r>
        <w:rPr>
          <w:rFonts w:hint="eastAsia" w:ascii="Times New Roman" w:hAnsi="Times New Roman" w:eastAsia="宋体" w:cs="宋体"/>
          <w:color w:val="auto"/>
          <w:highlight w:val="none"/>
        </w:rPr>
        <w:t>1）</w:t>
      </w:r>
    </w:p>
    <w:p w14:paraId="6F6B4A99">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建设项目概况表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02</w:t>
      </w:r>
      <w:r>
        <w:rPr>
          <w:rFonts w:hint="eastAsia" w:ascii="Times New Roman" w:hAnsi="Times New Roman" w:eastAsia="宋体" w:cs="宋体"/>
          <w:color w:val="auto"/>
          <w:highlight w:val="none"/>
        </w:rPr>
        <w:t>）</w:t>
      </w:r>
    </w:p>
    <w:p w14:paraId="0E32F909">
      <w:pPr>
        <w:widowControl/>
        <w:spacing w:line="360" w:lineRule="auto"/>
        <w:ind w:firstLine="630" w:firstLineChars="300"/>
        <w:jc w:val="left"/>
        <w:textAlignment w:val="auto"/>
        <w:rPr>
          <w:rFonts w:hint="eastAsia" w:ascii="Times New Roman" w:hAnsi="Times New Roman" w:eastAsia="宋体" w:cs="宋体"/>
          <w:b w:val="0"/>
          <w:color w:val="auto"/>
          <w:sz w:val="21"/>
          <w:szCs w:val="21"/>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单项工程概况表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03</w:t>
      </w:r>
      <w:r>
        <w:rPr>
          <w:rFonts w:hint="eastAsia" w:ascii="Times New Roman" w:hAnsi="Times New Roman" w:eastAsia="宋体" w:cs="宋体"/>
          <w:color w:val="auto"/>
          <w:highlight w:val="none"/>
        </w:rPr>
        <w:t>）</w:t>
      </w:r>
    </w:p>
    <w:p w14:paraId="77B087D9">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工程费用汇总表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05适用于单价合同，表-06适用于总价合同</w:t>
      </w:r>
      <w:r>
        <w:rPr>
          <w:rFonts w:hint="eastAsia" w:ascii="Times New Roman" w:hAnsi="Times New Roman" w:eastAsia="宋体" w:cs="宋体"/>
          <w:color w:val="auto"/>
          <w:highlight w:val="none"/>
        </w:rPr>
        <w:t>）</w:t>
      </w:r>
    </w:p>
    <w:p w14:paraId="01ABB01D">
      <w:pPr>
        <w:spacing w:line="360" w:lineRule="auto"/>
        <w:ind w:firstLine="630" w:firstLineChars="300"/>
        <w:jc w:val="left"/>
        <w:rPr>
          <w:rFonts w:hint="eastAsia" w:ascii="Times New Roman" w:hAnsi="Times New Roman" w:eastAsia="宋体" w:cs="宋体"/>
          <w:b w:val="0"/>
          <w:color w:val="auto"/>
          <w:sz w:val="21"/>
          <w:szCs w:val="21"/>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工程费用明细表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07</w:t>
      </w:r>
      <w:r>
        <w:rPr>
          <w:rFonts w:hint="eastAsia" w:ascii="Times New Roman" w:hAnsi="Times New Roman" w:eastAsia="宋体" w:cs="宋体"/>
          <w:color w:val="auto"/>
          <w:highlight w:val="none"/>
        </w:rPr>
        <w:t>）</w:t>
      </w:r>
    </w:p>
    <w:p w14:paraId="6BF8F66D">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分部分项工程</w:t>
      </w:r>
      <w:r>
        <w:rPr>
          <w:rFonts w:hint="eastAsia" w:ascii="Times New Roman" w:hAnsi="Times New Roman" w:eastAsia="宋体" w:cs="宋体"/>
          <w:b w:val="0"/>
          <w:color w:val="auto"/>
          <w:sz w:val="21"/>
          <w:szCs w:val="21"/>
          <w:highlight w:val="none"/>
          <w:lang w:val="en-US" w:eastAsia="zh-CN"/>
        </w:rPr>
        <w:t>项目</w:t>
      </w:r>
      <w:r>
        <w:rPr>
          <w:rFonts w:hint="eastAsia" w:ascii="Times New Roman" w:hAnsi="Times New Roman" w:eastAsia="宋体" w:cs="宋体"/>
          <w:b w:val="0"/>
          <w:color w:val="auto"/>
          <w:sz w:val="21"/>
          <w:szCs w:val="21"/>
          <w:highlight w:val="none"/>
        </w:rPr>
        <w:t>清单计价表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08</w:t>
      </w:r>
      <w:r>
        <w:rPr>
          <w:rFonts w:hint="eastAsia" w:ascii="Times New Roman" w:hAnsi="Times New Roman" w:eastAsia="宋体" w:cs="宋体"/>
          <w:color w:val="auto"/>
          <w:highlight w:val="none"/>
        </w:rPr>
        <w:t>）</w:t>
      </w:r>
    </w:p>
    <w:p w14:paraId="48B1397A">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分部分项工程项目清单综合单价分析表</w:t>
      </w:r>
      <w:r>
        <w:rPr>
          <w:rFonts w:hint="eastAsia" w:ascii="Times New Roman" w:hAnsi="Times New Roman" w:eastAsia="宋体" w:cs="宋体"/>
          <w:color w:val="auto"/>
          <w:highlight w:val="none"/>
        </w:rPr>
        <w:t>（表-</w:t>
      </w:r>
      <w:r>
        <w:rPr>
          <w:rFonts w:hint="eastAsia" w:ascii="Times New Roman" w:hAnsi="Times New Roman" w:eastAsia="宋体" w:cs="宋体"/>
          <w:color w:val="auto"/>
          <w:highlight w:val="none"/>
          <w:lang w:val="en-US" w:eastAsia="zh-CN"/>
        </w:rPr>
        <w:t>09</w:t>
      </w:r>
      <w:r>
        <w:rPr>
          <w:rFonts w:hint="eastAsia" w:ascii="Times New Roman" w:hAnsi="Times New Roman" w:eastAsia="宋体" w:cs="宋体"/>
          <w:color w:val="auto"/>
          <w:highlight w:val="none"/>
        </w:rPr>
        <w:t>）</w:t>
      </w:r>
    </w:p>
    <w:p w14:paraId="1AD375A1">
      <w:pPr>
        <w:spacing w:line="360" w:lineRule="auto"/>
        <w:ind w:firstLine="630" w:firstLineChars="300"/>
        <w:jc w:val="left"/>
        <w:rPr>
          <w:rFonts w:hint="default" w:ascii="Times New Roman" w:hAnsi="Times New Roman" w:eastAsia="宋体" w:cs="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8</w:t>
      </w:r>
      <w:r>
        <w:rPr>
          <w:rFonts w:hint="eastAsia"/>
          <w:color w:val="auto"/>
          <w:highlight w:val="none"/>
          <w:lang w:eastAsia="zh-CN"/>
        </w:rPr>
        <w:t>）</w:t>
      </w:r>
      <w:r>
        <w:rPr>
          <w:rFonts w:hint="eastAsia" w:ascii="Times New Roman" w:hAnsi="Times New Roman" w:eastAsia="宋体" w:cs="宋体"/>
          <w:color w:val="auto"/>
          <w:highlight w:val="none"/>
          <w:lang w:eastAsia="zh-CN"/>
        </w:rPr>
        <w:t>技术措施项目</w:t>
      </w:r>
      <w:r>
        <w:rPr>
          <w:rFonts w:hint="eastAsia" w:ascii="Times New Roman" w:hAnsi="Times New Roman" w:eastAsia="宋体" w:cs="宋体"/>
          <w:color w:val="auto"/>
          <w:highlight w:val="none"/>
        </w:rPr>
        <w:t>清单计价表</w:t>
      </w:r>
      <w:r>
        <w:rPr>
          <w:rFonts w:hint="eastAsia" w:ascii="Times New Roman" w:hAnsi="Times New Roman" w:eastAsia="宋体" w:cs="宋体"/>
          <w:strike w:val="0"/>
          <w:color w:val="auto"/>
          <w:highlight w:val="none"/>
        </w:rPr>
        <w:t>（表-1</w:t>
      </w:r>
      <w:r>
        <w:rPr>
          <w:rFonts w:hint="eastAsia" w:ascii="Times New Roman" w:hAnsi="Times New Roman" w:eastAsia="宋体" w:cs="宋体"/>
          <w:strike w:val="0"/>
          <w:color w:val="auto"/>
          <w:highlight w:val="none"/>
          <w:lang w:eastAsia="zh-CN"/>
        </w:rPr>
        <w:t>0</w:t>
      </w:r>
      <w:r>
        <w:rPr>
          <w:rFonts w:hint="eastAsia" w:ascii="Times New Roman" w:hAnsi="Times New Roman" w:eastAsia="宋体" w:cs="宋体"/>
          <w:strike w:val="0"/>
          <w:color w:val="auto"/>
          <w:highlight w:val="none"/>
        </w:rPr>
        <w:t>）</w:t>
      </w:r>
    </w:p>
    <w:p w14:paraId="602000FC">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9</w:t>
      </w:r>
      <w:r>
        <w:rPr>
          <w:rFonts w:hint="eastAsia"/>
          <w:color w:val="auto"/>
          <w:highlight w:val="none"/>
          <w:lang w:eastAsia="zh-CN"/>
        </w:rPr>
        <w:t>）</w:t>
      </w:r>
      <w:r>
        <w:rPr>
          <w:rFonts w:hint="eastAsia" w:ascii="Times New Roman" w:hAnsi="Times New Roman" w:eastAsia="宋体" w:cs="宋体"/>
          <w:b w:val="0"/>
          <w:color w:val="auto"/>
          <w:sz w:val="21"/>
          <w:szCs w:val="21"/>
          <w:highlight w:val="none"/>
        </w:rPr>
        <w:t>技术措施项目清单综合单价分析表</w:t>
      </w:r>
      <w:r>
        <w:rPr>
          <w:rFonts w:hint="eastAsia" w:ascii="Times New Roman" w:hAnsi="Times New Roman" w:eastAsia="宋体" w:cs="宋体"/>
          <w:color w:val="auto"/>
          <w:highlight w:val="none"/>
        </w:rPr>
        <w:t>（表-1</w:t>
      </w:r>
      <w:r>
        <w:rPr>
          <w:rFonts w:hint="eastAsia" w:ascii="Times New Roman" w:hAnsi="Times New Roman" w:eastAsia="宋体" w:cs="宋体"/>
          <w:color w:val="auto"/>
          <w:highlight w:val="none"/>
          <w:lang w:val="en-US" w:eastAsia="zh-CN"/>
        </w:rPr>
        <w:t>1</w:t>
      </w:r>
      <w:r>
        <w:rPr>
          <w:rFonts w:hint="eastAsia" w:ascii="Times New Roman" w:hAnsi="Times New Roman" w:eastAsia="宋体" w:cs="宋体"/>
          <w:color w:val="auto"/>
          <w:highlight w:val="none"/>
        </w:rPr>
        <w:t>）</w:t>
      </w:r>
    </w:p>
    <w:p w14:paraId="175410BA">
      <w:pPr>
        <w:spacing w:line="360" w:lineRule="auto"/>
        <w:ind w:firstLine="630" w:firstLineChars="300"/>
        <w:jc w:val="left"/>
        <w:rPr>
          <w:rFonts w:hint="default"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10</w:t>
      </w:r>
      <w:r>
        <w:rPr>
          <w:rFonts w:hint="eastAsia"/>
          <w:color w:val="auto"/>
          <w:highlight w:val="none"/>
          <w:lang w:eastAsia="zh-CN"/>
        </w:rPr>
        <w:t>）</w:t>
      </w:r>
      <w:r>
        <w:rPr>
          <w:rFonts w:hint="eastAsia" w:ascii="Times New Roman" w:hAnsi="Times New Roman" w:eastAsia="宋体" w:cs="宋体"/>
          <w:color w:val="auto"/>
          <w:highlight w:val="none"/>
        </w:rPr>
        <w:t>综合措施项目清单计价表（表-1</w:t>
      </w:r>
      <w:r>
        <w:rPr>
          <w:rFonts w:hint="eastAsia" w:ascii="Times New Roman" w:hAnsi="Times New Roman" w:eastAsia="宋体" w:cs="宋体"/>
          <w:color w:val="auto"/>
          <w:highlight w:val="none"/>
          <w:lang w:val="en-US" w:eastAsia="zh-CN"/>
        </w:rPr>
        <w:t>2</w:t>
      </w:r>
      <w:r>
        <w:rPr>
          <w:rFonts w:hint="eastAsia" w:ascii="Times New Roman" w:hAnsi="Times New Roman" w:eastAsia="宋体" w:cs="宋体"/>
          <w:color w:val="auto"/>
          <w:highlight w:val="none"/>
        </w:rPr>
        <w:t>）</w:t>
      </w:r>
    </w:p>
    <w:p w14:paraId="05C7E6FC">
      <w:pPr>
        <w:spacing w:line="360" w:lineRule="auto"/>
        <w:ind w:firstLine="630" w:firstLineChars="300"/>
        <w:jc w:val="left"/>
        <w:rPr>
          <w:rFonts w:hint="eastAsia" w:ascii="Times New Roman" w:hAnsi="Times New Roman" w:eastAsia="宋体" w:cs="宋体"/>
          <w:color w:val="auto"/>
          <w:highlight w:val="none"/>
        </w:rPr>
      </w:pPr>
      <w:r>
        <w:rPr>
          <w:rFonts w:hint="eastAsia"/>
          <w:color w:val="auto"/>
          <w:highlight w:val="none"/>
          <w:lang w:eastAsia="zh-CN"/>
        </w:rPr>
        <w:t>（</w:t>
      </w:r>
      <w:r>
        <w:rPr>
          <w:rFonts w:hint="eastAsia"/>
          <w:color w:val="auto"/>
          <w:highlight w:val="none"/>
          <w:lang w:val="en-US" w:eastAsia="zh-CN"/>
        </w:rPr>
        <w:t>11</w:t>
      </w:r>
      <w:r>
        <w:rPr>
          <w:rFonts w:hint="eastAsia"/>
          <w:color w:val="auto"/>
          <w:highlight w:val="none"/>
          <w:lang w:eastAsia="zh-CN"/>
        </w:rPr>
        <w:t>）</w:t>
      </w:r>
      <w:r>
        <w:rPr>
          <w:rFonts w:hint="eastAsia" w:ascii="Times New Roman" w:hAnsi="Times New Roman" w:eastAsia="宋体" w:cs="宋体"/>
          <w:color w:val="auto"/>
          <w:highlight w:val="none"/>
        </w:rPr>
        <w:t>其他项目清单计价表（表-1</w:t>
      </w:r>
      <w:r>
        <w:rPr>
          <w:rFonts w:hint="eastAsia" w:ascii="Times New Roman" w:hAnsi="Times New Roman" w:eastAsia="宋体" w:cs="宋体"/>
          <w:color w:val="auto"/>
          <w:highlight w:val="none"/>
          <w:lang w:eastAsia="zh-CN"/>
        </w:rPr>
        <w:t>3</w:t>
      </w:r>
      <w:r>
        <w:rPr>
          <w:rFonts w:hint="eastAsia" w:ascii="Times New Roman" w:hAnsi="Times New Roman" w:eastAsia="宋体" w:cs="宋体"/>
          <w:color w:val="auto"/>
          <w:highlight w:val="none"/>
        </w:rPr>
        <w:t>）</w:t>
      </w:r>
    </w:p>
    <w:p w14:paraId="73654AE4">
      <w:pPr>
        <w:spacing w:line="360" w:lineRule="auto"/>
        <w:ind w:firstLine="630" w:firstLineChars="300"/>
        <w:jc w:val="left"/>
        <w:rPr>
          <w:rFonts w:hint="eastAsia" w:ascii="Times New Roman" w:hAnsi="Times New Roman" w:eastAsia="宋体" w:cs="Times New Roman"/>
          <w:color w:val="auto"/>
          <w:highlight w:val="none"/>
        </w:rPr>
      </w:pPr>
      <w:r>
        <w:rPr>
          <w:rFonts w:hint="eastAsia" w:cs="Times New Roman"/>
          <w:b w:val="0"/>
          <w:bCs w:val="0"/>
          <w:color w:val="auto"/>
          <w:sz w:val="21"/>
          <w:szCs w:val="21"/>
          <w:highlight w:val="none"/>
          <w:lang w:val="en-US" w:eastAsia="zh-CN"/>
        </w:rPr>
        <w:t>（12）</w:t>
      </w:r>
      <w:r>
        <w:rPr>
          <w:rFonts w:hint="eastAsia" w:ascii="Times New Roman" w:hAnsi="Times New Roman" w:eastAsia="宋体" w:cs="Times New Roman"/>
          <w:b w:val="0"/>
          <w:color w:val="auto"/>
          <w:sz w:val="21"/>
          <w:szCs w:val="21"/>
          <w:highlight w:val="none"/>
        </w:rPr>
        <w:t>材料暂估价</w:t>
      </w:r>
      <w:r>
        <w:rPr>
          <w:rFonts w:hint="eastAsia" w:cs="Times New Roman"/>
          <w:color w:val="auto"/>
          <w:highlight w:val="none"/>
          <w:lang w:val="en-US" w:eastAsia="zh-CN"/>
        </w:rPr>
        <w:t>明细</w:t>
      </w:r>
      <w:r>
        <w:rPr>
          <w:rFonts w:hint="eastAsia" w:ascii="Times New Roman" w:hAnsi="Times New Roman" w:eastAsia="宋体" w:cs="Times New Roman"/>
          <w:b w:val="0"/>
          <w:color w:val="auto"/>
          <w:sz w:val="21"/>
          <w:szCs w:val="21"/>
          <w:highlight w:val="none"/>
        </w:rPr>
        <w:t>表</w:t>
      </w:r>
      <w:r>
        <w:rPr>
          <w:rFonts w:hint="eastAsia" w:ascii="Times New Roman" w:hAnsi="Times New Roman" w:eastAsia="宋体" w:cs="Times New Roman"/>
          <w:color w:val="auto"/>
          <w:highlight w:val="none"/>
        </w:rPr>
        <w:t>（表</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rPr>
        <w:t>1</w:t>
      </w:r>
      <w:r>
        <w:rPr>
          <w:rFonts w:hint="eastAsia" w:ascii="Times New Roman" w:hAnsi="Times New Roman" w:eastAsia="宋体" w:cs="Times New Roman"/>
          <w:color w:val="auto"/>
          <w:highlight w:val="none"/>
          <w:lang w:val="en-US" w:eastAsia="zh-CN"/>
        </w:rPr>
        <w:t>3-1</w:t>
      </w:r>
      <w:r>
        <w:rPr>
          <w:rFonts w:hint="eastAsia" w:ascii="Times New Roman" w:hAnsi="Times New Roman" w:eastAsia="宋体" w:cs="Times New Roman"/>
          <w:color w:val="auto"/>
          <w:highlight w:val="none"/>
        </w:rPr>
        <w:t>）</w:t>
      </w:r>
    </w:p>
    <w:p w14:paraId="534AEEF4">
      <w:pPr>
        <w:spacing w:line="360" w:lineRule="auto"/>
        <w:ind w:firstLine="630" w:firstLineChars="300"/>
        <w:jc w:val="left"/>
        <w:rPr>
          <w:rFonts w:hint="eastAsia"/>
          <w:color w:val="auto"/>
          <w:highlight w:val="none"/>
        </w:rPr>
      </w:pPr>
      <w:r>
        <w:rPr>
          <w:rFonts w:hint="eastAsia" w:cs="Times New Roman"/>
          <w:b w:val="0"/>
          <w:bCs w:val="0"/>
          <w:color w:val="auto"/>
          <w:sz w:val="21"/>
          <w:szCs w:val="21"/>
          <w:highlight w:val="none"/>
          <w:lang w:val="en-US" w:eastAsia="zh-CN"/>
        </w:rPr>
        <w:t>（13）</w:t>
      </w:r>
      <w:r>
        <w:rPr>
          <w:rFonts w:hint="eastAsia" w:cs="Times New Roman"/>
          <w:color w:val="auto"/>
          <w:highlight w:val="none"/>
        </w:rPr>
        <w:t>专业工程暂估价</w:t>
      </w:r>
      <w:r>
        <w:rPr>
          <w:rFonts w:hint="eastAsia" w:cs="Times New Roman"/>
          <w:color w:val="auto"/>
          <w:highlight w:val="none"/>
          <w:lang w:val="en-US" w:eastAsia="zh-CN"/>
        </w:rPr>
        <w:t>明细</w:t>
      </w:r>
      <w:r>
        <w:rPr>
          <w:rFonts w:hint="eastAsia" w:cs="Times New Roman"/>
          <w:color w:val="auto"/>
          <w:highlight w:val="none"/>
        </w:rPr>
        <w:t>表（表</w:t>
      </w:r>
      <w:r>
        <w:rPr>
          <w:rFonts w:hint="eastAsia" w:cs="Times New Roman"/>
          <w:color w:val="auto"/>
          <w:highlight w:val="none"/>
          <w:lang w:val="en-US" w:eastAsia="zh-CN"/>
        </w:rPr>
        <w:t>-</w:t>
      </w:r>
      <w:r>
        <w:rPr>
          <w:rFonts w:hint="eastAsia"/>
          <w:color w:val="auto"/>
          <w:highlight w:val="none"/>
        </w:rPr>
        <w:t>1</w:t>
      </w:r>
      <w:r>
        <w:rPr>
          <w:rFonts w:hint="eastAsia"/>
          <w:color w:val="auto"/>
          <w:highlight w:val="none"/>
          <w:lang w:val="en-US" w:eastAsia="zh-CN"/>
        </w:rPr>
        <w:t>3-2</w:t>
      </w:r>
      <w:r>
        <w:rPr>
          <w:rFonts w:hint="eastAsia" w:cs="Times New Roman"/>
          <w:color w:val="auto"/>
          <w:highlight w:val="none"/>
        </w:rPr>
        <w:t>）</w:t>
      </w:r>
    </w:p>
    <w:p w14:paraId="76F4B44C">
      <w:pPr>
        <w:spacing w:line="360" w:lineRule="auto"/>
        <w:ind w:firstLine="630" w:firstLineChars="300"/>
        <w:jc w:val="left"/>
        <w:rPr>
          <w:rFonts w:hint="eastAsia"/>
          <w:color w:val="auto"/>
          <w:highlight w:val="none"/>
        </w:rPr>
      </w:pPr>
      <w:r>
        <w:rPr>
          <w:rFonts w:hint="eastAsia" w:cs="Times New Roman"/>
          <w:b w:val="0"/>
          <w:bCs w:val="0"/>
          <w:color w:val="auto"/>
          <w:sz w:val="21"/>
          <w:szCs w:val="21"/>
          <w:highlight w:val="none"/>
          <w:lang w:val="en-US" w:eastAsia="zh-CN"/>
        </w:rPr>
        <w:t>（14）</w:t>
      </w:r>
      <w:r>
        <w:rPr>
          <w:rFonts w:hint="eastAsia" w:cs="Times New Roman"/>
          <w:color w:val="auto"/>
          <w:highlight w:val="none"/>
          <w:lang w:val="en-US" w:eastAsia="zh-CN"/>
        </w:rPr>
        <w:t>暂列金额明细表</w:t>
      </w:r>
      <w:r>
        <w:rPr>
          <w:rFonts w:hint="eastAsia" w:cs="Times New Roman"/>
          <w:color w:val="auto"/>
          <w:highlight w:val="none"/>
        </w:rPr>
        <w:t>（表</w:t>
      </w:r>
      <w:r>
        <w:rPr>
          <w:rFonts w:hint="eastAsia" w:cs="Times New Roman"/>
          <w:color w:val="auto"/>
          <w:highlight w:val="none"/>
          <w:lang w:val="en-US" w:eastAsia="zh-CN"/>
        </w:rPr>
        <w:t>-</w:t>
      </w:r>
      <w:r>
        <w:rPr>
          <w:rFonts w:hint="eastAsia"/>
          <w:color w:val="auto"/>
          <w:highlight w:val="none"/>
        </w:rPr>
        <w:t>1</w:t>
      </w:r>
      <w:r>
        <w:rPr>
          <w:rFonts w:hint="eastAsia"/>
          <w:color w:val="auto"/>
          <w:highlight w:val="none"/>
          <w:lang w:val="en-US" w:eastAsia="zh-CN"/>
        </w:rPr>
        <w:t>3-3</w:t>
      </w:r>
      <w:r>
        <w:rPr>
          <w:rFonts w:hint="eastAsia" w:cs="Times New Roman"/>
          <w:color w:val="auto"/>
          <w:highlight w:val="none"/>
        </w:rPr>
        <w:t>）</w:t>
      </w:r>
    </w:p>
    <w:p w14:paraId="7BAD2B72">
      <w:pPr>
        <w:spacing w:line="360" w:lineRule="auto"/>
        <w:ind w:firstLine="630" w:firstLineChars="300"/>
        <w:jc w:val="left"/>
        <w:rPr>
          <w:rFonts w:hint="eastAsia"/>
          <w:color w:val="auto"/>
          <w:highlight w:val="none"/>
          <w:lang w:eastAsia="zh-CN"/>
        </w:rPr>
      </w:pPr>
      <w:r>
        <w:rPr>
          <w:rFonts w:hint="eastAsia" w:cs="Times New Roman"/>
          <w:b w:val="0"/>
          <w:bCs w:val="0"/>
          <w:color w:val="auto"/>
          <w:sz w:val="21"/>
          <w:szCs w:val="21"/>
          <w:highlight w:val="none"/>
          <w:lang w:val="en-US" w:eastAsia="zh-CN"/>
        </w:rPr>
        <w:t>（15）</w:t>
      </w:r>
      <w:r>
        <w:rPr>
          <w:rFonts w:hint="eastAsia" w:cs="Times New Roman"/>
          <w:color w:val="auto"/>
          <w:highlight w:val="none"/>
        </w:rPr>
        <w:t>总承包服</w:t>
      </w:r>
      <w:r>
        <w:rPr>
          <w:rFonts w:hint="eastAsia" w:ascii="Times New Roman" w:hAnsi="Times New Roman" w:eastAsia="宋体" w:cs="Times New Roman"/>
          <w:color w:val="auto"/>
          <w:highlight w:val="none"/>
          <w:lang w:val="en"/>
        </w:rPr>
        <w:t>务费计价表（表</w:t>
      </w:r>
      <w:r>
        <w:rPr>
          <w:rFonts w:hint="eastAsia" w:ascii="Times New Roman" w:hAnsi="Times New Roman" w:eastAsia="宋体" w:cs="Times New Roman"/>
          <w:color w:val="auto"/>
          <w:highlight w:val="none"/>
          <w:lang w:val="en" w:eastAsia="zh-CN"/>
        </w:rPr>
        <w:t>-</w:t>
      </w:r>
      <w:r>
        <w:rPr>
          <w:rFonts w:hint="eastAsia" w:ascii="Times New Roman" w:hAnsi="Times New Roman" w:eastAsia="宋体" w:cs="Times New Roman"/>
          <w:color w:val="auto"/>
          <w:highlight w:val="none"/>
          <w:lang w:val="en"/>
        </w:rPr>
        <w:t>1</w:t>
      </w:r>
      <w:r>
        <w:rPr>
          <w:rFonts w:hint="eastAsia" w:ascii="Times New Roman" w:hAnsi="Times New Roman" w:eastAsia="宋体" w:cs="Times New Roman"/>
          <w:color w:val="auto"/>
          <w:highlight w:val="none"/>
          <w:lang w:val="en-US" w:eastAsia="zh-CN"/>
        </w:rPr>
        <w:t>3-4</w:t>
      </w:r>
      <w:r>
        <w:rPr>
          <w:rFonts w:hint="eastAsia" w:ascii="Times New Roman" w:hAnsi="Times New Roman" w:eastAsia="宋体" w:cs="Times New Roman"/>
          <w:color w:val="auto"/>
          <w:highlight w:val="none"/>
          <w:lang w:val="en"/>
        </w:rPr>
        <w:t>）</w:t>
      </w:r>
    </w:p>
    <w:p w14:paraId="70A243ED">
      <w:pPr>
        <w:spacing w:line="360" w:lineRule="auto"/>
        <w:ind w:firstLine="630" w:firstLineChars="300"/>
        <w:jc w:val="left"/>
        <w:rPr>
          <w:rFonts w:hint="eastAsia" w:ascii="Times New Roman" w:hAnsi="Times New Roman" w:eastAsia="宋体" w:cs="宋体"/>
          <w:color w:val="auto"/>
          <w:highlight w:val="none"/>
          <w:lang w:val="en" w:eastAsia="zh-CN"/>
        </w:rPr>
      </w:pPr>
      <w:r>
        <w:rPr>
          <w:rFonts w:hint="eastAsia"/>
          <w:color w:val="auto"/>
          <w:highlight w:val="none"/>
          <w:lang w:eastAsia="zh-CN"/>
        </w:rPr>
        <w:t>（</w:t>
      </w:r>
      <w:r>
        <w:rPr>
          <w:rFonts w:hint="eastAsia"/>
          <w:color w:val="auto"/>
          <w:highlight w:val="none"/>
          <w:lang w:val="en-US" w:eastAsia="zh-CN"/>
        </w:rPr>
        <w:t>16</w:t>
      </w:r>
      <w:r>
        <w:rPr>
          <w:rFonts w:hint="eastAsia"/>
          <w:color w:val="auto"/>
          <w:highlight w:val="none"/>
          <w:lang w:eastAsia="zh-CN"/>
        </w:rPr>
        <w:t>）</w:t>
      </w:r>
      <w:r>
        <w:rPr>
          <w:rFonts w:hint="default" w:ascii="Times New Roman" w:hAnsi="Times New Roman" w:eastAsia="宋体" w:cs="宋体"/>
          <w:b w:val="0"/>
          <w:color w:val="auto"/>
          <w:sz w:val="21"/>
          <w:szCs w:val="21"/>
          <w:highlight w:val="none"/>
          <w:lang w:val="en"/>
        </w:rPr>
        <w:t>发包人提供材料一览表</w:t>
      </w:r>
      <w:r>
        <w:rPr>
          <w:rFonts w:hint="default" w:ascii="Times New Roman" w:hAnsi="Times New Roman" w:eastAsia="宋体" w:cs="宋体"/>
          <w:color w:val="auto"/>
          <w:highlight w:val="none"/>
          <w:lang w:val="en"/>
        </w:rPr>
        <w:t>（表</w:t>
      </w:r>
      <w:r>
        <w:rPr>
          <w:rFonts w:hint="default" w:ascii="Times New Roman" w:hAnsi="Times New Roman" w:eastAsia="宋体" w:cs="宋体"/>
          <w:color w:val="auto"/>
          <w:highlight w:val="none"/>
          <w:lang w:val="en" w:eastAsia="zh-CN"/>
        </w:rPr>
        <w:t>-</w:t>
      </w:r>
      <w:r>
        <w:rPr>
          <w:rFonts w:hint="eastAsia" w:cs="宋体"/>
          <w:color w:val="auto"/>
          <w:highlight w:val="none"/>
          <w:lang w:val="en-US" w:eastAsia="zh-CN"/>
        </w:rPr>
        <w:t>15</w:t>
      </w:r>
      <w:r>
        <w:rPr>
          <w:rFonts w:hint="default" w:ascii="Times New Roman" w:hAnsi="Times New Roman" w:eastAsia="宋体" w:cs="宋体"/>
          <w:color w:val="auto"/>
          <w:highlight w:val="none"/>
          <w:lang w:val="en"/>
        </w:rPr>
        <w:t>）</w:t>
      </w:r>
    </w:p>
    <w:p w14:paraId="003248AC">
      <w:pPr>
        <w:spacing w:line="360" w:lineRule="auto"/>
        <w:ind w:firstLine="630" w:firstLineChars="300"/>
        <w:jc w:val="left"/>
        <w:rPr>
          <w:rFonts w:ascii="Times New Roman" w:hAnsi="Times New Roman" w:eastAsia="宋体" w:cs="宋体"/>
          <w:color w:val="auto"/>
          <w:highlight w:val="none"/>
          <w:lang w:val="en"/>
        </w:rPr>
      </w:pPr>
      <w:r>
        <w:rPr>
          <w:rFonts w:hint="eastAsia"/>
          <w:color w:val="auto"/>
          <w:highlight w:val="none"/>
          <w:lang w:eastAsia="zh-CN"/>
        </w:rPr>
        <w:t>（</w:t>
      </w:r>
      <w:r>
        <w:rPr>
          <w:rFonts w:hint="eastAsia"/>
          <w:color w:val="auto"/>
          <w:highlight w:val="none"/>
          <w:lang w:val="en-US" w:eastAsia="zh-CN"/>
        </w:rPr>
        <w:t>17</w:t>
      </w:r>
      <w:r>
        <w:rPr>
          <w:rFonts w:hint="eastAsia"/>
          <w:color w:val="auto"/>
          <w:highlight w:val="none"/>
          <w:lang w:eastAsia="zh-CN"/>
        </w:rPr>
        <w:t>）</w:t>
      </w:r>
      <w:r>
        <w:rPr>
          <w:rFonts w:hint="eastAsia" w:ascii="Times New Roman" w:hAnsi="Times New Roman" w:eastAsia="宋体" w:cs="宋体"/>
          <w:color w:val="auto"/>
          <w:highlight w:val="none"/>
          <w:lang w:val="en"/>
        </w:rPr>
        <w:t>允许调整价格的主要材料一览表</w:t>
      </w:r>
      <w:r>
        <w:rPr>
          <w:rFonts w:hint="default" w:ascii="Times New Roman" w:hAnsi="Times New Roman" w:eastAsia="宋体" w:cs="宋体"/>
          <w:color w:val="auto"/>
          <w:highlight w:val="none"/>
          <w:lang w:val="en"/>
        </w:rPr>
        <w:t>（表-</w:t>
      </w:r>
      <w:r>
        <w:rPr>
          <w:rFonts w:hint="default" w:ascii="Times New Roman" w:hAnsi="Times New Roman" w:eastAsia="宋体" w:cs="宋体"/>
          <w:color w:val="auto"/>
          <w:highlight w:val="none"/>
          <w:lang w:val="en" w:eastAsia="zh-CN"/>
        </w:rPr>
        <w:t>19</w:t>
      </w:r>
      <w:r>
        <w:rPr>
          <w:rFonts w:hint="eastAsia" w:ascii="Times New Roman" w:hAnsi="Times New Roman" w:eastAsia="宋体" w:cs="宋体"/>
          <w:color w:val="auto"/>
          <w:highlight w:val="none"/>
          <w:lang w:val="en" w:eastAsia="zh-CN"/>
        </w:rPr>
        <w:t>，</w:t>
      </w:r>
      <w:r>
        <w:rPr>
          <w:rFonts w:hint="eastAsia" w:ascii="Times New Roman" w:hAnsi="Times New Roman" w:eastAsia="宋体" w:cs="宋体"/>
          <w:color w:val="auto"/>
          <w:highlight w:val="none"/>
          <w:lang w:val="en-US" w:eastAsia="zh-CN"/>
        </w:rPr>
        <w:t>适用于单价合同</w:t>
      </w:r>
      <w:r>
        <w:rPr>
          <w:rFonts w:hint="default" w:ascii="Times New Roman" w:hAnsi="Times New Roman" w:eastAsia="宋体" w:cs="宋体"/>
          <w:color w:val="auto"/>
          <w:highlight w:val="none"/>
          <w:lang w:val="en"/>
        </w:rPr>
        <w:t>）</w:t>
      </w:r>
    </w:p>
    <w:p w14:paraId="3D186BE9">
      <w:pPr>
        <w:spacing w:line="360" w:lineRule="auto"/>
        <w:ind w:firstLine="630" w:firstLineChars="300"/>
        <w:jc w:val="left"/>
        <w:rPr>
          <w:rFonts w:hint="default" w:ascii="Times New Roman" w:hAnsi="Times New Roman" w:eastAsia="宋体" w:cs="宋体"/>
          <w:color w:val="auto"/>
          <w:highlight w:val="none"/>
          <w:lang w:val="en"/>
        </w:rPr>
      </w:pPr>
      <w:r>
        <w:rPr>
          <w:rFonts w:hint="eastAsia"/>
          <w:color w:val="auto"/>
          <w:highlight w:val="none"/>
          <w:lang w:eastAsia="zh-CN"/>
        </w:rPr>
        <w:t>（</w:t>
      </w:r>
      <w:r>
        <w:rPr>
          <w:rFonts w:hint="eastAsia"/>
          <w:color w:val="auto"/>
          <w:highlight w:val="none"/>
          <w:lang w:val="en-US" w:eastAsia="zh-CN"/>
        </w:rPr>
        <w:t>18</w:t>
      </w:r>
      <w:r>
        <w:rPr>
          <w:rFonts w:hint="eastAsia"/>
          <w:color w:val="auto"/>
          <w:highlight w:val="none"/>
          <w:lang w:eastAsia="zh-CN"/>
        </w:rPr>
        <w:t>）</w:t>
      </w:r>
      <w:r>
        <w:rPr>
          <w:rFonts w:hint="eastAsia" w:ascii="Times New Roman" w:hAnsi="Times New Roman" w:eastAsia="宋体" w:cs="宋体"/>
          <w:color w:val="auto"/>
          <w:highlight w:val="none"/>
          <w:lang w:eastAsia="zh-CN"/>
        </w:rPr>
        <w:t>人工及主要材料可调因子价格指数及</w:t>
      </w:r>
      <w:r>
        <w:rPr>
          <w:rFonts w:hint="eastAsia" w:ascii="Times New Roman" w:hAnsi="Times New Roman" w:eastAsia="宋体" w:cs="宋体"/>
          <w:color w:val="auto"/>
          <w:highlight w:val="none"/>
        </w:rPr>
        <w:t>权重表</w:t>
      </w:r>
      <w:r>
        <w:rPr>
          <w:rFonts w:hint="default" w:ascii="Times New Roman" w:hAnsi="Times New Roman" w:eastAsia="宋体" w:cs="宋体"/>
          <w:color w:val="auto"/>
          <w:highlight w:val="none"/>
          <w:lang w:val="en"/>
        </w:rPr>
        <w:t>（表</w:t>
      </w:r>
      <w:r>
        <w:rPr>
          <w:rFonts w:hint="eastAsia" w:ascii="Times New Roman" w:hAnsi="Times New Roman" w:eastAsia="宋体" w:cs="宋体"/>
          <w:color w:val="auto"/>
          <w:highlight w:val="none"/>
          <w:lang w:val="en"/>
        </w:rPr>
        <w:t>-2</w:t>
      </w:r>
      <w:r>
        <w:rPr>
          <w:rFonts w:hint="default" w:ascii="Times New Roman" w:hAnsi="Times New Roman" w:eastAsia="宋体" w:cs="宋体"/>
          <w:color w:val="auto"/>
          <w:highlight w:val="none"/>
          <w:lang w:val="en" w:eastAsia="zh-CN"/>
        </w:rPr>
        <w:t>0</w:t>
      </w:r>
      <w:r>
        <w:rPr>
          <w:rFonts w:hint="eastAsia" w:ascii="Times New Roman" w:hAnsi="Times New Roman" w:eastAsia="宋体" w:cs="宋体"/>
          <w:color w:val="auto"/>
          <w:highlight w:val="none"/>
          <w:lang w:val="en" w:eastAsia="zh-CN"/>
        </w:rPr>
        <w:t>，</w:t>
      </w:r>
      <w:r>
        <w:rPr>
          <w:rFonts w:hint="eastAsia" w:ascii="Times New Roman" w:hAnsi="Times New Roman" w:eastAsia="宋体" w:cs="宋体"/>
          <w:color w:val="auto"/>
          <w:highlight w:val="none"/>
          <w:lang w:val="en-US" w:eastAsia="zh-CN"/>
        </w:rPr>
        <w:t>适用于总价合同</w:t>
      </w:r>
      <w:r>
        <w:rPr>
          <w:rFonts w:hint="default" w:ascii="Times New Roman" w:hAnsi="Times New Roman" w:eastAsia="宋体" w:cs="宋体"/>
          <w:color w:val="auto"/>
          <w:highlight w:val="none"/>
          <w:lang w:val="en"/>
        </w:rPr>
        <w:t>）</w:t>
      </w:r>
    </w:p>
    <w:p w14:paraId="14E73DD2">
      <w:pPr>
        <w:spacing w:line="360" w:lineRule="auto"/>
        <w:ind w:firstLine="420" w:firstLineChars="200"/>
        <w:rPr>
          <w:rFonts w:cs="宋体"/>
          <w:color w:val="auto"/>
          <w:highlight w:val="none"/>
        </w:rPr>
      </w:pPr>
      <w:r>
        <w:rPr>
          <w:rFonts w:hint="eastAsia" w:cs="宋体"/>
          <w:color w:val="auto"/>
          <w:highlight w:val="none"/>
        </w:rPr>
        <w:t>注：以</w:t>
      </w:r>
      <w:r>
        <w:rPr>
          <w:rFonts w:hint="eastAsia" w:cs="宋体"/>
          <w:color w:val="auto"/>
          <w:highlight w:val="none"/>
          <w:lang w:val="en-US" w:eastAsia="zh-CN"/>
        </w:rPr>
        <w:t>上</w:t>
      </w:r>
      <w:r>
        <w:rPr>
          <w:rFonts w:hint="eastAsia" w:cs="宋体"/>
          <w:color w:val="auto"/>
          <w:highlight w:val="none"/>
          <w:lang w:eastAsia="zh-CN"/>
        </w:rPr>
        <w:t>（</w:t>
      </w:r>
      <w:r>
        <w:rPr>
          <w:rFonts w:hint="eastAsia" w:cs="宋体"/>
          <w:color w:val="auto"/>
          <w:highlight w:val="none"/>
          <w:lang w:val="en-US" w:eastAsia="zh-CN"/>
        </w:rPr>
        <w:t>12</w:t>
      </w:r>
      <w:r>
        <w:rPr>
          <w:rFonts w:hint="eastAsia" w:cs="宋体"/>
          <w:color w:val="auto"/>
          <w:highlight w:val="none"/>
          <w:lang w:eastAsia="zh-CN"/>
        </w:rPr>
        <w:t>）（</w:t>
      </w:r>
      <w:r>
        <w:rPr>
          <w:rFonts w:hint="eastAsia" w:cs="宋体"/>
          <w:color w:val="auto"/>
          <w:highlight w:val="none"/>
          <w:lang w:val="en-US" w:eastAsia="zh-CN"/>
        </w:rPr>
        <w:t>13</w:t>
      </w:r>
      <w:r>
        <w:rPr>
          <w:rFonts w:hint="eastAsia" w:cs="宋体"/>
          <w:color w:val="auto"/>
          <w:highlight w:val="none"/>
          <w:lang w:eastAsia="zh-CN"/>
        </w:rPr>
        <w:t>）（</w:t>
      </w:r>
      <w:r>
        <w:rPr>
          <w:rFonts w:hint="eastAsia" w:cs="宋体"/>
          <w:color w:val="auto"/>
          <w:highlight w:val="none"/>
          <w:lang w:val="en-US" w:eastAsia="zh-CN"/>
        </w:rPr>
        <w:t>14</w:t>
      </w:r>
      <w:r>
        <w:rPr>
          <w:rFonts w:hint="eastAsia" w:cs="宋体"/>
          <w:color w:val="auto"/>
          <w:highlight w:val="none"/>
          <w:lang w:eastAsia="zh-CN"/>
        </w:rPr>
        <w:t>）（</w:t>
      </w:r>
      <w:r>
        <w:rPr>
          <w:rFonts w:hint="eastAsia" w:cs="宋体"/>
          <w:color w:val="auto"/>
          <w:highlight w:val="none"/>
          <w:lang w:val="en-US" w:eastAsia="zh-CN"/>
        </w:rPr>
        <w:t>15</w:t>
      </w:r>
      <w:r>
        <w:rPr>
          <w:rFonts w:hint="eastAsia" w:cs="宋体"/>
          <w:color w:val="auto"/>
          <w:highlight w:val="none"/>
          <w:lang w:eastAsia="zh-CN"/>
        </w:rPr>
        <w:t>）（</w:t>
      </w:r>
      <w:r>
        <w:rPr>
          <w:rFonts w:hint="eastAsia" w:cs="宋体"/>
          <w:color w:val="auto"/>
          <w:highlight w:val="none"/>
          <w:lang w:val="en-US" w:eastAsia="zh-CN"/>
        </w:rPr>
        <w:t>16</w:t>
      </w:r>
      <w:r>
        <w:rPr>
          <w:rFonts w:hint="eastAsia" w:cs="宋体"/>
          <w:color w:val="auto"/>
          <w:highlight w:val="none"/>
          <w:lang w:eastAsia="zh-CN"/>
        </w:rPr>
        <w:t>）（</w:t>
      </w:r>
      <w:r>
        <w:rPr>
          <w:rFonts w:hint="eastAsia" w:cs="宋体"/>
          <w:color w:val="auto"/>
          <w:highlight w:val="none"/>
          <w:lang w:val="en-US" w:eastAsia="zh-CN"/>
        </w:rPr>
        <w:t>17</w:t>
      </w:r>
      <w:r>
        <w:rPr>
          <w:rFonts w:hint="eastAsia" w:cs="宋体"/>
          <w:color w:val="auto"/>
          <w:highlight w:val="none"/>
          <w:lang w:eastAsia="zh-CN"/>
        </w:rPr>
        <w:t>）（</w:t>
      </w:r>
      <w:r>
        <w:rPr>
          <w:rFonts w:hint="eastAsia" w:cs="宋体"/>
          <w:color w:val="auto"/>
          <w:highlight w:val="none"/>
          <w:lang w:val="en-US" w:eastAsia="zh-CN"/>
        </w:rPr>
        <w:t>18</w:t>
      </w:r>
      <w:r>
        <w:rPr>
          <w:rFonts w:hint="eastAsia" w:cs="宋体"/>
          <w:color w:val="auto"/>
          <w:highlight w:val="none"/>
          <w:lang w:eastAsia="zh-CN"/>
        </w:rPr>
        <w:t>）</w:t>
      </w:r>
      <w:r>
        <w:rPr>
          <w:rFonts w:hint="eastAsia" w:ascii="Times New Roman" w:hAnsi="Times New Roman" w:cs="Times New Roman"/>
          <w:color w:val="auto"/>
          <w:szCs w:val="21"/>
          <w:highlight w:val="none"/>
          <w:lang w:eastAsia="zh-CN"/>
        </w:rPr>
        <w:t>为非必须提供表格，根据招标</w:t>
      </w:r>
      <w:r>
        <w:rPr>
          <w:rFonts w:hint="default" w:ascii="Times New Roman" w:hAnsi="Times New Roman" w:cs="Times New Roman"/>
          <w:color w:val="auto"/>
          <w:szCs w:val="21"/>
          <w:highlight w:val="none"/>
        </w:rPr>
        <w:t>工程</w:t>
      </w:r>
      <w:r>
        <w:rPr>
          <w:rFonts w:hint="eastAsia" w:ascii="Times New Roman" w:hAnsi="Times New Roman" w:cs="Times New Roman"/>
          <w:color w:val="auto"/>
          <w:szCs w:val="21"/>
          <w:highlight w:val="none"/>
          <w:lang w:eastAsia="zh-CN"/>
        </w:rPr>
        <w:t>量清单要求</w:t>
      </w:r>
      <w:r>
        <w:rPr>
          <w:rFonts w:hint="default" w:ascii="Times New Roman" w:hAnsi="Times New Roman" w:cs="Times New Roman"/>
          <w:color w:val="auto"/>
          <w:szCs w:val="21"/>
          <w:highlight w:val="none"/>
        </w:rPr>
        <w:t>选用。</w:t>
      </w:r>
    </w:p>
    <w:bookmarkEnd w:id="1998"/>
    <w:p w14:paraId="69D546CE">
      <w:pPr>
        <w:spacing w:line="360" w:lineRule="auto"/>
        <w:ind w:firstLine="945" w:firstLineChars="450"/>
        <w:rPr>
          <w:rFonts w:cs="宋体"/>
          <w:color w:val="auto"/>
          <w:highlight w:val="none"/>
        </w:rPr>
      </w:pPr>
    </w:p>
    <w:p w14:paraId="3F292F0A">
      <w:pPr>
        <w:pStyle w:val="136"/>
        <w:ind w:firstLine="422"/>
        <w:jc w:val="center"/>
        <w:outlineLvl w:val="0"/>
        <w:rPr>
          <w:rFonts w:hint="eastAsia"/>
          <w:color w:val="auto"/>
          <w:highlight w:val="none"/>
        </w:rPr>
      </w:pPr>
      <w:r>
        <w:rPr>
          <w:rFonts w:hint="eastAsia" w:cs="宋体"/>
          <w:b/>
          <w:bCs/>
          <w:color w:val="auto"/>
          <w:sz w:val="24"/>
          <w:szCs w:val="24"/>
          <w:highlight w:val="none"/>
          <w:lang w:val="en-US" w:eastAsia="zh-CN"/>
        </w:rPr>
        <w:t>四</w:t>
      </w:r>
      <w:r>
        <w:rPr>
          <w:rFonts w:hint="eastAsia" w:cs="宋体"/>
          <w:b/>
          <w:bCs/>
          <w:color w:val="auto"/>
          <w:sz w:val="24"/>
          <w:szCs w:val="24"/>
          <w:highlight w:val="none"/>
        </w:rPr>
        <w:t>、建筑材料和设备节能环保要求承诺书（政府采购工程项目须提供）</w:t>
      </w:r>
    </w:p>
    <w:p w14:paraId="740642A4">
      <w:pPr>
        <w:spacing w:line="520" w:lineRule="exact"/>
        <w:ind w:left="-10" w:firstLine="455" w:firstLineChars="217"/>
        <w:jc w:val="left"/>
        <w:rPr>
          <w:rFonts w:hint="eastAsia"/>
          <w:color w:val="auto"/>
          <w:highlight w:val="none"/>
        </w:rPr>
      </w:pPr>
      <w:r>
        <w:rPr>
          <w:rFonts w:hint="eastAsia"/>
          <w:color w:val="auto"/>
          <w:highlight w:val="none"/>
        </w:rPr>
        <w:t>我方承诺，一旦中标，我方保证严格执行</w:t>
      </w:r>
      <w:r>
        <w:rPr>
          <w:rFonts w:hint="eastAsia" w:cs="宋体"/>
          <w:color w:val="auto"/>
          <w:highlight w:val="none"/>
        </w:rPr>
        <w:t>《</w:t>
      </w:r>
      <w:r>
        <w:rPr>
          <w:rFonts w:hint="eastAsia" w:ascii="宋体" w:hAnsi="宋体"/>
          <w:color w:val="auto"/>
          <w:highlight w:val="none"/>
        </w:rPr>
        <w:t>财政部 国家发展改革委关于印发《节能产品政府采购实施意见》的通知</w:t>
      </w:r>
      <w:r>
        <w:rPr>
          <w:rFonts w:hint="eastAsia" w:cs="宋体"/>
          <w:color w:val="auto"/>
          <w:highlight w:val="none"/>
        </w:rPr>
        <w:t>》</w:t>
      </w:r>
      <w:r>
        <w:rPr>
          <w:rFonts w:hint="eastAsia" w:ascii="宋体" w:hAnsi="宋体"/>
          <w:color w:val="auto"/>
          <w:highlight w:val="none"/>
        </w:rPr>
        <w:t>（财库〔2004〕185号）、</w:t>
      </w:r>
      <w:r>
        <w:rPr>
          <w:rFonts w:hint="eastAsia" w:cs="宋体"/>
          <w:color w:val="auto"/>
          <w:highlight w:val="none"/>
        </w:rPr>
        <w:t>《财政部 发展改革委 生态环境部 市场监管总局关于调整优化节能产品、环境标志产品政府采购执行机制的通知》（财库〔2019〕9号）和《关于印发节能产品政府采购品目清单的通知》（财库〔2019〕19号）的规定，所有工程中涉及的建筑材料和设备如属于财库〔2019〕19号文中《节能产品政府采购品目清单》内标注</w:t>
      </w:r>
      <w:r>
        <w:rPr>
          <w:rFonts w:hint="eastAsia" w:cs="宋体"/>
          <w:color w:val="auto"/>
          <w:highlight w:val="none"/>
          <w:lang w:eastAsia="zh-CN"/>
        </w:rPr>
        <w:t>“</w:t>
      </w:r>
      <w:r>
        <w:rPr>
          <w:rFonts w:hint="eastAsia" w:cs="宋体"/>
          <w:color w:val="auto"/>
          <w:highlight w:val="none"/>
        </w:rPr>
        <w:t>★</w:t>
      </w:r>
      <w:r>
        <w:rPr>
          <w:rFonts w:hint="eastAsia" w:cs="宋体"/>
          <w:color w:val="auto"/>
          <w:highlight w:val="none"/>
          <w:lang w:eastAsia="zh-CN"/>
        </w:rPr>
        <w:t>”</w:t>
      </w:r>
      <w:r>
        <w:rPr>
          <w:rFonts w:hint="eastAsia" w:cs="宋体"/>
          <w:color w:val="auto"/>
          <w:highlight w:val="none"/>
        </w:rPr>
        <w:t>的产品，都使用政府强制采购的节能产品。</w:t>
      </w:r>
      <w:r>
        <w:rPr>
          <w:color w:val="auto"/>
          <w:highlight w:val="none"/>
        </w:rPr>
        <w:t>如我方在该项目的承包中出现未按规定执行的情形，我方愿意按照相关规定接受建设单位及有关主管部门的处罚。</w:t>
      </w:r>
    </w:p>
    <w:p w14:paraId="3A7316E4">
      <w:pPr>
        <w:spacing w:line="520" w:lineRule="exact"/>
        <w:ind w:left="-10" w:firstLine="455" w:firstLineChars="217"/>
        <w:jc w:val="left"/>
        <w:rPr>
          <w:rFonts w:hint="eastAsia"/>
          <w:color w:val="auto"/>
          <w:highlight w:val="none"/>
        </w:rPr>
      </w:pPr>
      <w:r>
        <w:rPr>
          <w:rFonts w:hint="eastAsia"/>
          <w:color w:val="auto"/>
          <w:highlight w:val="none"/>
        </w:rPr>
        <w:t>备注：附拟投标的政府强制采购的节能产品认证证书原件扫描件（如有）</w:t>
      </w:r>
    </w:p>
    <w:p w14:paraId="306E344D">
      <w:pPr>
        <w:spacing w:line="520" w:lineRule="exact"/>
        <w:ind w:left="-10" w:firstLine="455" w:firstLineChars="217"/>
        <w:jc w:val="left"/>
        <w:rPr>
          <w:rFonts w:hint="eastAsia"/>
          <w:color w:val="auto"/>
          <w:highlight w:val="none"/>
        </w:rPr>
      </w:pPr>
    </w:p>
    <w:p w14:paraId="68450C56">
      <w:pPr>
        <w:spacing w:line="520" w:lineRule="exact"/>
        <w:ind w:left="-10" w:firstLine="455" w:firstLineChars="217"/>
        <w:jc w:val="left"/>
        <w:rPr>
          <w:rFonts w:hint="eastAsia"/>
          <w:color w:val="auto"/>
          <w:highlight w:val="none"/>
        </w:rPr>
      </w:pPr>
    </w:p>
    <w:p w14:paraId="0B259463">
      <w:pPr>
        <w:tabs>
          <w:tab w:val="left" w:pos="4860"/>
        </w:tabs>
        <w:spacing w:line="360" w:lineRule="auto"/>
        <w:ind w:right="1560" w:firstLine="444" w:firstLineChars="200"/>
        <w:contextualSpacing/>
        <w:jc w:val="right"/>
        <w:rPr>
          <w:rFonts w:hint="eastAsia" w:ascii="宋体" w:hAnsi="宋体"/>
          <w:color w:val="auto"/>
          <w:spacing w:val="6"/>
          <w:highlight w:val="none"/>
        </w:rPr>
      </w:pPr>
      <w:r>
        <w:rPr>
          <w:rFonts w:hint="eastAsia" w:ascii="宋体" w:hAnsi="宋体"/>
          <w:color w:val="auto"/>
          <w:spacing w:val="6"/>
          <w:highlight w:val="none"/>
          <w:lang w:val="en-US" w:eastAsia="zh-CN"/>
        </w:rPr>
        <w:t xml:space="preserve">  </w:t>
      </w:r>
      <w:r>
        <w:rPr>
          <w:rFonts w:hint="eastAsia" w:ascii="宋体" w:hAnsi="宋体"/>
          <w:color w:val="auto"/>
          <w:spacing w:val="6"/>
          <w:highlight w:val="none"/>
        </w:rPr>
        <w:t xml:space="preserve">      </w:t>
      </w:r>
      <w:r>
        <w:rPr>
          <w:rFonts w:hint="eastAsia" w:ascii="宋体" w:hAnsi="宋体"/>
          <w:color w:val="auto"/>
          <w:spacing w:val="6"/>
          <w:highlight w:val="none"/>
          <w:lang w:val="en-US" w:eastAsia="zh-CN"/>
        </w:rPr>
        <w:t xml:space="preserve"> </w:t>
      </w:r>
      <w:r>
        <w:rPr>
          <w:rFonts w:hint="eastAsia" w:ascii="宋体" w:hAnsi="宋体"/>
          <w:color w:val="auto"/>
          <w:spacing w:val="6"/>
          <w:highlight w:val="none"/>
        </w:rPr>
        <w:t xml:space="preserve">               单位名称（盖法人单位电子印章）：</w:t>
      </w:r>
    </w:p>
    <w:p w14:paraId="66D02611">
      <w:pPr>
        <w:ind w:firstLine="444" w:firstLineChars="200"/>
        <w:jc w:val="right"/>
        <w:rPr>
          <w:rFonts w:hint="eastAsia" w:ascii="宋体" w:hAnsi="宋体"/>
          <w:color w:val="auto"/>
          <w:spacing w:val="6"/>
          <w:highlight w:val="none"/>
        </w:rPr>
      </w:pPr>
      <w:r>
        <w:rPr>
          <w:rFonts w:hint="eastAsia" w:ascii="宋体" w:hAnsi="宋体"/>
          <w:color w:val="auto"/>
          <w:spacing w:val="6"/>
          <w:highlight w:val="none"/>
        </w:rPr>
        <w:t xml:space="preserve">                                     日  期：</w:t>
      </w:r>
    </w:p>
    <w:p w14:paraId="5D46AD49">
      <w:pPr>
        <w:spacing w:line="520" w:lineRule="exact"/>
        <w:ind w:left="-10" w:firstLine="455" w:firstLineChars="217"/>
        <w:jc w:val="left"/>
        <w:rPr>
          <w:rFonts w:hint="eastAsia"/>
          <w:color w:val="auto"/>
          <w:highlight w:val="none"/>
        </w:rPr>
      </w:pPr>
    </w:p>
    <w:p w14:paraId="1A1171EA">
      <w:pPr>
        <w:pStyle w:val="136"/>
        <w:ind w:firstLine="422"/>
        <w:jc w:val="center"/>
        <w:outlineLvl w:val="0"/>
        <w:rPr>
          <w:rFonts w:hint="eastAsia" w:cs="宋体"/>
          <w:b/>
          <w:bCs/>
          <w:color w:val="auto"/>
          <w:sz w:val="24"/>
          <w:szCs w:val="24"/>
          <w:highlight w:val="none"/>
        </w:rPr>
      </w:pPr>
      <w:r>
        <w:rPr>
          <w:rFonts w:hint="eastAsia" w:cs="宋体"/>
          <w:b/>
          <w:bCs/>
          <w:color w:val="auto"/>
          <w:sz w:val="24"/>
          <w:szCs w:val="24"/>
          <w:highlight w:val="none"/>
          <w:lang w:val="en-US" w:eastAsia="zh-CN"/>
        </w:rPr>
        <w:t>五</w:t>
      </w:r>
      <w:r>
        <w:rPr>
          <w:rFonts w:hint="eastAsia" w:cs="宋体"/>
          <w:b/>
          <w:bCs/>
          <w:color w:val="auto"/>
          <w:sz w:val="24"/>
          <w:szCs w:val="24"/>
          <w:highlight w:val="none"/>
        </w:rPr>
        <w:t>、《中小企业声明函》或者《残疾人福利性单位声明函》或者省级以上监狱管理局、戒毒管理局（含新疆生产建设兵团）出具的属于监狱企业的证明文件扫描件（如有）</w:t>
      </w:r>
    </w:p>
    <w:p w14:paraId="391C52A3">
      <w:pPr>
        <w:pStyle w:val="37"/>
        <w:snapToGrid w:val="0"/>
        <w:spacing w:line="300" w:lineRule="auto"/>
        <w:jc w:val="center"/>
        <w:rPr>
          <w:rFonts w:cs="黑体"/>
          <w:b/>
          <w:snapToGrid w:val="0"/>
          <w:color w:val="auto"/>
          <w:highlight w:val="none"/>
        </w:rPr>
      </w:pPr>
      <w:r>
        <w:rPr>
          <w:rFonts w:hint="eastAsia" w:cs="黑体"/>
          <w:b/>
          <w:snapToGrid w:val="0"/>
          <w:color w:val="auto"/>
          <w:highlight w:val="none"/>
        </w:rPr>
        <w:t>中小企业声明函（工程）</w:t>
      </w:r>
    </w:p>
    <w:p w14:paraId="607F8D83">
      <w:pPr>
        <w:spacing w:line="360" w:lineRule="auto"/>
        <w:ind w:firstLine="42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本公司（联合体）郑重声明，根据《政府采购促进中小企业发展管理办法》（财库﹝</w:t>
      </w:r>
      <w:r>
        <w:rPr>
          <w:rFonts w:ascii="Times New Roman" w:hAnsi="Times New Roman" w:eastAsia="宋体" w:cs="Times New Roman"/>
          <w:bCs/>
          <w:color w:val="auto"/>
          <w:highlight w:val="none"/>
        </w:rPr>
        <w:t>2020</w:t>
      </w:r>
      <w:r>
        <w:rPr>
          <w:rFonts w:hint="default" w:ascii="Times New Roman" w:hAnsi="Times New Roman" w:eastAsia="宋体" w:cs="Times New Roman"/>
          <w:bCs/>
          <w:color w:val="auto"/>
          <w:highlight w:val="none"/>
        </w:rPr>
        <w:t>﹞</w:t>
      </w:r>
      <w:r>
        <w:rPr>
          <w:rFonts w:ascii="Times New Roman" w:hAnsi="Times New Roman" w:eastAsia="宋体" w:cs="Times New Roman"/>
          <w:bCs/>
          <w:color w:val="auto"/>
          <w:highlight w:val="none"/>
        </w:rPr>
        <w:t xml:space="preserve">46 </w:t>
      </w:r>
      <w:r>
        <w:rPr>
          <w:rFonts w:hint="default" w:ascii="Times New Roman" w:hAnsi="Times New Roman" w:eastAsia="宋体" w:cs="Times New Roman"/>
          <w:bCs/>
          <w:color w:val="auto"/>
          <w:highlight w:val="none"/>
        </w:rPr>
        <w:t>号）的规定，本公司（联合体）参加</w:t>
      </w:r>
      <w:r>
        <w:rPr>
          <w:rFonts w:hint="default" w:ascii="Times New Roman" w:hAnsi="Times New Roman" w:eastAsia="宋体" w:cs="Times New Roman"/>
          <w:bCs/>
          <w:color w:val="auto"/>
          <w:highlight w:val="none"/>
          <w:u w:val="none"/>
        </w:rPr>
        <w:t>（单位名称）</w:t>
      </w:r>
      <w:r>
        <w:rPr>
          <w:rFonts w:hint="default" w:ascii="Times New Roman" w:hAnsi="Times New Roman" w:eastAsia="宋体" w:cs="Times New Roman"/>
          <w:bCs/>
          <w:color w:val="auto"/>
          <w:highlight w:val="none"/>
        </w:rPr>
        <w:t>的</w:t>
      </w:r>
      <w:r>
        <w:rPr>
          <w:rFonts w:hint="eastAsia" w:cs="Times New Roman"/>
          <w:bCs/>
          <w:color w:val="auto"/>
          <w:highlight w:val="none"/>
          <w:u w:val="none"/>
          <w:lang w:eastAsia="zh-CN"/>
        </w:rPr>
        <w:t>广西警察学院长湖校区3号学员公寓楼改造工程（重）</w:t>
      </w:r>
      <w:r>
        <w:rPr>
          <w:rFonts w:hint="default" w:ascii="Times New Roman" w:hAnsi="Times New Roman" w:eastAsia="宋体" w:cs="Times New Roman"/>
          <w:bCs/>
          <w:color w:val="auto"/>
          <w:highlight w:val="none"/>
        </w:rPr>
        <w:t>采购活动，工程的施工单位全部为符合政策要求的中小企业。相关企业（含联合体中的中小企业、签订分包意向协议的中小企业）的具体情况如下：</w:t>
      </w:r>
    </w:p>
    <w:p w14:paraId="7C454301">
      <w:pPr>
        <w:spacing w:line="360" w:lineRule="auto"/>
        <w:ind w:firstLine="420"/>
        <w:rPr>
          <w:bCs/>
          <w:color w:val="auto"/>
          <w:highlight w:val="none"/>
        </w:rPr>
      </w:pPr>
      <w:r>
        <w:rPr>
          <w:bCs/>
          <w:color w:val="auto"/>
          <w:highlight w:val="none"/>
        </w:rPr>
        <w:t>1.</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w:t>
      </w:r>
      <w:r>
        <w:rPr>
          <w:rFonts w:hint="eastAsia"/>
          <w:bCs/>
          <w:color w:val="auto"/>
          <w:highlight w:val="none"/>
          <w:u w:val="single"/>
          <w:lang w:eastAsia="zh-CN"/>
        </w:rPr>
        <w:t>“</w:t>
      </w:r>
      <w:r>
        <w:rPr>
          <w:rFonts w:hint="eastAsia"/>
          <w:bCs/>
          <w:color w:val="auto"/>
          <w:highlight w:val="none"/>
          <w:u w:val="single"/>
        </w:rPr>
        <w:t>投标人须知前附表</w:t>
      </w:r>
      <w:r>
        <w:rPr>
          <w:rFonts w:hint="eastAsia"/>
          <w:bCs/>
          <w:color w:val="auto"/>
          <w:highlight w:val="none"/>
          <w:u w:val="single"/>
          <w:lang w:eastAsia="zh-CN"/>
        </w:rPr>
        <w:t>”</w:t>
      </w:r>
      <w:r>
        <w:rPr>
          <w:bCs/>
          <w:color w:val="auto"/>
          <w:highlight w:val="none"/>
          <w:u w:val="single"/>
        </w:rPr>
        <w:t>10.1</w:t>
      </w:r>
      <w:r>
        <w:rPr>
          <w:rFonts w:hint="eastAsia"/>
          <w:bCs/>
          <w:color w:val="auto"/>
          <w:highlight w:val="none"/>
          <w:u w:val="single"/>
          <w:lang w:val="en-US" w:eastAsia="zh-CN"/>
        </w:rPr>
        <w:t>1</w:t>
      </w:r>
      <w:r>
        <w:rPr>
          <w:rFonts w:hint="eastAsia"/>
          <w:bCs/>
          <w:color w:val="auto"/>
          <w:highlight w:val="none"/>
          <w:u w:val="single"/>
        </w:rPr>
        <w:t>中明确的所属行业）</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4DE144C1">
      <w:pPr>
        <w:spacing w:line="360" w:lineRule="auto"/>
        <w:ind w:firstLine="420"/>
        <w:rPr>
          <w:bCs/>
          <w:color w:val="auto"/>
          <w:highlight w:val="none"/>
        </w:rPr>
      </w:pPr>
      <w:r>
        <w:rPr>
          <w:bCs/>
          <w:color w:val="auto"/>
          <w:highlight w:val="none"/>
        </w:rPr>
        <w:t>2.</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w:t>
      </w:r>
      <w:r>
        <w:rPr>
          <w:rFonts w:hint="eastAsia"/>
          <w:bCs/>
          <w:color w:val="auto"/>
          <w:highlight w:val="none"/>
          <w:u w:val="single"/>
          <w:lang w:eastAsia="zh-CN"/>
        </w:rPr>
        <w:t>“</w:t>
      </w:r>
      <w:r>
        <w:rPr>
          <w:rFonts w:hint="eastAsia"/>
          <w:bCs/>
          <w:color w:val="auto"/>
          <w:highlight w:val="none"/>
          <w:u w:val="single"/>
        </w:rPr>
        <w:t>投标人须知前附表</w:t>
      </w:r>
      <w:r>
        <w:rPr>
          <w:rFonts w:hint="eastAsia"/>
          <w:bCs/>
          <w:color w:val="auto"/>
          <w:highlight w:val="none"/>
          <w:u w:val="single"/>
          <w:lang w:eastAsia="zh-CN"/>
        </w:rPr>
        <w:t>”</w:t>
      </w:r>
      <w:r>
        <w:rPr>
          <w:bCs/>
          <w:color w:val="auto"/>
          <w:highlight w:val="none"/>
          <w:u w:val="single"/>
        </w:rPr>
        <w:t>10.1</w:t>
      </w:r>
      <w:r>
        <w:rPr>
          <w:rFonts w:hint="eastAsia"/>
          <w:bCs/>
          <w:color w:val="auto"/>
          <w:highlight w:val="none"/>
          <w:u w:val="single"/>
          <w:lang w:val="en-US" w:eastAsia="zh-CN"/>
        </w:rPr>
        <w:t>1</w:t>
      </w:r>
      <w:r>
        <w:rPr>
          <w:rFonts w:hint="eastAsia"/>
          <w:bCs/>
          <w:color w:val="auto"/>
          <w:highlight w:val="none"/>
          <w:u w:val="single"/>
        </w:rPr>
        <w:t>中明确的所属行业）</w:t>
      </w:r>
      <w:r>
        <w:rPr>
          <w:rFonts w:hint="eastAsia"/>
          <w:bCs/>
          <w:color w:val="auto"/>
          <w:highlight w:val="none"/>
        </w:rPr>
        <w:t>行业；承建企业为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58DB20D4">
      <w:pPr>
        <w:spacing w:line="360" w:lineRule="auto"/>
        <w:ind w:firstLine="420"/>
        <w:rPr>
          <w:bCs/>
          <w:color w:val="auto"/>
          <w:highlight w:val="none"/>
        </w:rPr>
      </w:pPr>
      <w:r>
        <w:rPr>
          <w:rFonts w:hint="eastAsia"/>
          <w:bCs/>
          <w:color w:val="auto"/>
          <w:highlight w:val="none"/>
        </w:rPr>
        <w:t>……</w:t>
      </w:r>
    </w:p>
    <w:p w14:paraId="28AB0954">
      <w:pPr>
        <w:spacing w:line="360" w:lineRule="auto"/>
        <w:ind w:firstLine="42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7C78AC3E">
      <w:pPr>
        <w:spacing w:line="360" w:lineRule="auto"/>
        <w:ind w:firstLine="420"/>
        <w:rPr>
          <w:bCs/>
          <w:color w:val="auto"/>
          <w:highlight w:val="none"/>
        </w:rPr>
      </w:pPr>
      <w:r>
        <w:rPr>
          <w:rFonts w:hint="eastAsia"/>
          <w:bCs/>
          <w:color w:val="auto"/>
          <w:highlight w:val="none"/>
        </w:rPr>
        <w:t>本企业对上述声明内容的真实性负责。如有虚假，将依法承担相应责任。</w:t>
      </w:r>
    </w:p>
    <w:p w14:paraId="58D627D4">
      <w:pPr>
        <w:spacing w:line="360" w:lineRule="auto"/>
        <w:ind w:firstLine="3150" w:firstLineChars="1500"/>
        <w:rPr>
          <w:bCs/>
          <w:color w:val="auto"/>
          <w:highlight w:val="none"/>
        </w:rPr>
      </w:pPr>
      <w:r>
        <w:rPr>
          <w:rFonts w:hint="eastAsia"/>
          <w:bCs/>
          <w:color w:val="auto"/>
          <w:highlight w:val="none"/>
        </w:rPr>
        <w:t>企业名称（</w:t>
      </w:r>
      <w:r>
        <w:rPr>
          <w:rFonts w:hint="eastAsia" w:ascii="宋体" w:hAnsi="宋体"/>
          <w:color w:val="auto"/>
          <w:spacing w:val="6"/>
          <w:highlight w:val="none"/>
        </w:rPr>
        <w:t>盖法人单位电子印章</w:t>
      </w:r>
      <w:r>
        <w:rPr>
          <w:rFonts w:hint="eastAsia"/>
          <w:bCs/>
          <w:color w:val="auto"/>
          <w:highlight w:val="none"/>
        </w:rPr>
        <w:t>）：</w:t>
      </w:r>
    </w:p>
    <w:p w14:paraId="2D380FA6">
      <w:pPr>
        <w:spacing w:line="360" w:lineRule="auto"/>
        <w:ind w:firstLine="3150" w:firstLineChars="1500"/>
        <w:rPr>
          <w:bCs/>
          <w:color w:val="auto"/>
          <w:highlight w:val="none"/>
        </w:rPr>
      </w:pPr>
      <w:r>
        <w:rPr>
          <w:rFonts w:hint="eastAsia"/>
          <w:bCs/>
          <w:color w:val="auto"/>
          <w:highlight w:val="none"/>
        </w:rPr>
        <w:t>日期：</w:t>
      </w:r>
    </w:p>
    <w:p w14:paraId="52A4E6A5">
      <w:pPr>
        <w:spacing w:line="360" w:lineRule="auto"/>
        <w:jc w:val="left"/>
        <w:rPr>
          <w:bCs/>
          <w:color w:val="auto"/>
          <w:highlight w:val="none"/>
        </w:rPr>
      </w:pPr>
    </w:p>
    <w:p w14:paraId="749E1497">
      <w:pPr>
        <w:spacing w:line="360" w:lineRule="auto"/>
        <w:jc w:val="left"/>
        <w:rPr>
          <w:bCs/>
          <w:color w:val="auto"/>
          <w:highlight w:val="none"/>
        </w:rPr>
      </w:pPr>
      <w:r>
        <w:rPr>
          <w:rFonts w:hint="eastAsia"/>
          <w:bCs/>
          <w:color w:val="auto"/>
          <w:highlight w:val="none"/>
        </w:rPr>
        <w:t>注：（</w:t>
      </w:r>
      <w:r>
        <w:rPr>
          <w:bCs/>
          <w:color w:val="auto"/>
          <w:highlight w:val="none"/>
        </w:rPr>
        <w:t>1</w:t>
      </w:r>
      <w:r>
        <w:rPr>
          <w:rFonts w:hint="eastAsia"/>
          <w:bCs/>
          <w:color w:val="auto"/>
          <w:highlight w:val="none"/>
        </w:rPr>
        <w:t>）如投标人为联合体或分包的，声明函中</w:t>
      </w:r>
      <w:r>
        <w:rPr>
          <w:rFonts w:hint="eastAsia"/>
          <w:bCs/>
          <w:color w:val="auto"/>
          <w:highlight w:val="none"/>
          <w:lang w:eastAsia="zh-CN"/>
        </w:rPr>
        <w:t>“</w:t>
      </w:r>
      <w:r>
        <w:rPr>
          <w:rFonts w:hint="eastAsia"/>
          <w:bCs/>
          <w:color w:val="auto"/>
          <w:highlight w:val="none"/>
          <w:lang w:val="en-US" w:eastAsia="zh-CN"/>
        </w:rPr>
        <w:t>标的</w:t>
      </w:r>
      <w:r>
        <w:rPr>
          <w:rFonts w:hint="eastAsia"/>
          <w:bCs/>
          <w:color w:val="auto"/>
          <w:highlight w:val="none"/>
        </w:rPr>
        <w:t>名称</w:t>
      </w:r>
      <w:r>
        <w:rPr>
          <w:rFonts w:hint="eastAsia"/>
          <w:bCs/>
          <w:color w:val="auto"/>
          <w:highlight w:val="none"/>
          <w:lang w:eastAsia="zh-CN"/>
        </w:rPr>
        <w:t>”</w:t>
      </w:r>
      <w:r>
        <w:rPr>
          <w:rFonts w:hint="eastAsia"/>
          <w:bCs/>
          <w:color w:val="auto"/>
          <w:highlight w:val="none"/>
        </w:rPr>
        <w:t>应填写联合体中中小企业承担的具体内容或者中小企业具体分包内容。</w:t>
      </w:r>
    </w:p>
    <w:p w14:paraId="432E437F">
      <w:pPr>
        <w:spacing w:line="360" w:lineRule="auto"/>
        <w:jc w:val="left"/>
        <w:rPr>
          <w:bCs/>
          <w:color w:val="auto"/>
          <w:highlight w:val="none"/>
        </w:rPr>
      </w:pPr>
      <w:r>
        <w:rPr>
          <w:rFonts w:hint="eastAsia"/>
          <w:bCs/>
          <w:color w:val="auto"/>
          <w:highlight w:val="none"/>
        </w:rPr>
        <w:t>（</w:t>
      </w:r>
      <w:r>
        <w:rPr>
          <w:bCs/>
          <w:color w:val="auto"/>
          <w:highlight w:val="none"/>
        </w:rPr>
        <w:t>2</w:t>
      </w:r>
      <w:r>
        <w:rPr>
          <w:rFonts w:hint="eastAsia"/>
          <w:bCs/>
          <w:color w:val="auto"/>
          <w:highlight w:val="none"/>
        </w:rPr>
        <w:t>）请根据真实情况出具《中小企业声明函》。</w:t>
      </w:r>
      <w:r>
        <w:rPr>
          <w:rFonts w:hint="eastAsia"/>
          <w:color w:val="auto"/>
          <w:highlight w:val="none"/>
        </w:rPr>
        <w:t>中标候选人享受《政府采购促进中小企业发展管理办法》（财库〔2020〕46号）</w:t>
      </w:r>
      <w:r>
        <w:rPr>
          <w:rFonts w:hint="eastAsia" w:ascii="Times New Roman" w:hAnsi="Times New Roman" w:eastAsia="宋体" w:cs="宋体"/>
          <w:color w:val="auto"/>
          <w:highlight w:val="none"/>
          <w:lang w:eastAsia="zh-CN"/>
        </w:rPr>
        <w:t>、</w:t>
      </w:r>
      <w:r>
        <w:rPr>
          <w:rFonts w:hint="eastAsia" w:ascii="Times New Roman" w:hAnsi="Times New Roman" w:eastAsia="宋体" w:cs="宋体"/>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eastAsia"/>
          <w:color w:val="auto"/>
          <w:highlight w:val="none"/>
        </w:rPr>
        <w:t>规定的中小企业扶持政策的，招标人</w:t>
      </w:r>
      <w:r>
        <w:rPr>
          <w:rFonts w:hint="eastAsia" w:cs="宋体"/>
          <w:color w:val="auto"/>
          <w:highlight w:val="none"/>
        </w:rPr>
        <w:t>或者其委托的招标代理机构</w:t>
      </w:r>
      <w:r>
        <w:rPr>
          <w:rFonts w:hint="eastAsia"/>
          <w:color w:val="auto"/>
          <w:highlight w:val="none"/>
        </w:rPr>
        <w:t>应当在公示中标候选人时公开中标候选人的《中小企业声明函》</w:t>
      </w:r>
      <w:r>
        <w:rPr>
          <w:rFonts w:hint="eastAsia"/>
          <w:bCs/>
          <w:color w:val="auto"/>
          <w:highlight w:val="none"/>
        </w:rPr>
        <w:t>，接受社会监督。</w:t>
      </w:r>
    </w:p>
    <w:p w14:paraId="1166F4AB">
      <w:pPr>
        <w:spacing w:line="360" w:lineRule="auto"/>
        <w:jc w:val="left"/>
        <w:rPr>
          <w:rFonts w:hint="eastAsia"/>
          <w:bCs/>
          <w:color w:val="auto"/>
          <w:highlight w:val="none"/>
        </w:rPr>
      </w:pPr>
      <w:r>
        <w:rPr>
          <w:rFonts w:hint="eastAsia"/>
          <w:bCs/>
          <w:color w:val="auto"/>
          <w:highlight w:val="none"/>
        </w:rPr>
        <w:t>（</w:t>
      </w:r>
      <w:r>
        <w:rPr>
          <w:bCs/>
          <w:color w:val="auto"/>
          <w:highlight w:val="none"/>
        </w:rPr>
        <w:t>3</w:t>
      </w:r>
      <w:r>
        <w:rPr>
          <w:rFonts w:hint="eastAsia"/>
          <w:bCs/>
          <w:color w:val="auto"/>
          <w:highlight w:val="none"/>
        </w:rPr>
        <w:t>）从业人员、营业收入、资产总额填报上一年度数据，无上一年度数据的新成立企业可不填报。</w:t>
      </w:r>
    </w:p>
    <w:p w14:paraId="61218B33">
      <w:pPr>
        <w:spacing w:line="360" w:lineRule="auto"/>
        <w:jc w:val="center"/>
        <w:rPr>
          <w:color w:val="auto"/>
          <w:highlight w:val="none"/>
        </w:rPr>
      </w:pPr>
      <w:r>
        <w:rPr>
          <w:color w:val="auto"/>
          <w:highlight w:val="none"/>
        </w:rPr>
        <w:br w:type="page"/>
      </w:r>
    </w:p>
    <w:p w14:paraId="6284196F">
      <w:pPr>
        <w:spacing w:line="588" w:lineRule="exact"/>
        <w:jc w:val="center"/>
        <w:rPr>
          <w:rFonts w:ascii="宋体" w:hAnsi="宋体" w:cs="方正小标宋简体"/>
          <w:b/>
          <w:bCs/>
          <w:color w:val="auto"/>
          <w:spacing w:val="6"/>
          <w:sz w:val="24"/>
          <w:szCs w:val="24"/>
          <w:highlight w:val="none"/>
        </w:rPr>
      </w:pPr>
      <w:r>
        <w:rPr>
          <w:rFonts w:hint="eastAsia" w:ascii="宋体" w:hAnsi="宋体" w:cs="方正小标宋简体"/>
          <w:b/>
          <w:bCs/>
          <w:color w:val="auto"/>
          <w:spacing w:val="6"/>
          <w:sz w:val="24"/>
          <w:szCs w:val="24"/>
          <w:highlight w:val="none"/>
        </w:rPr>
        <w:t>残疾人福利性单位声明函</w:t>
      </w:r>
    </w:p>
    <w:p w14:paraId="24985874">
      <w:pPr>
        <w:spacing w:line="360" w:lineRule="auto"/>
        <w:rPr>
          <w:rFonts w:hint="eastAsia" w:ascii="仿宋_GB2312" w:eastAsia="仿宋_GB2312"/>
          <w:bCs/>
          <w:color w:val="auto"/>
          <w:spacing w:val="6"/>
          <w:sz w:val="30"/>
          <w:szCs w:val="30"/>
          <w:highlight w:val="none"/>
        </w:rPr>
      </w:pPr>
    </w:p>
    <w:p w14:paraId="6558BD65">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本单位郑重声明，根据《财政部 民政部 中国残疾人联合会关于促进残疾人就业政府采购政策的通知》（财库</w:t>
      </w:r>
      <w:r>
        <w:rPr>
          <w:rFonts w:hint="eastAsia" w:ascii="宋体" w:hAnsi="宋体"/>
          <w:color w:val="auto"/>
          <w:spacing w:val="6"/>
          <w:highlight w:val="none"/>
          <w:lang w:eastAsia="zh-CN"/>
        </w:rPr>
        <w:t>〔2017〕141号</w:t>
      </w:r>
      <w:r>
        <w:rPr>
          <w:rFonts w:hint="eastAsia" w:ascii="宋体" w:hAnsi="宋体"/>
          <w:color w:val="auto"/>
          <w:spacing w:val="6"/>
          <w:highlight w:val="none"/>
        </w:rPr>
        <w:t>）的规定，本单位为符合条件的残疾人福利性单位，且本单位参加</w:t>
      </w:r>
      <w:r>
        <w:rPr>
          <w:rFonts w:hint="eastAsia" w:ascii="宋体" w:hAnsi="宋体"/>
          <w:color w:val="auto"/>
          <w:spacing w:val="6"/>
          <w:highlight w:val="none"/>
          <w:u w:val="single"/>
          <w:lang w:val="en-US" w:eastAsia="zh-CN"/>
        </w:rPr>
        <w:t xml:space="preserve">           </w:t>
      </w:r>
      <w:r>
        <w:rPr>
          <w:rFonts w:hint="eastAsia" w:ascii="宋体" w:hAnsi="宋体"/>
          <w:color w:val="auto"/>
          <w:spacing w:val="6"/>
          <w:highlight w:val="none"/>
        </w:rPr>
        <w:t>单位的</w:t>
      </w:r>
      <w:r>
        <w:rPr>
          <w:rFonts w:hint="eastAsia" w:ascii="宋体" w:hAnsi="宋体"/>
          <w:color w:val="auto"/>
          <w:spacing w:val="6"/>
          <w:highlight w:val="none"/>
          <w:u w:val="single"/>
          <w:lang w:val="en-US" w:eastAsia="zh-CN"/>
        </w:rPr>
        <w:t xml:space="preserve">           </w:t>
      </w:r>
      <w:r>
        <w:rPr>
          <w:rFonts w:hint="eastAsia" w:ascii="宋体" w:hAnsi="宋体"/>
          <w:color w:val="auto"/>
          <w:spacing w:val="6"/>
          <w:highlight w:val="none"/>
        </w:rPr>
        <w:t>项目招标活动由本单位承担工程</w:t>
      </w:r>
      <w:r>
        <w:rPr>
          <w:rFonts w:hint="eastAsia" w:ascii="宋体" w:hAnsi="宋体"/>
          <w:color w:val="auto"/>
          <w:spacing w:val="-6"/>
          <w:highlight w:val="none"/>
        </w:rPr>
        <w:t>。</w:t>
      </w:r>
    </w:p>
    <w:p w14:paraId="36838379">
      <w:pPr>
        <w:spacing w:line="360" w:lineRule="auto"/>
        <w:ind w:firstLine="444" w:firstLineChars="200"/>
        <w:rPr>
          <w:rFonts w:hint="eastAsia" w:ascii="宋体" w:hAnsi="宋体"/>
          <w:color w:val="auto"/>
          <w:spacing w:val="6"/>
          <w:highlight w:val="none"/>
        </w:rPr>
      </w:pPr>
      <w:r>
        <w:rPr>
          <w:rFonts w:hint="eastAsia" w:ascii="宋体" w:hAnsi="宋体"/>
          <w:color w:val="auto"/>
          <w:spacing w:val="6"/>
          <w:highlight w:val="none"/>
        </w:rPr>
        <w:t>本单位对上述声明的真实性负责。如有虚假，将依法承担相应责任。</w:t>
      </w:r>
    </w:p>
    <w:p w14:paraId="6C2D4E8E">
      <w:pPr>
        <w:spacing w:line="360" w:lineRule="auto"/>
        <w:ind w:firstLine="444" w:firstLineChars="200"/>
        <w:rPr>
          <w:rFonts w:hint="eastAsia" w:ascii="宋体" w:hAnsi="宋体"/>
          <w:color w:val="auto"/>
          <w:spacing w:val="6"/>
          <w:highlight w:val="none"/>
        </w:rPr>
      </w:pPr>
    </w:p>
    <w:p w14:paraId="56A8A250">
      <w:pPr>
        <w:spacing w:line="360" w:lineRule="auto"/>
        <w:ind w:firstLine="444" w:firstLineChars="200"/>
        <w:rPr>
          <w:rFonts w:hint="eastAsia" w:ascii="宋体" w:hAnsi="宋体"/>
          <w:color w:val="auto"/>
          <w:spacing w:val="6"/>
          <w:highlight w:val="none"/>
        </w:rPr>
      </w:pPr>
    </w:p>
    <w:p w14:paraId="3C2E30EC">
      <w:pPr>
        <w:tabs>
          <w:tab w:val="left" w:pos="4860"/>
        </w:tabs>
        <w:spacing w:line="360" w:lineRule="auto"/>
        <w:ind w:right="1560" w:firstLine="444" w:firstLineChars="200"/>
        <w:contextualSpacing/>
        <w:jc w:val="center"/>
        <w:rPr>
          <w:rFonts w:hint="default" w:ascii="宋体" w:hAnsi="宋体"/>
          <w:color w:val="auto"/>
          <w:spacing w:val="6"/>
          <w:highlight w:val="none"/>
          <w:u w:val="single"/>
        </w:rPr>
      </w:pPr>
      <w:r>
        <w:rPr>
          <w:rFonts w:hint="eastAsia" w:ascii="宋体" w:hAnsi="宋体"/>
          <w:color w:val="auto"/>
          <w:spacing w:val="6"/>
          <w:highlight w:val="none"/>
          <w:lang w:val="en-US" w:eastAsia="zh-CN"/>
        </w:rPr>
        <w:t xml:space="preserve">                           </w:t>
      </w:r>
      <w:r>
        <w:rPr>
          <w:rFonts w:hint="eastAsia" w:ascii="宋体" w:hAnsi="宋体"/>
          <w:color w:val="auto"/>
          <w:spacing w:val="6"/>
          <w:highlight w:val="none"/>
        </w:rPr>
        <w:t>单位名称：</w:t>
      </w:r>
      <w:r>
        <w:rPr>
          <w:rFonts w:hint="eastAsia" w:ascii="宋体" w:hAnsi="宋体"/>
          <w:color w:val="auto"/>
          <w:spacing w:val="6"/>
          <w:highlight w:val="none"/>
          <w:lang w:val="en-US" w:eastAsia="zh-CN"/>
        </w:rPr>
        <w:t xml:space="preserve"> </w:t>
      </w:r>
      <w:r>
        <w:rPr>
          <w:rFonts w:hint="eastAsia" w:ascii="宋体" w:hAnsi="宋体"/>
          <w:color w:val="auto"/>
          <w:spacing w:val="6"/>
          <w:highlight w:val="none"/>
          <w:u w:val="single"/>
        </w:rPr>
        <w:t>（盖法人单位电子印章）</w:t>
      </w:r>
      <w:r>
        <w:rPr>
          <w:rFonts w:hint="eastAsia" w:ascii="宋体" w:hAnsi="宋体"/>
          <w:color w:val="auto"/>
          <w:spacing w:val="6"/>
          <w:highlight w:val="none"/>
          <w:u w:val="single"/>
          <w:lang w:val="en-US" w:eastAsia="zh-CN"/>
        </w:rPr>
        <w:t xml:space="preserve">   </w:t>
      </w:r>
    </w:p>
    <w:p w14:paraId="31C940BA">
      <w:pPr>
        <w:ind w:firstLine="3774" w:firstLineChars="1700"/>
        <w:jc w:val="left"/>
        <w:rPr>
          <w:rFonts w:hint="default" w:ascii="宋体" w:hAnsi="宋体" w:eastAsia="宋体"/>
          <w:color w:val="auto"/>
          <w:spacing w:val="6"/>
          <w:highlight w:val="none"/>
          <w:lang w:val="en-US" w:eastAsia="zh-CN"/>
        </w:rPr>
      </w:pPr>
      <w:r>
        <w:rPr>
          <w:rFonts w:hint="eastAsia" w:ascii="宋体" w:hAnsi="宋体"/>
          <w:color w:val="auto"/>
          <w:spacing w:val="6"/>
          <w:highlight w:val="none"/>
        </w:rPr>
        <w:t>日  期：</w:t>
      </w:r>
      <w:r>
        <w:rPr>
          <w:rFonts w:hint="eastAsia" w:ascii="宋体" w:hAnsi="宋体"/>
          <w:color w:val="auto"/>
          <w:spacing w:val="6"/>
          <w:highlight w:val="none"/>
          <w:u w:val="single"/>
          <w:lang w:val="en-US" w:eastAsia="zh-CN"/>
        </w:rPr>
        <w:t xml:space="preserve">                      </w:t>
      </w:r>
    </w:p>
    <w:p w14:paraId="6F2D1A87">
      <w:pPr>
        <w:ind w:firstLine="504" w:firstLineChars="200"/>
        <w:jc w:val="left"/>
        <w:rPr>
          <w:rFonts w:hint="eastAsia" w:ascii="宋体" w:hAnsi="宋体"/>
          <w:color w:val="auto"/>
          <w:spacing w:val="6"/>
          <w:sz w:val="24"/>
          <w:highlight w:val="none"/>
        </w:rPr>
      </w:pPr>
    </w:p>
    <w:p w14:paraId="4422689C">
      <w:pPr>
        <w:ind w:firstLine="420" w:firstLineChars="200"/>
        <w:jc w:val="left"/>
        <w:rPr>
          <w:color w:val="auto"/>
          <w:highlight w:val="none"/>
        </w:rPr>
        <w:sectPr>
          <w:pgSz w:w="11907" w:h="16840"/>
          <w:pgMar w:top="1440" w:right="1440" w:bottom="1440" w:left="1797" w:header="851" w:footer="851" w:gutter="0"/>
          <w:cols w:space="720" w:num="1"/>
          <w:docGrid w:linePitch="312" w:charSpace="0"/>
        </w:sectPr>
      </w:pPr>
    </w:p>
    <w:p w14:paraId="2689DFA6">
      <w:pPr>
        <w:jc w:val="center"/>
        <w:rPr>
          <w:color w:val="auto"/>
          <w:sz w:val="32"/>
          <w:szCs w:val="32"/>
          <w:highlight w:val="none"/>
        </w:rPr>
      </w:pPr>
    </w:p>
    <w:p w14:paraId="5D5EAB39">
      <w:pPr>
        <w:jc w:val="center"/>
        <w:rPr>
          <w:color w:val="auto"/>
          <w:sz w:val="32"/>
          <w:szCs w:val="32"/>
          <w:highlight w:val="none"/>
        </w:rPr>
      </w:pPr>
    </w:p>
    <w:p w14:paraId="3D6898BA">
      <w:pPr>
        <w:jc w:val="center"/>
        <w:rPr>
          <w:color w:val="auto"/>
          <w:sz w:val="32"/>
          <w:szCs w:val="32"/>
          <w:highlight w:val="none"/>
        </w:rPr>
      </w:pPr>
    </w:p>
    <w:p w14:paraId="022F079C">
      <w:pPr>
        <w:jc w:val="center"/>
        <w:rPr>
          <w:color w:val="auto"/>
          <w:sz w:val="32"/>
          <w:szCs w:val="32"/>
          <w:highlight w:val="none"/>
        </w:rPr>
      </w:pPr>
    </w:p>
    <w:p w14:paraId="27D205A8">
      <w:pPr>
        <w:jc w:val="center"/>
        <w:rPr>
          <w:color w:val="auto"/>
          <w:sz w:val="28"/>
          <w:szCs w:val="28"/>
          <w:highlight w:val="none"/>
        </w:rPr>
      </w:pPr>
      <w:r>
        <w:rPr>
          <w:color w:val="auto"/>
          <w:sz w:val="32"/>
          <w:szCs w:val="32"/>
          <w:highlight w:val="none"/>
          <w:u w:val="single"/>
        </w:rPr>
        <w:t xml:space="preserve">             </w:t>
      </w:r>
      <w:r>
        <w:rPr>
          <w:rFonts w:hint="eastAsia" w:cs="宋体"/>
          <w:color w:val="auto"/>
          <w:sz w:val="28"/>
          <w:szCs w:val="28"/>
          <w:highlight w:val="none"/>
          <w:lang w:eastAsia="zh-CN"/>
        </w:rPr>
        <w:t>广西警察学院长湖校区3号学员公寓楼改造工程（重）</w:t>
      </w:r>
      <w:r>
        <w:rPr>
          <w:rFonts w:hint="eastAsia" w:cs="宋体"/>
          <w:color w:val="auto"/>
          <w:sz w:val="28"/>
          <w:szCs w:val="28"/>
          <w:highlight w:val="none"/>
        </w:rPr>
        <w:t>施工招标</w:t>
      </w:r>
    </w:p>
    <w:p w14:paraId="3D60D578">
      <w:pPr>
        <w:jc w:val="center"/>
        <w:rPr>
          <w:color w:val="auto"/>
          <w:sz w:val="28"/>
          <w:szCs w:val="28"/>
          <w:highlight w:val="none"/>
        </w:rPr>
      </w:pPr>
    </w:p>
    <w:p w14:paraId="60F74331">
      <w:pPr>
        <w:spacing w:before="240" w:beforeLines="100"/>
        <w:jc w:val="center"/>
        <w:rPr>
          <w:color w:val="auto"/>
          <w:sz w:val="52"/>
          <w:szCs w:val="52"/>
          <w:highlight w:val="none"/>
        </w:rPr>
      </w:pPr>
      <w:r>
        <w:rPr>
          <w:rFonts w:hint="eastAsia" w:cs="宋体"/>
          <w:color w:val="auto"/>
          <w:sz w:val="52"/>
          <w:szCs w:val="52"/>
          <w:highlight w:val="none"/>
        </w:rPr>
        <w:t>投</w:t>
      </w:r>
      <w:r>
        <w:rPr>
          <w:color w:val="auto"/>
          <w:sz w:val="52"/>
          <w:szCs w:val="52"/>
          <w:highlight w:val="none"/>
        </w:rPr>
        <w:t xml:space="preserve">  </w:t>
      </w:r>
      <w:r>
        <w:rPr>
          <w:rFonts w:hint="eastAsia" w:cs="宋体"/>
          <w:color w:val="auto"/>
          <w:sz w:val="52"/>
          <w:szCs w:val="52"/>
          <w:highlight w:val="none"/>
        </w:rPr>
        <w:t>标</w:t>
      </w:r>
      <w:r>
        <w:rPr>
          <w:color w:val="auto"/>
          <w:sz w:val="52"/>
          <w:szCs w:val="52"/>
          <w:highlight w:val="none"/>
        </w:rPr>
        <w:t xml:space="preserve">  </w:t>
      </w:r>
      <w:r>
        <w:rPr>
          <w:rFonts w:hint="eastAsia" w:cs="宋体"/>
          <w:color w:val="auto"/>
          <w:sz w:val="52"/>
          <w:szCs w:val="52"/>
          <w:highlight w:val="none"/>
        </w:rPr>
        <w:t>文</w:t>
      </w:r>
      <w:r>
        <w:rPr>
          <w:color w:val="auto"/>
          <w:sz w:val="52"/>
          <w:szCs w:val="52"/>
          <w:highlight w:val="none"/>
        </w:rPr>
        <w:t xml:space="preserve">  </w:t>
      </w:r>
      <w:r>
        <w:rPr>
          <w:rFonts w:hint="eastAsia" w:cs="宋体"/>
          <w:color w:val="auto"/>
          <w:sz w:val="52"/>
          <w:szCs w:val="52"/>
          <w:highlight w:val="none"/>
        </w:rPr>
        <w:t>件</w:t>
      </w:r>
    </w:p>
    <w:p w14:paraId="253431BC">
      <w:pPr>
        <w:jc w:val="center"/>
        <w:rPr>
          <w:color w:val="auto"/>
          <w:sz w:val="32"/>
          <w:szCs w:val="32"/>
          <w:highlight w:val="none"/>
        </w:rPr>
      </w:pPr>
    </w:p>
    <w:p w14:paraId="47DD519B">
      <w:pPr>
        <w:jc w:val="center"/>
        <w:rPr>
          <w:color w:val="auto"/>
          <w:sz w:val="32"/>
          <w:szCs w:val="32"/>
          <w:highlight w:val="none"/>
        </w:rPr>
      </w:pPr>
    </w:p>
    <w:p w14:paraId="2ED57669">
      <w:pPr>
        <w:jc w:val="center"/>
        <w:rPr>
          <w:color w:val="auto"/>
          <w:sz w:val="32"/>
          <w:szCs w:val="32"/>
          <w:highlight w:val="none"/>
        </w:rPr>
      </w:pPr>
    </w:p>
    <w:p w14:paraId="6BEE1967">
      <w:pPr>
        <w:jc w:val="center"/>
        <w:rPr>
          <w:color w:val="auto"/>
          <w:sz w:val="32"/>
          <w:szCs w:val="32"/>
          <w:highlight w:val="none"/>
        </w:rPr>
      </w:pPr>
    </w:p>
    <w:p w14:paraId="170A6F85">
      <w:pPr>
        <w:spacing w:line="360" w:lineRule="auto"/>
        <w:ind w:firstLine="2380" w:firstLineChars="850"/>
        <w:rPr>
          <w:color w:val="auto"/>
          <w:sz w:val="28"/>
          <w:szCs w:val="28"/>
          <w:highlight w:val="none"/>
          <w:u w:val="single"/>
        </w:rPr>
      </w:pPr>
      <w:r>
        <w:rPr>
          <w:rFonts w:hint="eastAsia" w:cs="宋体"/>
          <w:color w:val="auto"/>
          <w:sz w:val="28"/>
          <w:szCs w:val="28"/>
          <w:highlight w:val="none"/>
          <w:lang w:eastAsia="zh-CN"/>
        </w:rPr>
        <w:t>招标项目编号</w:t>
      </w:r>
      <w:r>
        <w:rPr>
          <w:rFonts w:hint="eastAsia" w:cs="宋体"/>
          <w:color w:val="auto"/>
          <w:sz w:val="28"/>
          <w:szCs w:val="28"/>
          <w:highlight w:val="none"/>
        </w:rPr>
        <w:t>：</w:t>
      </w:r>
      <w:r>
        <w:rPr>
          <w:color w:val="auto"/>
          <w:sz w:val="28"/>
          <w:szCs w:val="28"/>
          <w:highlight w:val="none"/>
          <w:u w:val="single"/>
        </w:rPr>
        <w:t xml:space="preserve">                   </w:t>
      </w:r>
    </w:p>
    <w:p w14:paraId="08A789ED">
      <w:pPr>
        <w:jc w:val="center"/>
        <w:rPr>
          <w:color w:val="auto"/>
          <w:sz w:val="32"/>
          <w:szCs w:val="32"/>
          <w:highlight w:val="none"/>
        </w:rPr>
      </w:pPr>
    </w:p>
    <w:p w14:paraId="3BB7FB38">
      <w:pPr>
        <w:jc w:val="center"/>
        <w:rPr>
          <w:color w:val="auto"/>
          <w:sz w:val="32"/>
          <w:szCs w:val="32"/>
          <w:highlight w:val="none"/>
        </w:rPr>
      </w:pPr>
    </w:p>
    <w:p w14:paraId="39E031D8">
      <w:pPr>
        <w:jc w:val="center"/>
        <w:rPr>
          <w:color w:val="auto"/>
          <w:sz w:val="32"/>
          <w:szCs w:val="32"/>
          <w:highlight w:val="none"/>
        </w:rPr>
      </w:pPr>
    </w:p>
    <w:p w14:paraId="18A0A724">
      <w:pPr>
        <w:jc w:val="center"/>
        <w:rPr>
          <w:color w:val="auto"/>
          <w:sz w:val="32"/>
          <w:szCs w:val="32"/>
          <w:highlight w:val="none"/>
        </w:rPr>
      </w:pPr>
    </w:p>
    <w:p w14:paraId="23592A66">
      <w:pPr>
        <w:jc w:val="center"/>
        <w:rPr>
          <w:color w:val="auto"/>
          <w:sz w:val="32"/>
          <w:szCs w:val="32"/>
          <w:highlight w:val="none"/>
        </w:rPr>
      </w:pPr>
    </w:p>
    <w:p w14:paraId="690904EF">
      <w:pPr>
        <w:jc w:val="center"/>
        <w:rPr>
          <w:color w:val="auto"/>
          <w:sz w:val="32"/>
          <w:szCs w:val="32"/>
          <w:highlight w:val="none"/>
        </w:rPr>
      </w:pPr>
    </w:p>
    <w:p w14:paraId="37058D85">
      <w:pPr>
        <w:jc w:val="center"/>
        <w:rPr>
          <w:color w:val="auto"/>
          <w:sz w:val="32"/>
          <w:szCs w:val="32"/>
          <w:highlight w:val="none"/>
        </w:rPr>
      </w:pPr>
    </w:p>
    <w:p w14:paraId="5FB60E4B">
      <w:pPr>
        <w:jc w:val="center"/>
        <w:rPr>
          <w:color w:val="auto"/>
          <w:sz w:val="32"/>
          <w:szCs w:val="32"/>
          <w:highlight w:val="none"/>
        </w:rPr>
      </w:pPr>
    </w:p>
    <w:p w14:paraId="38F4E3A6">
      <w:pPr>
        <w:jc w:val="center"/>
        <w:rPr>
          <w:color w:val="auto"/>
          <w:sz w:val="32"/>
          <w:szCs w:val="32"/>
          <w:highlight w:val="none"/>
        </w:rPr>
      </w:pPr>
    </w:p>
    <w:p w14:paraId="748015AB">
      <w:pPr>
        <w:spacing w:line="360" w:lineRule="auto"/>
        <w:ind w:firstLine="980" w:firstLineChars="350"/>
        <w:rPr>
          <w:color w:val="auto"/>
          <w:sz w:val="28"/>
          <w:szCs w:val="28"/>
          <w:highlight w:val="none"/>
          <w:u w:val="single"/>
        </w:rPr>
      </w:pPr>
      <w:r>
        <w:rPr>
          <w:rFonts w:hint="eastAsia" w:cs="宋体"/>
          <w:color w:val="auto"/>
          <w:sz w:val="28"/>
          <w:szCs w:val="28"/>
          <w:highlight w:val="none"/>
        </w:rPr>
        <w:t>投标内容：</w:t>
      </w:r>
      <w:r>
        <w:rPr>
          <w:color w:val="auto"/>
          <w:sz w:val="28"/>
          <w:szCs w:val="28"/>
          <w:highlight w:val="none"/>
          <w:u w:val="single"/>
        </w:rPr>
        <w:t xml:space="preserve">            </w:t>
      </w:r>
      <w:r>
        <w:rPr>
          <w:rFonts w:hint="eastAsia" w:cs="宋体"/>
          <w:color w:val="auto"/>
          <w:sz w:val="28"/>
          <w:szCs w:val="28"/>
          <w:highlight w:val="none"/>
          <w:u w:val="single"/>
        </w:rPr>
        <w:t>技术标部分</w:t>
      </w:r>
      <w:r>
        <w:rPr>
          <w:color w:val="auto"/>
          <w:sz w:val="28"/>
          <w:szCs w:val="28"/>
          <w:highlight w:val="none"/>
          <w:u w:val="single"/>
        </w:rPr>
        <w:t xml:space="preserve">           </w:t>
      </w:r>
    </w:p>
    <w:p w14:paraId="3EB1B05D">
      <w:pPr>
        <w:spacing w:line="360" w:lineRule="auto"/>
        <w:ind w:firstLine="980" w:firstLineChars="350"/>
        <w:rPr>
          <w:rFonts w:hint="default" w:eastAsia="宋体"/>
          <w:color w:val="auto"/>
          <w:sz w:val="28"/>
          <w:szCs w:val="28"/>
          <w:highlight w:val="none"/>
          <w:lang w:val="en-US" w:eastAsia="zh-CN"/>
        </w:rPr>
      </w:pPr>
      <w:r>
        <w:rPr>
          <w:rFonts w:hint="eastAsia" w:cs="宋体"/>
          <w:color w:val="auto"/>
          <w:sz w:val="28"/>
          <w:szCs w:val="28"/>
          <w:highlight w:val="none"/>
        </w:rPr>
        <w:t>投标人：</w:t>
      </w:r>
      <w:r>
        <w:rPr>
          <w:color w:val="auto"/>
          <w:sz w:val="28"/>
          <w:szCs w:val="28"/>
          <w:highlight w:val="none"/>
          <w:u w:val="single"/>
        </w:rPr>
        <w:t xml:space="preserve">          </w:t>
      </w:r>
      <w:r>
        <w:rPr>
          <w:rFonts w:ascii="Times New Roman" w:hAnsi="Times New Roman" w:eastAsia="宋体" w:cs="Times New Roman"/>
          <w:color w:val="auto"/>
          <w:sz w:val="28"/>
          <w:szCs w:val="28"/>
          <w:highlight w:val="none"/>
          <w:u w:val="single"/>
        </w:rPr>
        <w:t xml:space="preserve">  </w:t>
      </w:r>
      <w:r>
        <w:rPr>
          <w:rFonts w:hint="default" w:ascii="Times New Roman" w:hAnsi="Times New Roman" w:eastAsia="宋体" w:cs="Times New Roman"/>
          <w:color w:val="auto"/>
          <w:sz w:val="28"/>
          <w:szCs w:val="28"/>
          <w:highlight w:val="none"/>
          <w:u w:val="single"/>
        </w:rPr>
        <w:t>（</w:t>
      </w:r>
      <w:r>
        <w:rPr>
          <w:rFonts w:hint="default" w:ascii="Times New Roman" w:hAnsi="Times New Roman" w:eastAsia="宋体" w:cs="Times New Roman"/>
          <w:color w:val="auto"/>
          <w:sz w:val="28"/>
          <w:szCs w:val="28"/>
          <w:highlight w:val="none"/>
          <w:u w:val="single"/>
          <w:lang w:eastAsia="zh-CN"/>
        </w:rPr>
        <w:t>盖法人单位电子印章</w:t>
      </w:r>
      <w:r>
        <w:rPr>
          <w:rFonts w:hint="default" w:ascii="Times New Roman" w:hAnsi="Times New Roman" w:eastAsia="宋体" w:cs="Times New Roman"/>
          <w:color w:val="auto"/>
          <w:sz w:val="28"/>
          <w:szCs w:val="28"/>
          <w:highlight w:val="none"/>
          <w:u w:val="single"/>
        </w:rPr>
        <w:t>）</w:t>
      </w:r>
      <w:r>
        <w:rPr>
          <w:rFonts w:hint="default" w:ascii="Times New Roman" w:hAnsi="Times New Roman" w:eastAsia="宋体" w:cs="Times New Roman"/>
          <w:color w:val="auto"/>
          <w:sz w:val="28"/>
          <w:szCs w:val="28"/>
          <w:highlight w:val="none"/>
          <w:u w:val="single"/>
          <w:lang w:val="en-US" w:eastAsia="zh-CN"/>
        </w:rPr>
        <w:t xml:space="preserve"> </w:t>
      </w:r>
    </w:p>
    <w:p w14:paraId="75F0AFF1">
      <w:pPr>
        <w:jc w:val="center"/>
        <w:rPr>
          <w:color w:val="auto"/>
          <w:sz w:val="28"/>
          <w:szCs w:val="28"/>
          <w:highlight w:val="none"/>
        </w:rPr>
      </w:pPr>
    </w:p>
    <w:p w14:paraId="2EF813F8">
      <w:pPr>
        <w:jc w:val="center"/>
        <w:rPr>
          <w:color w:val="auto"/>
          <w:sz w:val="28"/>
          <w:szCs w:val="28"/>
          <w:highlight w:val="none"/>
        </w:rPr>
      </w:pPr>
    </w:p>
    <w:p w14:paraId="2D61C9FE">
      <w:pPr>
        <w:jc w:val="center"/>
        <w:rPr>
          <w:color w:val="auto"/>
          <w:sz w:val="28"/>
          <w:szCs w:val="28"/>
          <w:highlight w:val="none"/>
        </w:rPr>
      </w:pPr>
      <w:r>
        <w:rPr>
          <w:color w:val="auto"/>
          <w:sz w:val="28"/>
          <w:szCs w:val="28"/>
          <w:highlight w:val="none"/>
          <w:u w:val="single"/>
        </w:rPr>
        <w:t xml:space="preserve">         </w:t>
      </w:r>
      <w:r>
        <w:rPr>
          <w:rFonts w:hint="eastAsia" w:cs="宋体"/>
          <w:color w:val="auto"/>
          <w:sz w:val="28"/>
          <w:szCs w:val="28"/>
          <w:highlight w:val="none"/>
        </w:rPr>
        <w:t>年</w:t>
      </w:r>
      <w:r>
        <w:rPr>
          <w:color w:val="auto"/>
          <w:sz w:val="28"/>
          <w:szCs w:val="28"/>
          <w:highlight w:val="none"/>
          <w:u w:val="single"/>
        </w:rPr>
        <w:t xml:space="preserve">         </w:t>
      </w:r>
      <w:r>
        <w:rPr>
          <w:rFonts w:hint="eastAsia" w:cs="宋体"/>
          <w:color w:val="auto"/>
          <w:sz w:val="28"/>
          <w:szCs w:val="28"/>
          <w:highlight w:val="none"/>
        </w:rPr>
        <w:t>月</w:t>
      </w:r>
      <w:r>
        <w:rPr>
          <w:color w:val="auto"/>
          <w:sz w:val="28"/>
          <w:szCs w:val="28"/>
          <w:highlight w:val="none"/>
          <w:u w:val="single"/>
        </w:rPr>
        <w:t xml:space="preserve">         </w:t>
      </w:r>
      <w:r>
        <w:rPr>
          <w:rFonts w:hint="eastAsia" w:cs="宋体"/>
          <w:color w:val="auto"/>
          <w:sz w:val="28"/>
          <w:szCs w:val="28"/>
          <w:highlight w:val="none"/>
        </w:rPr>
        <w:t>日</w:t>
      </w:r>
    </w:p>
    <w:p w14:paraId="336D212E">
      <w:pPr>
        <w:spacing w:line="360" w:lineRule="exact"/>
        <w:ind w:firstLine="560" w:firstLineChars="200"/>
        <w:jc w:val="center"/>
        <w:rPr>
          <w:b/>
          <w:bCs/>
          <w:color w:val="auto"/>
          <w:sz w:val="28"/>
          <w:szCs w:val="28"/>
          <w:highlight w:val="none"/>
        </w:rPr>
      </w:pPr>
      <w:r>
        <w:rPr>
          <w:color w:val="auto"/>
          <w:sz w:val="28"/>
          <w:szCs w:val="28"/>
          <w:highlight w:val="none"/>
        </w:rPr>
        <w:br w:type="page"/>
      </w:r>
      <w:bookmarkStart w:id="2001" w:name="_Toc153274944"/>
      <w:bookmarkStart w:id="2002" w:name="_Toc173579002"/>
      <w:bookmarkStart w:id="2003" w:name="_Toc172364022"/>
      <w:bookmarkStart w:id="2004" w:name="_Toc251052160"/>
      <w:r>
        <w:rPr>
          <w:rFonts w:hint="eastAsia" w:cs="宋体"/>
          <w:b/>
          <w:bCs/>
          <w:color w:val="auto"/>
          <w:sz w:val="28"/>
          <w:szCs w:val="28"/>
          <w:highlight w:val="none"/>
        </w:rPr>
        <w:t>目</w:t>
      </w:r>
      <w:r>
        <w:rPr>
          <w:b/>
          <w:bCs/>
          <w:color w:val="auto"/>
          <w:sz w:val="28"/>
          <w:szCs w:val="28"/>
          <w:highlight w:val="none"/>
        </w:rPr>
        <w:t xml:space="preserve">   </w:t>
      </w:r>
      <w:r>
        <w:rPr>
          <w:rFonts w:hint="eastAsia" w:cs="宋体"/>
          <w:b/>
          <w:bCs/>
          <w:color w:val="auto"/>
          <w:sz w:val="28"/>
          <w:szCs w:val="28"/>
          <w:highlight w:val="none"/>
        </w:rPr>
        <w:t>录</w:t>
      </w:r>
    </w:p>
    <w:p w14:paraId="118B27A4">
      <w:pPr>
        <w:spacing w:line="360" w:lineRule="exact"/>
        <w:ind w:firstLine="640" w:firstLineChars="200"/>
        <w:rPr>
          <w:color w:val="auto"/>
          <w:sz w:val="32"/>
          <w:szCs w:val="32"/>
          <w:highlight w:val="none"/>
        </w:rPr>
      </w:pPr>
    </w:p>
    <w:p w14:paraId="2930759D">
      <w:pPr>
        <w:pStyle w:val="136"/>
        <w:spacing w:line="460" w:lineRule="exact"/>
        <w:rPr>
          <w:color w:val="auto"/>
          <w:highlight w:val="none"/>
        </w:rPr>
      </w:pPr>
      <w:r>
        <w:rPr>
          <w:rFonts w:hint="eastAsia"/>
          <w:color w:val="auto"/>
          <w:highlight w:val="none"/>
        </w:rPr>
        <w:t>一</w:t>
      </w:r>
      <w:r>
        <w:rPr>
          <w:rFonts w:hint="eastAsia" w:cs="宋体"/>
          <w:color w:val="auto"/>
          <w:highlight w:val="none"/>
        </w:rPr>
        <w:t>、施工组织设计；</w:t>
      </w:r>
    </w:p>
    <w:p w14:paraId="04DE62A1">
      <w:pPr>
        <w:pStyle w:val="141"/>
        <w:spacing w:line="460" w:lineRule="exact"/>
        <w:rPr>
          <w:color w:val="auto"/>
          <w:highlight w:val="none"/>
        </w:rPr>
      </w:pPr>
      <w:r>
        <w:rPr>
          <w:rFonts w:hint="eastAsia"/>
          <w:color w:val="auto"/>
          <w:highlight w:val="none"/>
        </w:rPr>
        <w:t>二</w:t>
      </w:r>
      <w:r>
        <w:rPr>
          <w:rFonts w:hint="eastAsia" w:cs="宋体"/>
          <w:color w:val="auto"/>
          <w:highlight w:val="none"/>
        </w:rPr>
        <w:t>、拟分包计划表；</w:t>
      </w:r>
    </w:p>
    <w:p w14:paraId="22BC4ABB">
      <w:pPr>
        <w:pStyle w:val="141"/>
        <w:spacing w:line="460" w:lineRule="exact"/>
        <w:rPr>
          <w:color w:val="auto"/>
          <w:highlight w:val="none"/>
        </w:rPr>
      </w:pPr>
      <w:r>
        <w:rPr>
          <w:rFonts w:hint="eastAsia"/>
          <w:color w:val="auto"/>
          <w:highlight w:val="none"/>
        </w:rPr>
        <w:t>三</w:t>
      </w:r>
      <w:r>
        <w:rPr>
          <w:rFonts w:hint="eastAsia" w:cs="宋体"/>
          <w:color w:val="auto"/>
          <w:highlight w:val="none"/>
        </w:rPr>
        <w:t>、项目管理机构。</w:t>
      </w:r>
    </w:p>
    <w:p w14:paraId="7EAF6488">
      <w:pPr>
        <w:pStyle w:val="136"/>
        <w:rPr>
          <w:b/>
          <w:bCs/>
          <w:color w:val="auto"/>
          <w:highlight w:val="none"/>
        </w:rPr>
      </w:pPr>
    </w:p>
    <w:p w14:paraId="0784A8B3">
      <w:pPr>
        <w:pStyle w:val="136"/>
        <w:rPr>
          <w:b/>
          <w:bCs/>
          <w:color w:val="auto"/>
          <w:highlight w:val="none"/>
        </w:rPr>
      </w:pPr>
    </w:p>
    <w:p w14:paraId="5D641A09">
      <w:pPr>
        <w:spacing w:line="360" w:lineRule="exact"/>
        <w:ind w:firstLine="560" w:firstLineChars="200"/>
        <w:rPr>
          <w:color w:val="auto"/>
          <w:sz w:val="28"/>
          <w:szCs w:val="28"/>
          <w:highlight w:val="none"/>
        </w:rPr>
      </w:pPr>
    </w:p>
    <w:p w14:paraId="302E24BB">
      <w:pPr>
        <w:spacing w:line="360" w:lineRule="exact"/>
        <w:ind w:firstLine="560" w:firstLineChars="200"/>
        <w:rPr>
          <w:color w:val="auto"/>
          <w:sz w:val="28"/>
          <w:szCs w:val="28"/>
          <w:highlight w:val="none"/>
        </w:rPr>
      </w:pPr>
    </w:p>
    <w:p w14:paraId="2FB22CB6">
      <w:pPr>
        <w:spacing w:line="360" w:lineRule="exact"/>
        <w:ind w:firstLine="560" w:firstLineChars="200"/>
        <w:rPr>
          <w:color w:val="auto"/>
          <w:sz w:val="28"/>
          <w:szCs w:val="28"/>
          <w:highlight w:val="none"/>
        </w:rPr>
      </w:pPr>
    </w:p>
    <w:p w14:paraId="623BFB6B">
      <w:pPr>
        <w:spacing w:line="360" w:lineRule="exact"/>
        <w:ind w:firstLine="560" w:firstLineChars="200"/>
        <w:rPr>
          <w:color w:val="auto"/>
          <w:sz w:val="28"/>
          <w:szCs w:val="28"/>
          <w:highlight w:val="none"/>
        </w:rPr>
      </w:pPr>
    </w:p>
    <w:p w14:paraId="78355A29">
      <w:pPr>
        <w:spacing w:line="360" w:lineRule="exact"/>
        <w:ind w:firstLine="560" w:firstLineChars="200"/>
        <w:rPr>
          <w:color w:val="auto"/>
          <w:sz w:val="28"/>
          <w:szCs w:val="28"/>
          <w:highlight w:val="none"/>
        </w:rPr>
      </w:pPr>
    </w:p>
    <w:p w14:paraId="080ADD78">
      <w:pPr>
        <w:spacing w:line="360" w:lineRule="exact"/>
        <w:ind w:firstLine="560" w:firstLineChars="200"/>
        <w:rPr>
          <w:color w:val="auto"/>
          <w:sz w:val="28"/>
          <w:szCs w:val="28"/>
          <w:highlight w:val="none"/>
        </w:rPr>
      </w:pPr>
    </w:p>
    <w:p w14:paraId="7E3A593F">
      <w:pPr>
        <w:spacing w:line="360" w:lineRule="exact"/>
        <w:ind w:firstLine="560" w:firstLineChars="200"/>
        <w:rPr>
          <w:color w:val="auto"/>
          <w:sz w:val="28"/>
          <w:szCs w:val="28"/>
          <w:highlight w:val="none"/>
        </w:rPr>
      </w:pPr>
    </w:p>
    <w:p w14:paraId="0E159020">
      <w:pPr>
        <w:spacing w:line="360" w:lineRule="exact"/>
        <w:ind w:firstLine="560" w:firstLineChars="200"/>
        <w:rPr>
          <w:color w:val="auto"/>
          <w:sz w:val="28"/>
          <w:szCs w:val="28"/>
          <w:highlight w:val="none"/>
        </w:rPr>
      </w:pPr>
    </w:p>
    <w:p w14:paraId="4447BBA5">
      <w:pPr>
        <w:spacing w:line="360" w:lineRule="exact"/>
        <w:ind w:firstLine="560" w:firstLineChars="200"/>
        <w:rPr>
          <w:color w:val="auto"/>
          <w:sz w:val="28"/>
          <w:szCs w:val="28"/>
          <w:highlight w:val="none"/>
        </w:rPr>
      </w:pPr>
    </w:p>
    <w:p w14:paraId="6DD8E5FD">
      <w:pPr>
        <w:spacing w:line="360" w:lineRule="exact"/>
        <w:ind w:firstLine="560" w:firstLineChars="200"/>
        <w:rPr>
          <w:color w:val="auto"/>
          <w:sz w:val="28"/>
          <w:szCs w:val="28"/>
          <w:highlight w:val="none"/>
        </w:rPr>
      </w:pPr>
    </w:p>
    <w:p w14:paraId="7EAF6765">
      <w:pPr>
        <w:spacing w:line="360" w:lineRule="exact"/>
        <w:ind w:firstLine="560" w:firstLineChars="200"/>
        <w:rPr>
          <w:color w:val="auto"/>
          <w:sz w:val="28"/>
          <w:szCs w:val="28"/>
          <w:highlight w:val="none"/>
        </w:rPr>
      </w:pPr>
    </w:p>
    <w:p w14:paraId="74A1574C">
      <w:pPr>
        <w:spacing w:line="360" w:lineRule="exact"/>
        <w:ind w:firstLine="560" w:firstLineChars="200"/>
        <w:rPr>
          <w:color w:val="auto"/>
          <w:sz w:val="28"/>
          <w:szCs w:val="28"/>
          <w:highlight w:val="none"/>
        </w:rPr>
      </w:pPr>
    </w:p>
    <w:p w14:paraId="1CA73B88">
      <w:pPr>
        <w:spacing w:line="360" w:lineRule="exact"/>
        <w:ind w:firstLine="560" w:firstLineChars="200"/>
        <w:rPr>
          <w:color w:val="auto"/>
          <w:sz w:val="28"/>
          <w:szCs w:val="28"/>
          <w:highlight w:val="none"/>
        </w:rPr>
      </w:pPr>
    </w:p>
    <w:p w14:paraId="2E9E559D">
      <w:pPr>
        <w:spacing w:line="360" w:lineRule="exact"/>
        <w:ind w:firstLine="560" w:firstLineChars="200"/>
        <w:rPr>
          <w:color w:val="auto"/>
          <w:sz w:val="28"/>
          <w:szCs w:val="28"/>
          <w:highlight w:val="none"/>
        </w:rPr>
      </w:pPr>
    </w:p>
    <w:p w14:paraId="00D10D78">
      <w:pPr>
        <w:spacing w:line="360" w:lineRule="exact"/>
        <w:ind w:firstLine="560" w:firstLineChars="200"/>
        <w:rPr>
          <w:color w:val="auto"/>
          <w:sz w:val="28"/>
          <w:szCs w:val="28"/>
          <w:highlight w:val="none"/>
        </w:rPr>
      </w:pPr>
    </w:p>
    <w:p w14:paraId="6C1F60DB">
      <w:pPr>
        <w:spacing w:line="360" w:lineRule="exact"/>
        <w:ind w:firstLine="560" w:firstLineChars="200"/>
        <w:rPr>
          <w:color w:val="auto"/>
          <w:sz w:val="28"/>
          <w:szCs w:val="28"/>
          <w:highlight w:val="none"/>
        </w:rPr>
      </w:pPr>
    </w:p>
    <w:p w14:paraId="7A48E1BF">
      <w:pPr>
        <w:spacing w:line="360" w:lineRule="exact"/>
        <w:ind w:firstLine="560" w:firstLineChars="200"/>
        <w:rPr>
          <w:color w:val="auto"/>
          <w:sz w:val="28"/>
          <w:szCs w:val="28"/>
          <w:highlight w:val="none"/>
        </w:rPr>
      </w:pPr>
    </w:p>
    <w:p w14:paraId="4245D733">
      <w:pPr>
        <w:spacing w:line="360" w:lineRule="exact"/>
        <w:ind w:firstLine="560" w:firstLineChars="200"/>
        <w:rPr>
          <w:color w:val="auto"/>
          <w:sz w:val="28"/>
          <w:szCs w:val="28"/>
          <w:highlight w:val="none"/>
        </w:rPr>
      </w:pPr>
    </w:p>
    <w:p w14:paraId="5F004436">
      <w:pPr>
        <w:spacing w:line="360" w:lineRule="exact"/>
        <w:ind w:firstLine="560" w:firstLineChars="200"/>
        <w:rPr>
          <w:color w:val="auto"/>
          <w:sz w:val="28"/>
          <w:szCs w:val="28"/>
          <w:highlight w:val="none"/>
        </w:rPr>
      </w:pPr>
    </w:p>
    <w:p w14:paraId="234519C8">
      <w:pPr>
        <w:spacing w:line="360" w:lineRule="exact"/>
        <w:ind w:firstLine="560" w:firstLineChars="200"/>
        <w:rPr>
          <w:color w:val="auto"/>
          <w:sz w:val="28"/>
          <w:szCs w:val="28"/>
          <w:highlight w:val="none"/>
        </w:rPr>
      </w:pPr>
    </w:p>
    <w:p w14:paraId="588C3784">
      <w:pPr>
        <w:spacing w:line="360" w:lineRule="exact"/>
        <w:ind w:firstLine="560" w:firstLineChars="200"/>
        <w:rPr>
          <w:color w:val="auto"/>
          <w:sz w:val="28"/>
          <w:szCs w:val="28"/>
          <w:highlight w:val="none"/>
        </w:rPr>
      </w:pPr>
    </w:p>
    <w:p w14:paraId="51D438AC">
      <w:pPr>
        <w:spacing w:line="360" w:lineRule="exact"/>
        <w:ind w:firstLine="560" w:firstLineChars="200"/>
        <w:rPr>
          <w:color w:val="auto"/>
          <w:sz w:val="28"/>
          <w:szCs w:val="28"/>
          <w:highlight w:val="none"/>
        </w:rPr>
      </w:pPr>
    </w:p>
    <w:p w14:paraId="5DE4E385">
      <w:pPr>
        <w:spacing w:line="360" w:lineRule="exact"/>
        <w:ind w:firstLine="560" w:firstLineChars="200"/>
        <w:rPr>
          <w:color w:val="auto"/>
          <w:sz w:val="28"/>
          <w:szCs w:val="28"/>
          <w:highlight w:val="none"/>
        </w:rPr>
      </w:pPr>
    </w:p>
    <w:p w14:paraId="3A25B65F">
      <w:pPr>
        <w:spacing w:line="360" w:lineRule="exact"/>
        <w:ind w:firstLine="560" w:firstLineChars="200"/>
        <w:rPr>
          <w:color w:val="auto"/>
          <w:sz w:val="28"/>
          <w:szCs w:val="28"/>
          <w:highlight w:val="none"/>
        </w:rPr>
      </w:pPr>
    </w:p>
    <w:p w14:paraId="7C378240">
      <w:pPr>
        <w:spacing w:line="360" w:lineRule="exact"/>
        <w:ind w:firstLine="560" w:firstLineChars="200"/>
        <w:rPr>
          <w:rFonts w:hint="eastAsia"/>
          <w:color w:val="auto"/>
          <w:sz w:val="28"/>
          <w:szCs w:val="28"/>
          <w:highlight w:val="none"/>
        </w:rPr>
      </w:pPr>
    </w:p>
    <w:p w14:paraId="6F9FC8B6">
      <w:pPr>
        <w:spacing w:line="360" w:lineRule="exact"/>
        <w:ind w:firstLine="560" w:firstLineChars="200"/>
        <w:rPr>
          <w:rFonts w:hint="eastAsia"/>
          <w:color w:val="auto"/>
          <w:sz w:val="28"/>
          <w:szCs w:val="28"/>
          <w:highlight w:val="none"/>
        </w:rPr>
      </w:pPr>
    </w:p>
    <w:p w14:paraId="7CAC4F02">
      <w:pPr>
        <w:spacing w:line="360" w:lineRule="exact"/>
        <w:ind w:firstLine="560" w:firstLineChars="200"/>
        <w:rPr>
          <w:rFonts w:hint="eastAsia"/>
          <w:color w:val="auto"/>
          <w:sz w:val="28"/>
          <w:szCs w:val="28"/>
          <w:highlight w:val="none"/>
        </w:rPr>
      </w:pPr>
    </w:p>
    <w:p w14:paraId="1A36FC57">
      <w:pPr>
        <w:spacing w:line="360" w:lineRule="exact"/>
        <w:ind w:firstLine="560" w:firstLineChars="200"/>
        <w:rPr>
          <w:rFonts w:hint="eastAsia"/>
          <w:color w:val="auto"/>
          <w:sz w:val="28"/>
          <w:szCs w:val="28"/>
          <w:highlight w:val="none"/>
        </w:rPr>
      </w:pPr>
    </w:p>
    <w:p w14:paraId="5A945721">
      <w:pPr>
        <w:spacing w:line="360" w:lineRule="exact"/>
        <w:ind w:firstLine="560" w:firstLineChars="200"/>
        <w:rPr>
          <w:color w:val="auto"/>
          <w:sz w:val="28"/>
          <w:szCs w:val="28"/>
          <w:highlight w:val="none"/>
        </w:rPr>
      </w:pPr>
    </w:p>
    <w:p w14:paraId="636751EE">
      <w:pPr>
        <w:spacing w:line="360" w:lineRule="exact"/>
        <w:ind w:firstLine="560" w:firstLineChars="200"/>
        <w:rPr>
          <w:rFonts w:hint="eastAsia"/>
          <w:color w:val="auto"/>
          <w:sz w:val="28"/>
          <w:szCs w:val="28"/>
          <w:highlight w:val="none"/>
        </w:rPr>
      </w:pPr>
    </w:p>
    <w:p w14:paraId="31CD957C">
      <w:pPr>
        <w:rPr>
          <w:rFonts w:hint="eastAsia" w:ascii="宋体" w:hAnsi="宋体"/>
          <w:color w:val="auto"/>
          <w:highlight w:val="none"/>
        </w:rPr>
      </w:pPr>
    </w:p>
    <w:p w14:paraId="76912F2D">
      <w:pPr>
        <w:pStyle w:val="136"/>
        <w:jc w:val="center"/>
        <w:outlineLvl w:val="0"/>
        <w:rPr>
          <w:b/>
          <w:bCs/>
          <w:color w:val="auto"/>
          <w:sz w:val="24"/>
          <w:szCs w:val="24"/>
          <w:highlight w:val="none"/>
        </w:rPr>
      </w:pPr>
      <w:bookmarkStart w:id="2005" w:name="_Toc389065360"/>
      <w:r>
        <w:rPr>
          <w:rFonts w:hint="eastAsia" w:cs="宋体"/>
          <w:b/>
          <w:bCs/>
          <w:color w:val="auto"/>
          <w:sz w:val="24"/>
          <w:szCs w:val="24"/>
          <w:highlight w:val="none"/>
        </w:rPr>
        <w:t>一、施工组织设计</w:t>
      </w:r>
      <w:bookmarkEnd w:id="2005"/>
    </w:p>
    <w:p w14:paraId="29F76EBB">
      <w:pPr>
        <w:rPr>
          <w:color w:val="auto"/>
          <w:highlight w:val="none"/>
        </w:rPr>
      </w:pPr>
    </w:p>
    <w:p w14:paraId="135DC882">
      <w:pPr>
        <w:spacing w:line="360" w:lineRule="auto"/>
        <w:ind w:firstLine="420" w:firstLineChars="200"/>
        <w:rPr>
          <w:rFonts w:hint="eastAsia" w:ascii="宋体" w:hAnsi="宋体"/>
          <w:color w:val="auto"/>
          <w:highlight w:val="none"/>
        </w:rPr>
      </w:pPr>
      <w:r>
        <w:rPr>
          <w:rFonts w:hint="eastAsia"/>
          <w:color w:val="auto"/>
          <w:highlight w:val="none"/>
        </w:rPr>
        <w:t>一、</w:t>
      </w:r>
      <w:r>
        <w:rPr>
          <w:rFonts w:hint="eastAsia" w:ascii="宋体" w:hAnsi="宋体"/>
          <w:color w:val="auto"/>
          <w:highlight w:val="none"/>
        </w:rPr>
        <w:t>技术标的</w:t>
      </w:r>
      <w:r>
        <w:rPr>
          <w:color w:val="auto"/>
          <w:highlight w:val="none"/>
        </w:rPr>
        <w:t>施工组织</w:t>
      </w:r>
      <w:r>
        <w:rPr>
          <w:rFonts w:hint="eastAsia"/>
          <w:color w:val="auto"/>
          <w:highlight w:val="none"/>
        </w:rPr>
        <w:t>设计</w:t>
      </w:r>
      <w:r>
        <w:rPr>
          <w:rFonts w:hint="eastAsia" w:ascii="宋体" w:hAnsi="宋体"/>
          <w:color w:val="auto"/>
          <w:highlight w:val="none"/>
        </w:rPr>
        <w:t>编制要求：</w:t>
      </w:r>
    </w:p>
    <w:p w14:paraId="74A02256">
      <w:pPr>
        <w:spacing w:line="360" w:lineRule="auto"/>
        <w:ind w:firstLine="567" w:firstLineChars="270"/>
        <w:rPr>
          <w:rFonts w:hint="eastAsia"/>
          <w:color w:val="auto"/>
          <w:highlight w:val="none"/>
        </w:rPr>
      </w:pPr>
      <w:r>
        <w:rPr>
          <w:rFonts w:hint="eastAsia" w:ascii="宋体" w:hAnsi="宋体"/>
          <w:color w:val="auto"/>
          <w:highlight w:val="none"/>
          <w:lang w:eastAsia="zh-CN"/>
        </w:rPr>
        <w:t>1.</w:t>
      </w:r>
      <w:r>
        <w:rPr>
          <w:rFonts w:hint="eastAsia" w:ascii="宋体" w:hAnsi="宋体"/>
          <w:color w:val="auto"/>
          <w:highlight w:val="none"/>
        </w:rPr>
        <w:t>技术标</w:t>
      </w:r>
      <w:r>
        <w:rPr>
          <w:color w:val="auto"/>
          <w:highlight w:val="none"/>
        </w:rPr>
        <w:t>施工组织</w:t>
      </w:r>
      <w:r>
        <w:rPr>
          <w:rFonts w:hint="eastAsia"/>
          <w:color w:val="auto"/>
          <w:highlight w:val="none"/>
        </w:rPr>
        <w:t>设计</w:t>
      </w:r>
      <w:r>
        <w:rPr>
          <w:rFonts w:hint="eastAsia" w:ascii="宋体" w:hAnsi="宋体"/>
          <w:color w:val="auto"/>
          <w:highlight w:val="none"/>
        </w:rPr>
        <w:t>应</w:t>
      </w:r>
      <w:r>
        <w:rPr>
          <w:rFonts w:hint="eastAsia"/>
          <w:color w:val="auto"/>
          <w:highlight w:val="none"/>
        </w:rPr>
        <w:t>按投标人须知</w:t>
      </w:r>
      <w:r>
        <w:rPr>
          <w:rFonts w:hint="eastAsia"/>
          <w:color w:val="auto"/>
          <w:highlight w:val="none"/>
          <w:lang w:eastAsia="zh-CN"/>
        </w:rPr>
        <w:t>正文部分</w:t>
      </w:r>
      <w:r>
        <w:rPr>
          <w:rFonts w:hint="eastAsia"/>
          <w:color w:val="auto"/>
          <w:highlight w:val="none"/>
        </w:rPr>
        <w:t>3.1.</w:t>
      </w:r>
      <w:r>
        <w:rPr>
          <w:color w:val="auto"/>
          <w:highlight w:val="none"/>
        </w:rPr>
        <w:t>1</w:t>
      </w:r>
      <w:r>
        <w:rPr>
          <w:rFonts w:hint="eastAsia"/>
          <w:color w:val="auto"/>
          <w:highlight w:val="none"/>
        </w:rPr>
        <w:t>.3</w:t>
      </w:r>
      <w:r>
        <w:rPr>
          <w:color w:val="auto"/>
          <w:highlight w:val="none"/>
        </w:rPr>
        <w:t>施工组织</w:t>
      </w:r>
      <w:r>
        <w:rPr>
          <w:rFonts w:hint="eastAsia"/>
          <w:color w:val="auto"/>
          <w:highlight w:val="none"/>
        </w:rPr>
        <w:t>设计要求的内容顺序编制，可</w:t>
      </w:r>
      <w:r>
        <w:rPr>
          <w:rFonts w:hint="eastAsia" w:ascii="宋体" w:hAnsi="宋体"/>
          <w:color w:val="auto"/>
          <w:highlight w:val="none"/>
        </w:rPr>
        <w:t>采用文字并结合图表形式说明施工方法</w:t>
      </w:r>
      <w:r>
        <w:rPr>
          <w:rFonts w:hint="eastAsia"/>
          <w:color w:val="auto"/>
          <w:highlight w:val="none"/>
        </w:rPr>
        <w:t>。</w:t>
      </w:r>
    </w:p>
    <w:p w14:paraId="1FC495A1">
      <w:pPr>
        <w:spacing w:line="360" w:lineRule="auto"/>
        <w:ind w:firstLine="567" w:firstLineChars="270"/>
        <w:rPr>
          <w:rFonts w:ascii="宋体" w:hAnsi="宋体"/>
          <w:color w:val="auto"/>
          <w:highlight w:val="none"/>
        </w:rPr>
      </w:pPr>
      <w:r>
        <w:rPr>
          <w:rFonts w:hint="eastAsia" w:ascii="宋体" w:hAnsi="宋体"/>
          <w:color w:val="auto"/>
          <w:highlight w:val="none"/>
          <w:lang w:eastAsia="zh-CN"/>
        </w:rPr>
        <w:t>2.</w:t>
      </w:r>
      <w:r>
        <w:rPr>
          <w:rFonts w:hint="eastAsia" w:ascii="宋体" w:hAnsi="宋体"/>
          <w:color w:val="auto"/>
          <w:highlight w:val="none"/>
        </w:rPr>
        <w:t>技术标</w:t>
      </w:r>
      <w:r>
        <w:rPr>
          <w:color w:val="auto"/>
          <w:highlight w:val="none"/>
        </w:rPr>
        <w:t>施工组织</w:t>
      </w:r>
      <w:r>
        <w:rPr>
          <w:rFonts w:hint="eastAsia"/>
          <w:color w:val="auto"/>
          <w:highlight w:val="none"/>
        </w:rPr>
        <w:t>设计</w:t>
      </w:r>
      <w:r>
        <w:rPr>
          <w:rFonts w:hint="eastAsia" w:ascii="宋体" w:hAnsi="宋体"/>
          <w:color w:val="auto"/>
          <w:highlight w:val="none"/>
        </w:rPr>
        <w:t>除采用文字表述外可附下列图表，图表及格式要求附后。</w:t>
      </w:r>
    </w:p>
    <w:p w14:paraId="2BC9CFD7">
      <w:pPr>
        <w:spacing w:line="460" w:lineRule="exact"/>
        <w:ind w:firstLine="420" w:firstLineChars="200"/>
        <w:rPr>
          <w:color w:val="auto"/>
          <w:highlight w:val="none"/>
        </w:rPr>
      </w:pPr>
      <w:r>
        <w:rPr>
          <w:rFonts w:hint="eastAsia" w:cs="宋体"/>
          <w:color w:val="auto"/>
          <w:highlight w:val="none"/>
        </w:rPr>
        <w:t>附表一</w:t>
      </w:r>
      <w:r>
        <w:rPr>
          <w:rFonts w:hint="eastAsia"/>
          <w:color w:val="auto"/>
          <w:highlight w:val="none"/>
          <w:lang w:eastAsia="zh-CN"/>
        </w:rPr>
        <w:t>：</w:t>
      </w:r>
      <w:r>
        <w:rPr>
          <w:rFonts w:hint="eastAsia" w:cs="宋体"/>
          <w:color w:val="auto"/>
          <w:highlight w:val="none"/>
        </w:rPr>
        <w:t>劳动力计划表</w:t>
      </w:r>
    </w:p>
    <w:p w14:paraId="6A17FCEE">
      <w:pPr>
        <w:spacing w:line="460" w:lineRule="exact"/>
        <w:ind w:firstLine="420" w:firstLineChars="200"/>
        <w:rPr>
          <w:color w:val="auto"/>
          <w:highlight w:val="none"/>
        </w:rPr>
      </w:pPr>
      <w:r>
        <w:rPr>
          <w:rFonts w:hint="eastAsia" w:cs="宋体"/>
          <w:color w:val="auto"/>
          <w:highlight w:val="none"/>
        </w:rPr>
        <w:t>附表二</w:t>
      </w:r>
      <w:r>
        <w:rPr>
          <w:rFonts w:hint="eastAsia"/>
          <w:color w:val="auto"/>
          <w:highlight w:val="none"/>
          <w:lang w:eastAsia="zh-CN"/>
        </w:rPr>
        <w:t>：</w:t>
      </w:r>
      <w:r>
        <w:rPr>
          <w:rFonts w:hint="eastAsia" w:cs="宋体"/>
          <w:color w:val="auto"/>
          <w:highlight w:val="none"/>
        </w:rPr>
        <w:t>计划开、竣工日期和施工进度计划（网络图或横道图）</w:t>
      </w:r>
    </w:p>
    <w:p w14:paraId="32AA988D">
      <w:pPr>
        <w:spacing w:line="460" w:lineRule="exact"/>
        <w:ind w:firstLine="420" w:firstLineChars="200"/>
        <w:rPr>
          <w:color w:val="auto"/>
          <w:highlight w:val="none"/>
        </w:rPr>
      </w:pPr>
      <w:r>
        <w:rPr>
          <w:rFonts w:hint="eastAsia" w:cs="宋体"/>
          <w:color w:val="auto"/>
          <w:highlight w:val="none"/>
        </w:rPr>
        <w:t>附表三</w:t>
      </w:r>
      <w:r>
        <w:rPr>
          <w:rFonts w:hint="eastAsia"/>
          <w:color w:val="auto"/>
          <w:highlight w:val="none"/>
          <w:lang w:eastAsia="zh-CN"/>
        </w:rPr>
        <w:t>：</w:t>
      </w:r>
      <w:r>
        <w:rPr>
          <w:rFonts w:hint="eastAsia" w:cs="宋体"/>
          <w:color w:val="auto"/>
          <w:highlight w:val="none"/>
        </w:rPr>
        <w:t>施工总平面图</w:t>
      </w:r>
    </w:p>
    <w:p w14:paraId="5E705D24">
      <w:pPr>
        <w:spacing w:line="460" w:lineRule="exact"/>
        <w:ind w:firstLine="420" w:firstLineChars="200"/>
        <w:rPr>
          <w:color w:val="auto"/>
          <w:highlight w:val="none"/>
        </w:rPr>
      </w:pPr>
      <w:r>
        <w:rPr>
          <w:rFonts w:hint="eastAsia" w:cs="宋体"/>
          <w:color w:val="auto"/>
          <w:highlight w:val="none"/>
        </w:rPr>
        <w:t>附表四</w:t>
      </w:r>
      <w:r>
        <w:rPr>
          <w:rFonts w:hint="eastAsia"/>
          <w:color w:val="auto"/>
          <w:highlight w:val="none"/>
          <w:lang w:eastAsia="zh-CN"/>
        </w:rPr>
        <w:t>：</w:t>
      </w:r>
      <w:r>
        <w:rPr>
          <w:rFonts w:hint="eastAsia" w:cs="宋体"/>
          <w:color w:val="auto"/>
          <w:highlight w:val="none"/>
        </w:rPr>
        <w:t>临时用地表</w:t>
      </w:r>
    </w:p>
    <w:p w14:paraId="420F4081">
      <w:pPr>
        <w:spacing w:line="360" w:lineRule="auto"/>
        <w:ind w:firstLine="420" w:firstLineChars="200"/>
        <w:rPr>
          <w:rFonts w:hint="eastAsia"/>
          <w:color w:val="auto"/>
          <w:highlight w:val="none"/>
        </w:rPr>
      </w:pPr>
      <w:r>
        <w:rPr>
          <w:rFonts w:hint="eastAsia"/>
          <w:color w:val="auto"/>
          <w:highlight w:val="none"/>
        </w:rPr>
        <w:t>二、技术标中施工组织设计采用暗标</w:t>
      </w:r>
      <w:r>
        <w:rPr>
          <w:color w:val="auto"/>
          <w:highlight w:val="none"/>
        </w:rPr>
        <w:t>编制</w:t>
      </w:r>
      <w:r>
        <w:rPr>
          <w:rFonts w:hint="eastAsia"/>
          <w:color w:val="auto"/>
          <w:highlight w:val="none"/>
        </w:rPr>
        <w:t>，具体</w:t>
      </w:r>
      <w:r>
        <w:rPr>
          <w:color w:val="auto"/>
          <w:highlight w:val="none"/>
        </w:rPr>
        <w:t>要求</w:t>
      </w:r>
      <w:r>
        <w:rPr>
          <w:rFonts w:hint="eastAsia"/>
          <w:color w:val="auto"/>
          <w:highlight w:val="none"/>
        </w:rPr>
        <w:t>如下：</w:t>
      </w:r>
    </w:p>
    <w:p w14:paraId="4F299180">
      <w:pPr>
        <w:spacing w:line="360" w:lineRule="auto"/>
        <w:ind w:firstLine="420" w:firstLineChars="200"/>
        <w:rPr>
          <w:color w:val="auto"/>
          <w:highlight w:val="none"/>
        </w:rPr>
      </w:pPr>
      <w:r>
        <w:rPr>
          <w:color w:val="auto"/>
          <w:highlight w:val="none"/>
        </w:rPr>
        <w:t>（一）</w:t>
      </w:r>
      <w:r>
        <w:rPr>
          <w:rFonts w:hint="eastAsia"/>
          <w:color w:val="auto"/>
          <w:highlight w:val="none"/>
        </w:rPr>
        <w:t>技术标</w:t>
      </w:r>
      <w:r>
        <w:rPr>
          <w:color w:val="auto"/>
          <w:highlight w:val="none"/>
        </w:rPr>
        <w:t>中施工组织</w:t>
      </w:r>
      <w:r>
        <w:rPr>
          <w:rFonts w:hint="eastAsia"/>
          <w:color w:val="auto"/>
          <w:highlight w:val="none"/>
        </w:rPr>
        <w:t>设计</w:t>
      </w:r>
      <w:r>
        <w:rPr>
          <w:color w:val="auto"/>
          <w:highlight w:val="none"/>
        </w:rPr>
        <w:t>纳入</w:t>
      </w:r>
      <w:r>
        <w:rPr>
          <w:rFonts w:hint="eastAsia"/>
          <w:color w:val="auto"/>
          <w:highlight w:val="none"/>
          <w:lang w:eastAsia="zh-CN"/>
        </w:rPr>
        <w:t>“</w:t>
      </w:r>
      <w:r>
        <w:rPr>
          <w:color w:val="auto"/>
          <w:highlight w:val="none"/>
        </w:rPr>
        <w:t>暗标</w:t>
      </w:r>
      <w:r>
        <w:rPr>
          <w:rFonts w:hint="eastAsia"/>
          <w:color w:val="auto"/>
          <w:highlight w:val="none"/>
          <w:lang w:eastAsia="zh-CN"/>
        </w:rPr>
        <w:t>”</w:t>
      </w:r>
      <w:r>
        <w:rPr>
          <w:color w:val="auto"/>
          <w:highlight w:val="none"/>
        </w:rPr>
        <w:t xml:space="preserve">的内容：                                                          </w:t>
      </w:r>
    </w:p>
    <w:p w14:paraId="1A42EC2C">
      <w:pPr>
        <w:spacing w:line="360" w:lineRule="auto"/>
        <w:ind w:firstLine="420" w:firstLineChars="200"/>
        <w:rPr>
          <w:rFonts w:hint="eastAsia"/>
          <w:color w:val="auto"/>
          <w:highlight w:val="none"/>
        </w:rPr>
      </w:pPr>
      <w:r>
        <w:rPr>
          <w:color w:val="auto"/>
          <w:highlight w:val="none"/>
        </w:rPr>
        <w:t xml:space="preserve"> </w:t>
      </w:r>
      <w:r>
        <w:rPr>
          <w:rFonts w:hint="eastAsia"/>
          <w:color w:val="auto"/>
          <w:highlight w:val="none"/>
        </w:rPr>
        <w:t>本招标文件第二章投标人须知</w:t>
      </w:r>
      <w:r>
        <w:rPr>
          <w:rFonts w:hint="eastAsia"/>
          <w:color w:val="auto"/>
          <w:highlight w:val="none"/>
          <w:lang w:eastAsia="zh-CN"/>
        </w:rPr>
        <w:t>正文部分</w:t>
      </w:r>
      <w:r>
        <w:rPr>
          <w:rFonts w:hint="eastAsia"/>
          <w:color w:val="auto"/>
          <w:highlight w:val="none"/>
        </w:rPr>
        <w:t>3.1.</w:t>
      </w:r>
      <w:r>
        <w:rPr>
          <w:color w:val="auto"/>
          <w:highlight w:val="none"/>
        </w:rPr>
        <w:t>1</w:t>
      </w:r>
      <w:r>
        <w:rPr>
          <w:rFonts w:hint="eastAsia"/>
          <w:color w:val="auto"/>
          <w:highlight w:val="none"/>
        </w:rPr>
        <w:t>.3技术标的施工组织设计全部</w:t>
      </w:r>
      <w:r>
        <w:rPr>
          <w:color w:val="auto"/>
          <w:highlight w:val="none"/>
        </w:rPr>
        <w:t>内容</w:t>
      </w:r>
      <w:r>
        <w:rPr>
          <w:rFonts w:hint="eastAsia"/>
          <w:color w:val="auto"/>
          <w:highlight w:val="none"/>
        </w:rPr>
        <w:t>纳入</w:t>
      </w:r>
      <w:r>
        <w:rPr>
          <w:rFonts w:hint="eastAsia"/>
          <w:color w:val="auto"/>
          <w:highlight w:val="none"/>
          <w:lang w:eastAsia="zh-CN"/>
        </w:rPr>
        <w:t>“</w:t>
      </w:r>
      <w:r>
        <w:rPr>
          <w:rFonts w:hint="eastAsia"/>
          <w:color w:val="auto"/>
          <w:highlight w:val="none"/>
        </w:rPr>
        <w:t>暗标</w:t>
      </w:r>
      <w:r>
        <w:rPr>
          <w:rFonts w:hint="eastAsia"/>
          <w:color w:val="auto"/>
          <w:highlight w:val="none"/>
          <w:lang w:eastAsia="zh-CN"/>
        </w:rPr>
        <w:t>”</w:t>
      </w:r>
      <w:r>
        <w:rPr>
          <w:rFonts w:hint="eastAsia"/>
          <w:color w:val="auto"/>
          <w:highlight w:val="none"/>
        </w:rPr>
        <w:t>部分。</w:t>
      </w:r>
    </w:p>
    <w:p w14:paraId="639B3285">
      <w:pPr>
        <w:spacing w:line="360" w:lineRule="auto"/>
        <w:ind w:firstLine="420" w:firstLineChars="200"/>
        <w:rPr>
          <w:rFonts w:hint="eastAsia"/>
          <w:color w:val="auto"/>
          <w:highlight w:val="none"/>
        </w:rPr>
      </w:pPr>
      <w:r>
        <w:rPr>
          <w:rFonts w:hint="eastAsia"/>
          <w:color w:val="auto"/>
          <w:highlight w:val="none"/>
        </w:rPr>
        <w:t xml:space="preserve"> </w:t>
      </w:r>
      <w:r>
        <w:rPr>
          <w:color w:val="auto"/>
          <w:highlight w:val="none"/>
        </w:rPr>
        <w:t>（二）暗标的编制要求</w:t>
      </w:r>
    </w:p>
    <w:p w14:paraId="0471DAEC">
      <w:pPr>
        <w:spacing w:line="360" w:lineRule="auto"/>
        <w:ind w:firstLine="567" w:firstLineChars="270"/>
        <w:rPr>
          <w:rFonts w:hint="eastAsia" w:ascii="宋体" w:hAnsi="宋体"/>
          <w:color w:val="auto"/>
          <w:highlight w:val="none"/>
        </w:rPr>
      </w:pPr>
      <w:r>
        <w:rPr>
          <w:rFonts w:hint="eastAsia" w:ascii="宋体" w:hAnsi="宋体"/>
          <w:color w:val="auto"/>
          <w:highlight w:val="none"/>
          <w:lang w:eastAsia="zh-CN"/>
        </w:rPr>
        <w:t>1.</w:t>
      </w:r>
      <w:r>
        <w:rPr>
          <w:rFonts w:hint="eastAsia" w:ascii="宋体" w:hAnsi="宋体"/>
          <w:color w:val="auto"/>
          <w:highlight w:val="none"/>
        </w:rPr>
        <w:t>技术标</w:t>
      </w:r>
      <w:r>
        <w:rPr>
          <w:color w:val="auto"/>
          <w:highlight w:val="none"/>
        </w:rPr>
        <w:t>施工组织</w:t>
      </w:r>
      <w:r>
        <w:rPr>
          <w:rFonts w:hint="eastAsia"/>
          <w:color w:val="auto"/>
          <w:highlight w:val="none"/>
        </w:rPr>
        <w:t>设计</w:t>
      </w:r>
      <w:r>
        <w:rPr>
          <w:rFonts w:hint="eastAsia" w:ascii="宋体" w:hAnsi="宋体"/>
          <w:color w:val="auto"/>
          <w:highlight w:val="none"/>
        </w:rPr>
        <w:t>封面的编制：</w:t>
      </w:r>
    </w:p>
    <w:p w14:paraId="3932C604">
      <w:pPr>
        <w:spacing w:line="360" w:lineRule="auto"/>
        <w:ind w:firstLine="567" w:firstLineChars="270"/>
        <w:rPr>
          <w:rFonts w:hint="eastAsia" w:ascii="宋体" w:hAnsi="宋体"/>
          <w:color w:val="auto"/>
          <w:highlight w:val="none"/>
        </w:rPr>
      </w:pPr>
      <w:r>
        <w:rPr>
          <w:rFonts w:hint="eastAsia" w:ascii="宋体" w:hAnsi="宋体"/>
          <w:color w:val="auto"/>
          <w:highlight w:val="none"/>
        </w:rPr>
        <w:t>需点击投标文件编制专用工具的</w:t>
      </w:r>
      <w:r>
        <w:rPr>
          <w:rFonts w:hint="eastAsia" w:ascii="宋体" w:hAnsi="宋体"/>
          <w:color w:val="auto"/>
          <w:highlight w:val="none"/>
          <w:lang w:eastAsia="zh-CN"/>
        </w:rPr>
        <w:t>“</w:t>
      </w:r>
      <w:r>
        <w:rPr>
          <w:rFonts w:hint="eastAsia" w:ascii="宋体" w:hAnsi="宋体"/>
          <w:color w:val="auto"/>
          <w:highlight w:val="none"/>
        </w:rPr>
        <w:t>编辑文档</w:t>
      </w:r>
      <w:r>
        <w:rPr>
          <w:rFonts w:hint="eastAsia" w:ascii="宋体" w:hAnsi="宋体"/>
          <w:color w:val="auto"/>
          <w:highlight w:val="none"/>
          <w:lang w:eastAsia="zh-CN"/>
        </w:rPr>
        <w:t>”</w:t>
      </w:r>
      <w:r>
        <w:rPr>
          <w:rFonts w:hint="eastAsia" w:ascii="宋体" w:hAnsi="宋体"/>
          <w:color w:val="auto"/>
          <w:highlight w:val="none"/>
        </w:rPr>
        <w:t>按钮进行内容编辑，关闭编辑框后软件自动将编辑内容转换成PDF格式文档；</w:t>
      </w:r>
    </w:p>
    <w:p w14:paraId="430133B5">
      <w:pPr>
        <w:spacing w:line="360" w:lineRule="auto"/>
        <w:ind w:firstLine="567" w:firstLineChars="270"/>
        <w:rPr>
          <w:rFonts w:hint="eastAsia" w:ascii="宋体" w:hAnsi="宋体"/>
          <w:color w:val="auto"/>
          <w:highlight w:val="none"/>
        </w:rPr>
      </w:pPr>
      <w:r>
        <w:rPr>
          <w:rFonts w:hint="eastAsia" w:ascii="宋体" w:hAnsi="宋体"/>
          <w:color w:val="auto"/>
          <w:highlight w:val="none"/>
          <w:lang w:eastAsia="zh-CN"/>
        </w:rPr>
        <w:t>2.</w:t>
      </w:r>
      <w:r>
        <w:rPr>
          <w:rFonts w:hint="eastAsia" w:ascii="宋体" w:hAnsi="宋体"/>
          <w:color w:val="auto"/>
          <w:highlight w:val="none"/>
        </w:rPr>
        <w:t>技术标</w:t>
      </w:r>
      <w:r>
        <w:rPr>
          <w:color w:val="auto"/>
          <w:highlight w:val="none"/>
        </w:rPr>
        <w:t>施工组织</w:t>
      </w:r>
      <w:r>
        <w:rPr>
          <w:rFonts w:hint="eastAsia"/>
          <w:color w:val="auto"/>
          <w:highlight w:val="none"/>
        </w:rPr>
        <w:t>设计</w:t>
      </w:r>
      <w:r>
        <w:rPr>
          <w:rFonts w:hint="eastAsia" w:ascii="宋体" w:hAnsi="宋体"/>
          <w:color w:val="auto"/>
          <w:highlight w:val="none"/>
        </w:rPr>
        <w:t>正文编制：</w:t>
      </w:r>
    </w:p>
    <w:p w14:paraId="3D249A21">
      <w:pPr>
        <w:spacing w:line="360" w:lineRule="auto"/>
        <w:ind w:firstLine="567" w:firstLineChars="270"/>
        <w:rPr>
          <w:rFonts w:hint="eastAsia" w:ascii="宋体" w:hAnsi="宋体" w:eastAsia="宋体"/>
          <w:color w:val="auto"/>
          <w:highlight w:val="none"/>
          <w:lang w:eastAsia="zh-CN"/>
        </w:rPr>
      </w:pPr>
      <w:r>
        <w:rPr>
          <w:rFonts w:hint="eastAsia" w:ascii="宋体" w:hAnsi="宋体"/>
          <w:color w:val="auto"/>
          <w:highlight w:val="none"/>
        </w:rPr>
        <w:t>导入已编制好的技术标</w:t>
      </w:r>
      <w:r>
        <w:rPr>
          <w:color w:val="auto"/>
          <w:highlight w:val="none"/>
        </w:rPr>
        <w:t>施工组织</w:t>
      </w:r>
      <w:r>
        <w:rPr>
          <w:rFonts w:hint="eastAsia"/>
          <w:color w:val="auto"/>
          <w:highlight w:val="none"/>
        </w:rPr>
        <w:t>设计</w:t>
      </w:r>
      <w:r>
        <w:rPr>
          <w:rFonts w:hint="eastAsia" w:ascii="宋体" w:hAnsi="宋体"/>
          <w:color w:val="auto"/>
          <w:highlight w:val="none"/>
        </w:rPr>
        <w:t>正文文档，将技术标</w:t>
      </w:r>
      <w:r>
        <w:rPr>
          <w:color w:val="auto"/>
          <w:highlight w:val="none"/>
        </w:rPr>
        <w:t>施工组织</w:t>
      </w:r>
      <w:r>
        <w:rPr>
          <w:rFonts w:hint="eastAsia"/>
          <w:color w:val="auto"/>
          <w:highlight w:val="none"/>
        </w:rPr>
        <w:t>设计</w:t>
      </w:r>
      <w:r>
        <w:rPr>
          <w:rFonts w:hint="eastAsia" w:ascii="宋体" w:hAnsi="宋体"/>
          <w:color w:val="auto"/>
          <w:highlight w:val="none"/>
        </w:rPr>
        <w:t>正文文档相应内容与各个评分点进行节点对应。采用综合评估法时施工组织设计</w:t>
      </w:r>
      <w:r>
        <w:rPr>
          <w:rFonts w:hint="eastAsia" w:ascii="宋体" w:hAnsi="宋体"/>
          <w:color w:val="auto"/>
          <w:highlight w:val="none"/>
          <w:lang w:eastAsia="zh-CN"/>
        </w:rPr>
        <w:t>正文</w:t>
      </w:r>
      <w:r>
        <w:rPr>
          <w:rFonts w:hint="eastAsia" w:ascii="宋体" w:hAnsi="宋体"/>
          <w:color w:val="auto"/>
          <w:highlight w:val="none"/>
        </w:rPr>
        <w:t>部分篇幅不得超过</w:t>
      </w:r>
      <w:r>
        <w:rPr>
          <w:rFonts w:hint="eastAsia" w:ascii="宋体" w:hAnsi="宋体"/>
          <w:color w:val="auto"/>
          <w:highlight w:val="none"/>
          <w:lang w:val="en-US" w:eastAsia="zh-CN"/>
        </w:rPr>
        <w:t>5</w:t>
      </w:r>
      <w:r>
        <w:rPr>
          <w:rFonts w:hint="eastAsia" w:ascii="宋体" w:hAnsi="宋体"/>
          <w:color w:val="auto"/>
          <w:highlight w:val="none"/>
        </w:rPr>
        <w:t>00页，采用合理低价法时施工组织设计</w:t>
      </w:r>
      <w:r>
        <w:rPr>
          <w:rFonts w:hint="eastAsia" w:ascii="宋体" w:hAnsi="宋体"/>
          <w:color w:val="auto"/>
          <w:highlight w:val="none"/>
          <w:lang w:eastAsia="zh-CN"/>
        </w:rPr>
        <w:t>正文</w:t>
      </w:r>
      <w:r>
        <w:rPr>
          <w:rFonts w:hint="eastAsia" w:ascii="宋体" w:hAnsi="宋体"/>
          <w:color w:val="auto"/>
          <w:highlight w:val="none"/>
        </w:rPr>
        <w:t>部分篇幅不得超过</w:t>
      </w:r>
      <w:r>
        <w:rPr>
          <w:rFonts w:hint="eastAsia" w:ascii="宋体" w:hAnsi="宋体"/>
          <w:color w:val="auto"/>
          <w:highlight w:val="none"/>
          <w:lang w:val="en-US" w:eastAsia="zh-CN"/>
        </w:rPr>
        <w:t>30</w:t>
      </w:r>
      <w:r>
        <w:rPr>
          <w:rFonts w:hint="eastAsia" w:ascii="宋体" w:hAnsi="宋体"/>
          <w:color w:val="auto"/>
          <w:highlight w:val="none"/>
        </w:rPr>
        <w:t>0页</w:t>
      </w:r>
      <w:r>
        <w:rPr>
          <w:rFonts w:hint="eastAsia" w:ascii="宋体" w:hAnsi="宋体"/>
          <w:color w:val="auto"/>
          <w:highlight w:val="none"/>
          <w:lang w:eastAsia="zh-CN"/>
        </w:rPr>
        <w:t>。</w:t>
      </w:r>
    </w:p>
    <w:p w14:paraId="759F6367">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3.目录要求：</w:t>
      </w:r>
    </w:p>
    <w:p w14:paraId="2C667208">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技术标施工组织设计首页应为目录，目录标题（首行不缩进）采用宋体三号居中，正文采用宋体四号左端对齐。目录中各章点名称与其页数之间采用点来划线（………），页数放在最后一列，目录页脚不编制页码。目录应按如下格式编制（目录最多使用二级标题）：</w:t>
      </w:r>
    </w:p>
    <w:p w14:paraId="4F0B50BF">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1.概述</w:t>
      </w:r>
    </w:p>
    <w:p w14:paraId="0EA9EDB4">
      <w:pPr>
        <w:pStyle w:val="158"/>
        <w:keepNext w:val="0"/>
        <w:keepLines w:val="0"/>
        <w:pageBreakBefore w:val="0"/>
        <w:widowControl w:val="0"/>
        <w:kinsoku/>
        <w:wordWrap/>
        <w:overflowPunct/>
        <w:topLinePunct w:val="0"/>
        <w:autoSpaceDE/>
        <w:autoSpaceDN/>
        <w:bidi w:val="0"/>
        <w:adjustRightInd/>
        <w:snapToGrid/>
        <w:spacing w:line="460" w:lineRule="exact"/>
        <w:ind w:firstLine="567" w:firstLineChars="270"/>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1.1</w:t>
      </w:r>
      <w:r>
        <w:rPr>
          <w:rFonts w:hint="default" w:ascii="Times New Roman" w:hAnsi="Times New Roman" w:cs="Times New Roman" w:eastAsiaTheme="minorEastAsia"/>
          <w:color w:val="auto"/>
          <w:sz w:val="21"/>
          <w:szCs w:val="21"/>
          <w:highlight w:val="none"/>
          <w:lang w:val="en-US" w:eastAsia="zh-CN"/>
        </w:rPr>
        <w:t>…</w:t>
      </w:r>
    </w:p>
    <w:p w14:paraId="456E1E70">
      <w:pPr>
        <w:pStyle w:val="158"/>
        <w:keepNext w:val="0"/>
        <w:keepLines w:val="0"/>
        <w:pageBreakBefore w:val="0"/>
        <w:widowControl w:val="0"/>
        <w:kinsoku/>
        <w:wordWrap/>
        <w:overflowPunct/>
        <w:topLinePunct w:val="0"/>
        <w:autoSpaceDE/>
        <w:autoSpaceDN/>
        <w:bidi w:val="0"/>
        <w:adjustRightInd/>
        <w:snapToGrid/>
        <w:spacing w:line="460" w:lineRule="exact"/>
        <w:ind w:firstLine="567" w:firstLineChars="270"/>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1.2</w:t>
      </w:r>
      <w:r>
        <w:rPr>
          <w:rFonts w:hint="default" w:ascii="Times New Roman" w:hAnsi="Times New Roman" w:cs="Times New Roman" w:eastAsiaTheme="minorEastAsia"/>
          <w:color w:val="auto"/>
          <w:sz w:val="21"/>
          <w:szCs w:val="21"/>
          <w:highlight w:val="none"/>
          <w:lang w:val="en-US" w:eastAsia="zh-CN"/>
        </w:rPr>
        <w:t>…</w:t>
      </w:r>
    </w:p>
    <w:p w14:paraId="5BE9A12A">
      <w:pPr>
        <w:widowControl/>
        <w:tabs>
          <w:tab w:val="right" w:leader="dot" w:pos="3360"/>
        </w:tabs>
        <w:spacing w:line="400" w:lineRule="exact"/>
        <w:ind w:firstLine="630" w:firstLineChars="300"/>
        <w:textAlignment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w:t>
      </w:r>
    </w:p>
    <w:p w14:paraId="5B6326AC">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2.主要施工方法</w:t>
      </w:r>
    </w:p>
    <w:p w14:paraId="45E00CDE">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3.拟投入的主要物资计划</w:t>
      </w:r>
    </w:p>
    <w:p w14:paraId="52493916">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4.劳动力安排计划</w:t>
      </w:r>
    </w:p>
    <w:p w14:paraId="44569DC8">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5.确保工程质量的技术组织措施</w:t>
      </w:r>
    </w:p>
    <w:p w14:paraId="5846E28B">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6.确保安全生产的技术组织措施</w:t>
      </w:r>
    </w:p>
    <w:p w14:paraId="5122AFA3">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7.确保工期的技术组织措施</w:t>
      </w:r>
    </w:p>
    <w:p w14:paraId="16670A1F">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8.确保文明施工的技术组织措施</w:t>
      </w:r>
    </w:p>
    <w:p w14:paraId="03F6F776">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9.工程施工的重点和难点及保证措施</w:t>
      </w:r>
    </w:p>
    <w:p w14:paraId="122C1F48">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10.施工总平面布置图</w:t>
      </w:r>
    </w:p>
    <w:p w14:paraId="05BC051A">
      <w:pPr>
        <w:spacing w:line="360" w:lineRule="auto"/>
        <w:ind w:firstLine="567" w:firstLineChars="270"/>
        <w:rPr>
          <w:rFonts w:hint="eastAsia"/>
          <w:color w:val="auto"/>
          <w:highlight w:val="none"/>
          <w:lang w:val="en-US" w:eastAsia="zh-CN"/>
        </w:rPr>
      </w:pPr>
      <w:r>
        <w:rPr>
          <w:rFonts w:hint="eastAsia"/>
          <w:color w:val="auto"/>
          <w:highlight w:val="none"/>
          <w:lang w:val="en-US" w:eastAsia="zh-CN"/>
        </w:rPr>
        <w:t>11.其他（如有）（与评标办法前附表技术标评分标准一致）</w:t>
      </w:r>
    </w:p>
    <w:p w14:paraId="3F90A13F">
      <w:pPr>
        <w:spacing w:line="360" w:lineRule="auto"/>
        <w:ind w:firstLine="567" w:firstLineChars="270"/>
        <w:rPr>
          <w:rFonts w:hint="eastAsia"/>
          <w:color w:val="auto"/>
          <w:highlight w:val="none"/>
          <w:lang w:eastAsia="zh-CN"/>
        </w:rPr>
      </w:pPr>
    </w:p>
    <w:p w14:paraId="711CD336">
      <w:pPr>
        <w:spacing w:line="360" w:lineRule="auto"/>
        <w:ind w:firstLine="567" w:firstLineChars="270"/>
        <w:rPr>
          <w:rFonts w:hint="eastAsia" w:ascii="宋体" w:hAnsi="宋体"/>
          <w:color w:val="auto"/>
          <w:highlight w:val="none"/>
        </w:rPr>
      </w:pPr>
      <w:r>
        <w:rPr>
          <w:rFonts w:hint="eastAsia"/>
          <w:color w:val="auto"/>
          <w:highlight w:val="none"/>
          <w:lang w:eastAsia="zh-CN"/>
        </w:rPr>
        <w:t>4.</w:t>
      </w:r>
      <w:r>
        <w:rPr>
          <w:rFonts w:hint="eastAsia"/>
          <w:color w:val="auto"/>
          <w:highlight w:val="none"/>
        </w:rPr>
        <w:t>章节</w:t>
      </w:r>
      <w:r>
        <w:rPr>
          <w:rFonts w:hint="eastAsia" w:ascii="宋体" w:hAnsi="宋体"/>
          <w:color w:val="auto"/>
          <w:highlight w:val="none"/>
        </w:rPr>
        <w:t>要求：</w:t>
      </w:r>
    </w:p>
    <w:p w14:paraId="7DB11CF1">
      <w:pPr>
        <w:spacing w:line="360" w:lineRule="auto"/>
        <w:ind w:firstLine="567" w:firstLineChars="270"/>
        <w:rPr>
          <w:rFonts w:hint="eastAsia" w:ascii="宋体" w:hAnsi="宋体"/>
          <w:color w:val="auto"/>
          <w:highlight w:val="none"/>
        </w:rPr>
      </w:pPr>
      <w:r>
        <w:rPr>
          <w:rFonts w:hint="eastAsia" w:ascii="宋体" w:hAnsi="宋体"/>
          <w:color w:val="auto"/>
          <w:highlight w:val="none"/>
        </w:rPr>
        <w:t>技术标</w:t>
      </w:r>
      <w:r>
        <w:rPr>
          <w:color w:val="auto"/>
          <w:highlight w:val="none"/>
        </w:rPr>
        <w:t>施工组织</w:t>
      </w:r>
      <w:r>
        <w:rPr>
          <w:rFonts w:hint="eastAsia"/>
          <w:color w:val="auto"/>
          <w:highlight w:val="none"/>
        </w:rPr>
        <w:t>设计应按投标人须知正文</w:t>
      </w:r>
      <w:r>
        <w:rPr>
          <w:rFonts w:hint="eastAsia"/>
          <w:color w:val="auto"/>
          <w:highlight w:val="none"/>
          <w:lang w:eastAsia="zh-CN"/>
        </w:rPr>
        <w:t>部分</w:t>
      </w:r>
      <w:r>
        <w:rPr>
          <w:rFonts w:hint="eastAsia"/>
          <w:color w:val="auto"/>
          <w:highlight w:val="none"/>
        </w:rPr>
        <w:t>3.1.</w:t>
      </w:r>
      <w:r>
        <w:rPr>
          <w:color w:val="auto"/>
          <w:highlight w:val="none"/>
        </w:rPr>
        <w:t>1</w:t>
      </w:r>
      <w:r>
        <w:rPr>
          <w:rFonts w:hint="eastAsia"/>
          <w:color w:val="auto"/>
          <w:highlight w:val="none"/>
        </w:rPr>
        <w:t>.3要求的内容顺序编制，各章间应分页编排。章节序号应按1</w:t>
      </w:r>
      <w:r>
        <w:rPr>
          <w:rFonts w:hint="eastAsia"/>
          <w:color w:val="auto"/>
          <w:highlight w:val="none"/>
          <w:lang w:val="en-US" w:eastAsia="zh-CN"/>
        </w:rPr>
        <w:t>.</w:t>
      </w:r>
      <w:r>
        <w:rPr>
          <w:rFonts w:hint="eastAsia"/>
          <w:color w:val="auto"/>
          <w:highlight w:val="none"/>
        </w:rPr>
        <w:t>，1.1，1.1.1</w:t>
      </w:r>
      <w:r>
        <w:rPr>
          <w:color w:val="auto"/>
          <w:highlight w:val="none"/>
        </w:rPr>
        <w:t>…</w:t>
      </w:r>
      <w:r>
        <w:rPr>
          <w:rFonts w:hint="eastAsia"/>
          <w:color w:val="auto"/>
          <w:highlight w:val="none"/>
        </w:rPr>
        <w:t>类比编排。</w:t>
      </w:r>
    </w:p>
    <w:p w14:paraId="484BAF92">
      <w:pPr>
        <w:spacing w:line="360" w:lineRule="auto"/>
        <w:ind w:firstLine="567" w:firstLineChars="270"/>
        <w:rPr>
          <w:rFonts w:hint="eastAsia"/>
          <w:color w:val="auto"/>
          <w:highlight w:val="none"/>
        </w:rPr>
      </w:pPr>
      <w:r>
        <w:rPr>
          <w:rFonts w:hint="eastAsia"/>
          <w:color w:val="auto"/>
          <w:highlight w:val="none"/>
          <w:lang w:eastAsia="zh-CN"/>
        </w:rPr>
        <w:t>5</w:t>
      </w:r>
      <w:r>
        <w:rPr>
          <w:rFonts w:hint="eastAsia" w:ascii="宋体" w:hAnsi="宋体"/>
          <w:color w:val="auto"/>
          <w:highlight w:val="none"/>
          <w:lang w:eastAsia="zh-CN"/>
        </w:rPr>
        <w:t>.</w:t>
      </w:r>
      <w:r>
        <w:rPr>
          <w:color w:val="auto"/>
          <w:highlight w:val="none"/>
        </w:rPr>
        <w:t>排版要求：</w:t>
      </w:r>
    </w:p>
    <w:p w14:paraId="4EBBC9AF">
      <w:pPr>
        <w:spacing w:line="360" w:lineRule="auto"/>
        <w:ind w:firstLine="567" w:firstLineChars="270"/>
        <w:rPr>
          <w:rFonts w:hint="eastAsia"/>
          <w:color w:val="auto"/>
          <w:highlight w:val="none"/>
        </w:rPr>
      </w:pPr>
      <w:r>
        <w:rPr>
          <w:rFonts w:hint="eastAsia"/>
          <w:color w:val="auto"/>
          <w:highlight w:val="none"/>
        </w:rPr>
        <w:t>字体、</w:t>
      </w:r>
      <w:r>
        <w:rPr>
          <w:color w:val="auto"/>
          <w:highlight w:val="none"/>
        </w:rPr>
        <w:t>字符间距</w:t>
      </w:r>
      <w:r>
        <w:rPr>
          <w:rFonts w:hint="eastAsia"/>
          <w:color w:val="auto"/>
          <w:highlight w:val="none"/>
        </w:rPr>
        <w:t>：宋体，黑色，</w:t>
      </w:r>
      <w:r>
        <w:rPr>
          <w:color w:val="auto"/>
          <w:highlight w:val="none"/>
        </w:rPr>
        <w:t>字符间距</w:t>
      </w:r>
      <w:r>
        <w:rPr>
          <w:rFonts w:hint="eastAsia"/>
          <w:color w:val="auto"/>
          <w:highlight w:val="none"/>
        </w:rPr>
        <w:t>缩</w:t>
      </w:r>
      <w:r>
        <w:rPr>
          <w:color w:val="auto"/>
          <w:highlight w:val="none"/>
        </w:rPr>
        <w:t>放</w:t>
      </w:r>
      <w:r>
        <w:rPr>
          <w:rFonts w:hint="eastAsia"/>
          <w:color w:val="auto"/>
          <w:highlight w:val="none"/>
        </w:rPr>
        <w:t>100</w:t>
      </w:r>
      <w:r>
        <w:rPr>
          <w:color w:val="auto"/>
          <w:highlight w:val="none"/>
        </w:rPr>
        <w:t>%，间距</w:t>
      </w:r>
      <w:r>
        <w:rPr>
          <w:rFonts w:hint="eastAsia"/>
          <w:color w:val="auto"/>
          <w:highlight w:val="none"/>
        </w:rPr>
        <w:t>、</w:t>
      </w:r>
      <w:r>
        <w:rPr>
          <w:color w:val="auto"/>
          <w:highlight w:val="none"/>
        </w:rPr>
        <w:t>位置为标准</w:t>
      </w:r>
      <w:r>
        <w:rPr>
          <w:rFonts w:hint="eastAsia"/>
          <w:color w:val="auto"/>
          <w:highlight w:val="none"/>
        </w:rPr>
        <w:t>；</w:t>
      </w:r>
    </w:p>
    <w:p w14:paraId="235CD3E4">
      <w:pPr>
        <w:spacing w:line="360" w:lineRule="auto"/>
        <w:ind w:firstLine="567" w:firstLineChars="270"/>
        <w:rPr>
          <w:color w:val="auto"/>
          <w:highlight w:val="none"/>
        </w:rPr>
      </w:pPr>
      <w:r>
        <w:rPr>
          <w:rFonts w:hint="eastAsia"/>
          <w:color w:val="auto"/>
          <w:highlight w:val="none"/>
        </w:rPr>
        <w:t>字号、行</w:t>
      </w:r>
      <w:r>
        <w:rPr>
          <w:color w:val="auto"/>
          <w:highlight w:val="none"/>
        </w:rPr>
        <w:t>距</w:t>
      </w:r>
      <w:r>
        <w:rPr>
          <w:rFonts w:hint="eastAsia"/>
          <w:color w:val="auto"/>
          <w:highlight w:val="none"/>
        </w:rPr>
        <w:t>：一级标题</w:t>
      </w:r>
      <w:r>
        <w:rPr>
          <w:rFonts w:hint="eastAsia"/>
          <w:color w:val="auto"/>
          <w:highlight w:val="none"/>
          <w:lang w:eastAsia="zh-CN"/>
        </w:rPr>
        <w:t>（</w:t>
      </w:r>
      <w:r>
        <w:rPr>
          <w:rFonts w:hint="eastAsia"/>
          <w:color w:val="auto"/>
          <w:highlight w:val="none"/>
        </w:rPr>
        <w:t>1</w:t>
      </w:r>
      <w:r>
        <w:rPr>
          <w:rFonts w:hint="eastAsia"/>
          <w:color w:val="auto"/>
          <w:highlight w:val="none"/>
          <w:lang w:val="en-US" w:eastAsia="zh-CN"/>
        </w:rPr>
        <w:t>.</w:t>
      </w:r>
      <w:r>
        <w:rPr>
          <w:rFonts w:hint="eastAsia"/>
          <w:color w:val="auto"/>
          <w:highlight w:val="none"/>
        </w:rPr>
        <w:t>概述</w:t>
      </w:r>
      <w:r>
        <w:rPr>
          <w:rFonts w:hint="eastAsia"/>
          <w:color w:val="auto"/>
          <w:highlight w:val="none"/>
          <w:lang w:eastAsia="zh-CN"/>
        </w:rPr>
        <w:t>、</w:t>
      </w:r>
      <w:r>
        <w:rPr>
          <w:rFonts w:hint="eastAsia"/>
          <w:color w:val="auto"/>
          <w:highlight w:val="none"/>
        </w:rPr>
        <w:t>2</w:t>
      </w:r>
      <w:r>
        <w:rPr>
          <w:rFonts w:hint="eastAsia"/>
          <w:color w:val="auto"/>
          <w:highlight w:val="none"/>
          <w:lang w:val="en-US" w:eastAsia="zh-CN"/>
        </w:rPr>
        <w:t>.</w:t>
      </w:r>
      <w:r>
        <w:rPr>
          <w:rFonts w:hint="eastAsia"/>
          <w:color w:val="auto"/>
          <w:highlight w:val="none"/>
        </w:rPr>
        <w:t>主要施工方法</w:t>
      </w:r>
      <w:r>
        <w:rPr>
          <w:rFonts w:hint="eastAsia"/>
          <w:color w:val="auto"/>
          <w:highlight w:val="none"/>
          <w:lang w:eastAsia="zh-CN"/>
        </w:rPr>
        <w:t>等）</w:t>
      </w:r>
      <w:r>
        <w:rPr>
          <w:rFonts w:hint="eastAsia"/>
          <w:color w:val="auto"/>
          <w:highlight w:val="none"/>
        </w:rPr>
        <w:t>采用三号字，居中排版；其他采用小四号字，</w:t>
      </w:r>
      <w:r>
        <w:rPr>
          <w:rFonts w:hint="eastAsia"/>
          <w:color w:val="auto"/>
          <w:highlight w:val="none"/>
          <w:lang w:eastAsia="zh-CN"/>
        </w:rPr>
        <w:t>段落首行缩进</w:t>
      </w:r>
      <w:r>
        <w:rPr>
          <w:rFonts w:hint="eastAsia"/>
          <w:color w:val="auto"/>
          <w:highlight w:val="none"/>
        </w:rPr>
        <w:t>两个字符，行</w:t>
      </w:r>
      <w:r>
        <w:rPr>
          <w:color w:val="auto"/>
          <w:highlight w:val="none"/>
        </w:rPr>
        <w:t>距设</w:t>
      </w:r>
      <w:r>
        <w:rPr>
          <w:rFonts w:hint="eastAsia"/>
          <w:color w:val="auto"/>
          <w:highlight w:val="none"/>
        </w:rPr>
        <w:t>1.5倍行</w:t>
      </w:r>
      <w:r>
        <w:rPr>
          <w:color w:val="auto"/>
          <w:highlight w:val="none"/>
        </w:rPr>
        <w:t>距</w:t>
      </w:r>
      <w:r>
        <w:rPr>
          <w:rFonts w:hint="eastAsia"/>
          <w:color w:val="auto"/>
          <w:highlight w:val="none"/>
        </w:rPr>
        <w:t>；</w:t>
      </w:r>
    </w:p>
    <w:p w14:paraId="3038E821">
      <w:pPr>
        <w:spacing w:line="360" w:lineRule="auto"/>
        <w:ind w:firstLine="567" w:firstLineChars="270"/>
        <w:rPr>
          <w:rFonts w:hint="eastAsia"/>
          <w:color w:val="auto"/>
          <w:highlight w:val="none"/>
        </w:rPr>
      </w:pPr>
      <w:r>
        <w:rPr>
          <w:rFonts w:hint="eastAsia"/>
          <w:color w:val="auto"/>
          <w:highlight w:val="none"/>
        </w:rPr>
        <w:t>页</w:t>
      </w:r>
      <w:r>
        <w:rPr>
          <w:color w:val="auto"/>
          <w:highlight w:val="none"/>
        </w:rPr>
        <w:t>边</w:t>
      </w:r>
      <w:r>
        <w:rPr>
          <w:rFonts w:hint="eastAsia"/>
          <w:color w:val="auto"/>
          <w:highlight w:val="none"/>
        </w:rPr>
        <w:t>距</w:t>
      </w:r>
      <w:r>
        <w:rPr>
          <w:color w:val="auto"/>
          <w:highlight w:val="none"/>
        </w:rPr>
        <w:t>：</w:t>
      </w:r>
      <w:r>
        <w:rPr>
          <w:rFonts w:hint="eastAsia"/>
          <w:color w:val="auto"/>
          <w:highlight w:val="none"/>
        </w:rPr>
        <w:t>上</w:t>
      </w:r>
      <w:r>
        <w:rPr>
          <w:color w:val="auto"/>
          <w:highlight w:val="none"/>
        </w:rPr>
        <w:t>下左右均为</w:t>
      </w:r>
      <w:r>
        <w:rPr>
          <w:rFonts w:hint="eastAsia"/>
          <w:color w:val="auto"/>
          <w:highlight w:val="none"/>
        </w:rPr>
        <w:t>2.15</w:t>
      </w:r>
      <w:r>
        <w:rPr>
          <w:color w:val="auto"/>
          <w:highlight w:val="none"/>
        </w:rPr>
        <w:t>cm</w:t>
      </w:r>
      <w:r>
        <w:rPr>
          <w:rFonts w:hint="eastAsia"/>
          <w:color w:val="auto"/>
          <w:highlight w:val="none"/>
          <w:lang w:eastAsia="zh-CN"/>
        </w:rPr>
        <w:t>，</w:t>
      </w:r>
      <w:r>
        <w:rPr>
          <w:rFonts w:hint="eastAsia"/>
          <w:color w:val="auto"/>
          <w:highlight w:val="none"/>
        </w:rPr>
        <w:t>装订</w:t>
      </w:r>
      <w:r>
        <w:rPr>
          <w:color w:val="auto"/>
          <w:highlight w:val="none"/>
        </w:rPr>
        <w:t>线</w:t>
      </w:r>
      <w:r>
        <w:rPr>
          <w:rFonts w:hint="eastAsia"/>
          <w:color w:val="auto"/>
          <w:highlight w:val="none"/>
        </w:rPr>
        <w:t>0</w:t>
      </w:r>
      <w:r>
        <w:rPr>
          <w:color w:val="auto"/>
          <w:highlight w:val="none"/>
        </w:rPr>
        <w:t>cm</w:t>
      </w:r>
      <w:r>
        <w:rPr>
          <w:rFonts w:hint="eastAsia"/>
          <w:color w:val="auto"/>
          <w:highlight w:val="none"/>
        </w:rPr>
        <w:t>；</w:t>
      </w:r>
    </w:p>
    <w:p w14:paraId="0115515D">
      <w:pPr>
        <w:spacing w:line="360" w:lineRule="auto"/>
        <w:ind w:firstLine="567" w:firstLineChars="270"/>
        <w:rPr>
          <w:rFonts w:hint="eastAsia"/>
          <w:color w:val="auto"/>
          <w:highlight w:val="none"/>
        </w:rPr>
      </w:pPr>
      <w:r>
        <w:rPr>
          <w:rFonts w:hint="eastAsia"/>
          <w:color w:val="auto"/>
          <w:highlight w:val="none"/>
        </w:rPr>
        <w:t>页眉页脚：页眉页脚距</w:t>
      </w:r>
      <w:r>
        <w:rPr>
          <w:color w:val="auto"/>
          <w:highlight w:val="none"/>
        </w:rPr>
        <w:t>边</w:t>
      </w:r>
      <w:r>
        <w:rPr>
          <w:rFonts w:hint="eastAsia"/>
          <w:color w:val="auto"/>
          <w:highlight w:val="none"/>
        </w:rPr>
        <w:t>界1.5</w:t>
      </w:r>
      <w:r>
        <w:rPr>
          <w:color w:val="auto"/>
          <w:highlight w:val="none"/>
        </w:rPr>
        <w:t>cm</w:t>
      </w:r>
      <w:r>
        <w:rPr>
          <w:rFonts w:hint="eastAsia"/>
          <w:color w:val="auto"/>
          <w:highlight w:val="none"/>
          <w:lang w:eastAsia="zh-CN"/>
        </w:rPr>
        <w:t>，</w:t>
      </w:r>
      <w:r>
        <w:rPr>
          <w:rFonts w:hint="eastAsia"/>
          <w:color w:val="auto"/>
          <w:highlight w:val="none"/>
        </w:rPr>
        <w:t>不允许有页眉，页脚只允许有页码，页码采用阿拉伯数字，宋体五号，居中布置，页码应当连续，不得分章或节单独编码；</w:t>
      </w:r>
    </w:p>
    <w:p w14:paraId="0140D76F">
      <w:pPr>
        <w:spacing w:line="360" w:lineRule="auto"/>
        <w:ind w:firstLine="567" w:firstLineChars="270"/>
        <w:rPr>
          <w:rFonts w:hint="eastAsia"/>
          <w:color w:val="auto"/>
          <w:highlight w:val="none"/>
          <w:lang w:eastAsia="zh-CN"/>
        </w:rPr>
      </w:pPr>
      <w:r>
        <w:rPr>
          <w:rFonts w:hint="eastAsia"/>
          <w:color w:val="auto"/>
          <w:highlight w:val="none"/>
          <w:lang w:val="en-US" w:eastAsia="zh-CN"/>
        </w:rPr>
        <w:t>1</w:t>
      </w:r>
      <w:r>
        <w:rPr>
          <w:rFonts w:hint="eastAsia"/>
          <w:color w:val="auto"/>
          <w:highlight w:val="none"/>
          <w:lang w:eastAsia="zh-CN"/>
        </w:rPr>
        <w:t>）图表标题/标签字体、颜色不做限制</w:t>
      </w:r>
    </w:p>
    <w:p w14:paraId="1E063E4B">
      <w:pPr>
        <w:spacing w:line="360" w:lineRule="auto"/>
        <w:ind w:firstLine="567" w:firstLineChars="270"/>
        <w:rPr>
          <w:rFonts w:hint="eastAsia"/>
          <w:color w:val="auto"/>
          <w:highlight w:val="none"/>
          <w:lang w:eastAsia="zh-CN"/>
        </w:rPr>
      </w:pPr>
      <w:r>
        <w:rPr>
          <w:rFonts w:hint="eastAsia"/>
          <w:color w:val="auto"/>
          <w:highlight w:val="none"/>
          <w:lang w:val="en-US" w:eastAsia="zh-CN"/>
        </w:rPr>
        <w:t>2</w:t>
      </w:r>
      <w:r>
        <w:rPr>
          <w:rFonts w:hint="eastAsia"/>
          <w:color w:val="auto"/>
          <w:highlight w:val="none"/>
          <w:lang w:eastAsia="zh-CN"/>
        </w:rPr>
        <w:t>）图片：字体、颜色不做限制</w:t>
      </w:r>
    </w:p>
    <w:p w14:paraId="0C084E90">
      <w:pPr>
        <w:spacing w:line="360" w:lineRule="auto"/>
        <w:ind w:firstLine="567" w:firstLineChars="270"/>
        <w:rPr>
          <w:rFonts w:hint="eastAsia"/>
          <w:color w:val="auto"/>
          <w:highlight w:val="none"/>
        </w:rPr>
      </w:pPr>
      <w:r>
        <w:rPr>
          <w:rFonts w:hint="eastAsia"/>
          <w:color w:val="auto"/>
          <w:highlight w:val="none"/>
          <w:lang w:eastAsia="zh-CN"/>
        </w:rPr>
        <w:t>6.</w:t>
      </w:r>
      <w:r>
        <w:rPr>
          <w:color w:val="auto"/>
          <w:highlight w:val="none"/>
        </w:rPr>
        <w:t>编写软件及版本要求：Microsoft Word</w:t>
      </w:r>
      <w:r>
        <w:rPr>
          <w:rFonts w:hint="eastAsia"/>
          <w:color w:val="auto"/>
          <w:highlight w:val="none"/>
          <w:lang w:eastAsia="zh-CN"/>
        </w:rPr>
        <w:t>、金山</w:t>
      </w:r>
      <w:r>
        <w:rPr>
          <w:rFonts w:hint="eastAsia"/>
          <w:color w:val="auto"/>
          <w:highlight w:val="none"/>
          <w:lang w:val="en-US" w:eastAsia="zh-CN"/>
        </w:rPr>
        <w:t>WPS</w:t>
      </w:r>
      <w:r>
        <w:rPr>
          <w:rFonts w:hint="eastAsia"/>
          <w:color w:val="auto"/>
          <w:highlight w:val="none"/>
        </w:rPr>
        <w:t>；</w:t>
      </w:r>
    </w:p>
    <w:p w14:paraId="76102C99">
      <w:pPr>
        <w:spacing w:line="360" w:lineRule="auto"/>
        <w:ind w:firstLine="567" w:firstLineChars="270"/>
        <w:rPr>
          <w:rFonts w:hint="eastAsia"/>
          <w:color w:val="auto"/>
          <w:highlight w:val="none"/>
        </w:rPr>
      </w:pPr>
      <w:r>
        <w:rPr>
          <w:rFonts w:hint="eastAsia"/>
          <w:color w:val="auto"/>
          <w:highlight w:val="none"/>
          <w:lang w:eastAsia="zh-CN"/>
        </w:rPr>
        <w:t>7.“</w:t>
      </w:r>
      <w:r>
        <w:rPr>
          <w:color w:val="auto"/>
          <w:highlight w:val="none"/>
        </w:rPr>
        <w:t>技术标</w:t>
      </w:r>
      <w:r>
        <w:rPr>
          <w:rFonts w:hint="eastAsia"/>
          <w:color w:val="auto"/>
          <w:highlight w:val="none"/>
          <w:lang w:eastAsia="zh-CN"/>
        </w:rPr>
        <w:t>”</w:t>
      </w:r>
      <w:r>
        <w:rPr>
          <w:color w:val="auto"/>
          <w:highlight w:val="none"/>
        </w:rPr>
        <w:t>的施工组织</w:t>
      </w:r>
      <w:r>
        <w:rPr>
          <w:rFonts w:hint="eastAsia"/>
          <w:color w:val="auto"/>
          <w:highlight w:val="none"/>
        </w:rPr>
        <w:t>设计</w:t>
      </w:r>
      <w:r>
        <w:rPr>
          <w:color w:val="auto"/>
          <w:highlight w:val="none"/>
        </w:rPr>
        <w:t>正文中不得出现投标人的名称和其他可识别投标人身份的字符</w:t>
      </w:r>
      <w:r>
        <w:rPr>
          <w:rFonts w:hint="eastAsia"/>
          <w:color w:val="auto"/>
          <w:highlight w:val="none"/>
        </w:rPr>
        <w:t>（图表）</w:t>
      </w:r>
      <w:r>
        <w:rPr>
          <w:color w:val="auto"/>
          <w:highlight w:val="none"/>
        </w:rPr>
        <w:t>、徽标、</w:t>
      </w:r>
      <w:r>
        <w:rPr>
          <w:rFonts w:hint="eastAsia"/>
          <w:color w:val="auto"/>
          <w:highlight w:val="none"/>
        </w:rPr>
        <w:t>业绩</w:t>
      </w:r>
      <w:r>
        <w:rPr>
          <w:color w:val="auto"/>
          <w:highlight w:val="none"/>
        </w:rPr>
        <w:t>、荣誉或人员</w:t>
      </w:r>
      <w:r>
        <w:rPr>
          <w:rFonts w:hint="eastAsia"/>
          <w:color w:val="auto"/>
          <w:highlight w:val="none"/>
        </w:rPr>
        <w:t>姓名</w:t>
      </w:r>
      <w:r>
        <w:rPr>
          <w:color w:val="auto"/>
          <w:highlight w:val="none"/>
        </w:rPr>
        <w:t>以及其他特殊标记</w:t>
      </w:r>
      <w:r>
        <w:rPr>
          <w:rFonts w:hint="eastAsia"/>
          <w:color w:val="auto"/>
          <w:highlight w:val="none"/>
          <w:lang w:eastAsia="zh-CN"/>
        </w:rPr>
        <w:t>（</w:t>
      </w:r>
      <w:r>
        <w:rPr>
          <w:rFonts w:hint="eastAsia"/>
          <w:color w:val="auto"/>
          <w:highlight w:val="none"/>
          <w:lang w:val="en-US" w:eastAsia="zh-CN"/>
        </w:rPr>
        <w:t>空格、空行、明显的文字错误</w:t>
      </w:r>
      <w:r>
        <w:rPr>
          <w:rFonts w:hint="eastAsia"/>
          <w:color w:val="auto"/>
          <w:highlight w:val="none"/>
          <w:lang w:eastAsia="zh-CN"/>
        </w:rPr>
        <w:t>、序号不连续等非实质性内容</w:t>
      </w:r>
      <w:r>
        <w:rPr>
          <w:rFonts w:hint="eastAsia"/>
          <w:color w:val="auto"/>
          <w:highlight w:val="none"/>
          <w:lang w:val="en-US" w:eastAsia="zh-CN"/>
        </w:rPr>
        <w:t>除外）</w:t>
      </w:r>
      <w:r>
        <w:rPr>
          <w:color w:val="auto"/>
          <w:highlight w:val="none"/>
        </w:rPr>
        <w:t>等。</w:t>
      </w:r>
    </w:p>
    <w:p w14:paraId="3E3E07B1">
      <w:pPr>
        <w:rPr>
          <w:color w:val="auto"/>
          <w:highlight w:val="none"/>
        </w:rPr>
      </w:pPr>
      <w:r>
        <w:rPr>
          <w:rFonts w:ascii="宋体" w:hAnsi="宋体"/>
          <w:color w:val="auto"/>
          <w:highlight w:val="none"/>
        </w:rPr>
        <w:br w:type="page"/>
      </w:r>
      <w:bookmarkEnd w:id="2001"/>
      <w:bookmarkEnd w:id="2002"/>
      <w:bookmarkEnd w:id="2003"/>
      <w:bookmarkEnd w:id="2004"/>
      <w:r>
        <w:rPr>
          <w:rFonts w:hint="eastAsia" w:cs="宋体"/>
          <w:color w:val="auto"/>
          <w:highlight w:val="none"/>
        </w:rPr>
        <w:t>附表一：劳动力计划表</w:t>
      </w:r>
    </w:p>
    <w:p w14:paraId="003B8CDC">
      <w:pPr>
        <w:ind w:firstLine="7245" w:firstLineChars="3450"/>
        <w:rPr>
          <w:color w:val="auto"/>
          <w:highlight w:val="none"/>
        </w:rPr>
      </w:pPr>
      <w:r>
        <w:rPr>
          <w:color w:val="auto"/>
          <w:highlight w:val="none"/>
        </w:rPr>
        <w:t xml:space="preserve">   </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14:paraId="6E832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727B5A0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工种</w:t>
            </w:r>
          </w:p>
        </w:tc>
        <w:tc>
          <w:tcPr>
            <w:tcW w:w="8506" w:type="dxa"/>
            <w:gridSpan w:val="7"/>
            <w:noWrap w:val="0"/>
            <w:vAlign w:val="center"/>
          </w:tcPr>
          <w:p w14:paraId="01EB0E99">
            <w:pPr>
              <w:keepNext w:val="0"/>
              <w:keepLines w:val="0"/>
              <w:suppressLineNumbers w:val="0"/>
              <w:spacing w:before="0" w:beforeAutospacing="0" w:after="0" w:afterAutospacing="0"/>
              <w:ind w:left="0" w:right="0" w:firstLine="0" w:firstLineChars="0"/>
              <w:jc w:val="center"/>
              <w:rPr>
                <w:rFonts w:hint="eastAsia" w:eastAsia="宋体"/>
                <w:color w:val="auto"/>
                <w:highlight w:val="none"/>
                <w:lang w:eastAsia="zh-CN"/>
              </w:rPr>
            </w:pPr>
            <w:r>
              <w:rPr>
                <w:rFonts w:hint="eastAsia" w:ascii="Calibri" w:hAnsi="Calibri" w:eastAsia="宋体" w:cs="宋体"/>
                <w:color w:val="auto"/>
                <w:highlight w:val="none"/>
              </w:rPr>
              <w:t>按工程施工阶段投入劳动力情况</w:t>
            </w:r>
            <w:r>
              <w:rPr>
                <w:rFonts w:hint="default"/>
                <w:color w:val="auto"/>
                <w:highlight w:val="none"/>
              </w:rPr>
              <w:t xml:space="preserve"> </w:t>
            </w:r>
            <w:r>
              <w:rPr>
                <w:rFonts w:hint="eastAsia"/>
                <w:color w:val="auto"/>
                <w:highlight w:val="none"/>
                <w:lang w:eastAsia="zh-CN"/>
              </w:rPr>
              <w:t>（</w:t>
            </w:r>
            <w:r>
              <w:rPr>
                <w:rFonts w:hint="eastAsia" w:cs="宋体"/>
                <w:color w:val="auto"/>
                <w:highlight w:val="none"/>
              </w:rPr>
              <w:t>单位：人</w:t>
            </w:r>
            <w:r>
              <w:rPr>
                <w:rFonts w:hint="eastAsia" w:cs="宋体"/>
                <w:color w:val="auto"/>
                <w:highlight w:val="none"/>
                <w:lang w:eastAsia="zh-CN"/>
              </w:rPr>
              <w:t>）</w:t>
            </w:r>
          </w:p>
          <w:p w14:paraId="15D1AA5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7AC1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23AF00D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1" w:type="dxa"/>
            <w:noWrap w:val="0"/>
            <w:vAlign w:val="center"/>
          </w:tcPr>
          <w:p w14:paraId="504D175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5899B9C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44D1ACE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0EC3669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443F958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2FEF61D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5FD60EF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CA33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2D78D8A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1" w:type="dxa"/>
            <w:noWrap w:val="0"/>
            <w:vAlign w:val="center"/>
          </w:tcPr>
          <w:p w14:paraId="1B978CC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06BC691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597B85E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42890D1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24F8AEC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061197E6">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2DC4B4C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DF7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623894B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1" w:type="dxa"/>
            <w:noWrap w:val="0"/>
            <w:vAlign w:val="center"/>
          </w:tcPr>
          <w:p w14:paraId="22E0ED3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2E5A169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620ABB0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363BB23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01931DF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30C060D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1208BAE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0940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38CC5A4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1" w:type="dxa"/>
            <w:noWrap w:val="0"/>
            <w:vAlign w:val="center"/>
          </w:tcPr>
          <w:p w14:paraId="26E6727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79C5B81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29FA031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797DFDEA">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18EE09AD">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42279F0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2D72C65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54CE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41D94AE0">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1" w:type="dxa"/>
            <w:noWrap w:val="0"/>
            <w:vAlign w:val="center"/>
          </w:tcPr>
          <w:p w14:paraId="60748E5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6EB0D5CC">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0F839A6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3520A89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3F4869A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51E67FC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2A787812">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25FE6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1DC34D5E">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1" w:type="dxa"/>
            <w:noWrap w:val="0"/>
            <w:vAlign w:val="center"/>
          </w:tcPr>
          <w:p w14:paraId="73B40B21">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05F7247B">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08A3C07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2C9F66D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39E1CD8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6B773E2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3067B228">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r w14:paraId="3C9F7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0"/>
            <w:vAlign w:val="center"/>
          </w:tcPr>
          <w:p w14:paraId="58CDA567">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961" w:type="dxa"/>
            <w:noWrap w:val="0"/>
            <w:vAlign w:val="center"/>
          </w:tcPr>
          <w:p w14:paraId="483FBE9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01FEAC59">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55B19B8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5D08F3B4">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3461FA15">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7" w:type="dxa"/>
            <w:noWrap w:val="0"/>
            <w:vAlign w:val="center"/>
          </w:tcPr>
          <w:p w14:paraId="07F478AF">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c>
          <w:tcPr>
            <w:tcW w:w="1258" w:type="dxa"/>
            <w:noWrap w:val="0"/>
            <w:vAlign w:val="center"/>
          </w:tcPr>
          <w:p w14:paraId="39EBF493">
            <w:pPr>
              <w:keepNext w:val="0"/>
              <w:keepLines w:val="0"/>
              <w:suppressLineNumbers w:val="0"/>
              <w:spacing w:before="0" w:beforeAutospacing="0" w:after="0" w:afterAutospacing="0" w:line="360" w:lineRule="auto"/>
              <w:ind w:left="0" w:right="0"/>
              <w:jc w:val="center"/>
              <w:rPr>
                <w:rFonts w:hint="default" w:ascii="Calibri" w:hAnsi="Calibri" w:eastAsia="宋体" w:cs="Times New Roman"/>
                <w:color w:val="auto"/>
                <w:highlight w:val="none"/>
              </w:rPr>
            </w:pPr>
          </w:p>
        </w:tc>
      </w:tr>
    </w:tbl>
    <w:p w14:paraId="491EFB13">
      <w:pPr>
        <w:rPr>
          <w:color w:val="auto"/>
          <w:highlight w:val="none"/>
        </w:rPr>
      </w:pPr>
    </w:p>
    <w:p w14:paraId="3C49B46D">
      <w:pPr>
        <w:rPr>
          <w:b/>
          <w:bCs/>
          <w:color w:val="auto"/>
          <w:highlight w:val="none"/>
        </w:rPr>
      </w:pPr>
    </w:p>
    <w:p w14:paraId="047CB472">
      <w:pPr>
        <w:rPr>
          <w:color w:val="auto"/>
          <w:highlight w:val="none"/>
        </w:rPr>
      </w:pPr>
      <w:r>
        <w:rPr>
          <w:rFonts w:hint="eastAsia" w:cs="宋体"/>
          <w:color w:val="auto"/>
          <w:highlight w:val="none"/>
        </w:rPr>
        <w:t>附表二：计划开、竣工日期和施工进度计划（网络图或横道图）</w:t>
      </w:r>
    </w:p>
    <w:p w14:paraId="3C86348D">
      <w:pPr>
        <w:spacing w:line="460" w:lineRule="exact"/>
        <w:ind w:left="-6" w:firstLine="420"/>
        <w:rPr>
          <w:color w:val="auto"/>
          <w:highlight w:val="none"/>
        </w:rPr>
      </w:pPr>
      <w:r>
        <w:rPr>
          <w:color w:val="auto"/>
          <w:highlight w:val="none"/>
        </w:rPr>
        <w:t xml:space="preserve">1. </w:t>
      </w:r>
      <w:r>
        <w:rPr>
          <w:rFonts w:hint="eastAsia" w:cs="宋体"/>
          <w:color w:val="auto"/>
          <w:highlight w:val="none"/>
        </w:rPr>
        <w:t>投标人应提交施工进度计划，说明按招标文件要求的工期进行施工的各个关键日期。中标的投标人还应按合同条件有关条款的要求提交详细的施工进度计划。</w:t>
      </w:r>
    </w:p>
    <w:p w14:paraId="4CDA2BE5">
      <w:pPr>
        <w:spacing w:line="460" w:lineRule="exact"/>
        <w:ind w:left="-6" w:firstLine="420"/>
        <w:rPr>
          <w:color w:val="auto"/>
          <w:highlight w:val="none"/>
        </w:rPr>
      </w:pPr>
      <w:r>
        <w:rPr>
          <w:color w:val="auto"/>
          <w:highlight w:val="none"/>
        </w:rPr>
        <w:t xml:space="preserve">2. </w:t>
      </w:r>
      <w:r>
        <w:rPr>
          <w:rFonts w:hint="eastAsia" w:cs="宋体"/>
          <w:color w:val="auto"/>
          <w:highlight w:val="none"/>
        </w:rPr>
        <w:t>施工进度计划可采用网络图（或横道图）表示，说明计划开工日期和各分项工程各阶段的完工日期和分包合同签订的日期。</w:t>
      </w:r>
    </w:p>
    <w:p w14:paraId="00D5F911">
      <w:pPr>
        <w:spacing w:line="460" w:lineRule="exact"/>
        <w:ind w:left="-6" w:firstLine="420"/>
        <w:rPr>
          <w:rFonts w:hint="eastAsia" w:cs="宋体"/>
          <w:color w:val="auto"/>
          <w:highlight w:val="none"/>
        </w:rPr>
      </w:pPr>
      <w:r>
        <w:rPr>
          <w:color w:val="auto"/>
          <w:highlight w:val="none"/>
        </w:rPr>
        <w:t xml:space="preserve">3. </w:t>
      </w:r>
      <w:r>
        <w:rPr>
          <w:rFonts w:hint="eastAsia" w:cs="宋体"/>
          <w:color w:val="auto"/>
          <w:highlight w:val="none"/>
        </w:rPr>
        <w:t>施工进度计划应与施工组织设计相适应。</w:t>
      </w:r>
    </w:p>
    <w:p w14:paraId="019EB3D6">
      <w:pPr>
        <w:spacing w:line="460" w:lineRule="exact"/>
        <w:ind w:left="-6" w:firstLine="420"/>
        <w:rPr>
          <w:rFonts w:hint="eastAsia" w:cs="宋体"/>
          <w:color w:val="auto"/>
          <w:highlight w:val="none"/>
          <w:u w:val="none"/>
        </w:rPr>
      </w:pPr>
      <w:r>
        <w:rPr>
          <w:rFonts w:hint="eastAsia" w:cs="宋体"/>
          <w:color w:val="auto"/>
          <w:highlight w:val="none"/>
        </w:rPr>
        <w:t>注：此说明部分的</w:t>
      </w:r>
      <w:r>
        <w:rPr>
          <w:rFonts w:hint="eastAsia" w:cs="宋体"/>
          <w:color w:val="auto"/>
          <w:highlight w:val="none"/>
          <w:u w:val="none"/>
        </w:rPr>
        <w:t>文字不属于格式内容，可自行删减</w:t>
      </w:r>
      <w:r>
        <w:rPr>
          <w:rFonts w:hint="eastAsia" w:cs="宋体"/>
          <w:color w:val="auto"/>
          <w:highlight w:val="none"/>
          <w:u w:val="none"/>
          <w:lang w:eastAsia="zh-CN"/>
        </w:rPr>
        <w:t>。</w:t>
      </w:r>
    </w:p>
    <w:p w14:paraId="4B9316FF">
      <w:pPr>
        <w:pStyle w:val="28"/>
        <w:pBdr>
          <w:top w:val="none" w:color="auto" w:sz="0" w:space="0"/>
          <w:left w:val="none" w:color="auto" w:sz="0" w:space="0"/>
          <w:bottom w:val="none" w:color="auto" w:sz="0" w:space="0"/>
          <w:right w:val="none" w:color="auto" w:sz="0" w:space="0"/>
          <w:between w:val="none" w:color="auto" w:sz="0" w:space="0"/>
        </w:pBdr>
        <w:rPr>
          <w:color w:val="auto"/>
          <w:highlight w:val="none"/>
          <w:u w:val="none"/>
        </w:rPr>
      </w:pPr>
    </w:p>
    <w:p w14:paraId="1060BDCB">
      <w:pPr>
        <w:pBdr>
          <w:top w:val="none" w:color="auto" w:sz="0" w:space="0"/>
          <w:left w:val="none" w:color="auto" w:sz="0" w:space="0"/>
          <w:bottom w:val="none" w:color="auto" w:sz="0" w:space="0"/>
          <w:right w:val="none" w:color="auto" w:sz="0" w:space="0"/>
          <w:between w:val="none" w:color="auto" w:sz="0" w:space="0"/>
        </w:pBdr>
        <w:spacing w:line="360" w:lineRule="auto"/>
        <w:ind w:left="-6" w:firstLine="420"/>
        <w:rPr>
          <w:color w:val="auto"/>
          <w:highlight w:val="none"/>
        </w:rPr>
      </w:pPr>
    </w:p>
    <w:p w14:paraId="11AF2633">
      <w:pPr>
        <w:rPr>
          <w:color w:val="auto"/>
          <w:highlight w:val="none"/>
        </w:rPr>
      </w:pPr>
    </w:p>
    <w:p w14:paraId="54BB7985">
      <w:pPr>
        <w:rPr>
          <w:color w:val="auto"/>
          <w:highlight w:val="none"/>
        </w:rPr>
      </w:pPr>
      <w:r>
        <w:rPr>
          <w:rFonts w:hint="eastAsia" w:cs="宋体"/>
          <w:color w:val="auto"/>
          <w:highlight w:val="none"/>
        </w:rPr>
        <w:t>附表三：施工总平面图</w:t>
      </w:r>
    </w:p>
    <w:p w14:paraId="7D138767">
      <w:pPr>
        <w:spacing w:line="460" w:lineRule="exact"/>
        <w:ind w:firstLine="420" w:firstLineChars="200"/>
        <w:rPr>
          <w:color w:val="auto"/>
          <w:highlight w:val="none"/>
        </w:rPr>
      </w:pPr>
      <w:r>
        <w:rPr>
          <w:rFonts w:hint="eastAsia" w:cs="宋体"/>
          <w:color w:val="auto"/>
          <w:highlight w:val="none"/>
        </w:rPr>
        <w:t>投标人应递交一份施工总平面图，绘出现场临时设施布置图表并附文字说明，说明临时设施、加工车间、现场办公、设备及仓储、供电、供水、卫生、生活、道路、消防等设施的情况和布置。</w:t>
      </w:r>
    </w:p>
    <w:p w14:paraId="3B9F4F52">
      <w:pPr>
        <w:spacing w:line="460" w:lineRule="exact"/>
        <w:ind w:left="-6" w:firstLine="420"/>
        <w:rPr>
          <w:rFonts w:hint="eastAsia" w:cs="宋体"/>
          <w:color w:val="auto"/>
          <w:highlight w:val="none"/>
        </w:rPr>
      </w:pPr>
      <w:r>
        <w:rPr>
          <w:rFonts w:hint="eastAsia" w:cs="宋体"/>
          <w:color w:val="auto"/>
          <w:highlight w:val="none"/>
        </w:rPr>
        <w:t>注：此说明部分的文字不属于格式内容，可自行删减</w:t>
      </w:r>
      <w:r>
        <w:rPr>
          <w:rFonts w:hint="eastAsia" w:cs="宋体"/>
          <w:color w:val="auto"/>
          <w:highlight w:val="none"/>
          <w:lang w:eastAsia="zh-CN"/>
        </w:rPr>
        <w:t>。</w:t>
      </w:r>
    </w:p>
    <w:p w14:paraId="49E15165">
      <w:pPr>
        <w:rPr>
          <w:color w:val="auto"/>
          <w:highlight w:val="none"/>
        </w:rPr>
      </w:pPr>
    </w:p>
    <w:p w14:paraId="019F5CEF">
      <w:pPr>
        <w:rPr>
          <w:color w:val="auto"/>
          <w:highlight w:val="none"/>
        </w:rPr>
      </w:pPr>
    </w:p>
    <w:p w14:paraId="37967C6A">
      <w:pPr>
        <w:rPr>
          <w:color w:val="auto"/>
          <w:highlight w:val="none"/>
        </w:rPr>
      </w:pPr>
      <w:r>
        <w:rPr>
          <w:rFonts w:hint="eastAsia" w:cs="宋体"/>
          <w:color w:val="auto"/>
          <w:highlight w:val="none"/>
        </w:rPr>
        <w:t>附表四：临时用地表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0EF7F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noWrap w:val="0"/>
            <w:vAlign w:val="center"/>
          </w:tcPr>
          <w:p w14:paraId="74A8599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用途</w:t>
            </w:r>
          </w:p>
        </w:tc>
        <w:tc>
          <w:tcPr>
            <w:tcW w:w="2357" w:type="dxa"/>
            <w:noWrap w:val="0"/>
            <w:vAlign w:val="center"/>
          </w:tcPr>
          <w:p w14:paraId="1DBA1D1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面积（平方米）</w:t>
            </w:r>
          </w:p>
        </w:tc>
        <w:tc>
          <w:tcPr>
            <w:tcW w:w="2356" w:type="dxa"/>
            <w:noWrap w:val="0"/>
            <w:vAlign w:val="center"/>
          </w:tcPr>
          <w:p w14:paraId="2339412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位置</w:t>
            </w:r>
          </w:p>
        </w:tc>
        <w:tc>
          <w:tcPr>
            <w:tcW w:w="2357" w:type="dxa"/>
            <w:noWrap w:val="0"/>
            <w:vAlign w:val="center"/>
          </w:tcPr>
          <w:p w14:paraId="727D47F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需用时间</w:t>
            </w:r>
          </w:p>
        </w:tc>
      </w:tr>
      <w:tr w14:paraId="644F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1C75118F">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661BAF6E">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6" w:type="dxa"/>
            <w:noWrap w:val="0"/>
            <w:vAlign w:val="top"/>
          </w:tcPr>
          <w:p w14:paraId="32DE051A">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69F9048D">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r>
      <w:tr w14:paraId="2AC85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51F8C5EF">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543D9015">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6" w:type="dxa"/>
            <w:noWrap w:val="0"/>
            <w:vAlign w:val="top"/>
          </w:tcPr>
          <w:p w14:paraId="34C839D2">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72949D5C">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r>
      <w:tr w14:paraId="57C5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noWrap w:val="0"/>
            <w:vAlign w:val="top"/>
          </w:tcPr>
          <w:p w14:paraId="3E835969">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4A9075C0">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6" w:type="dxa"/>
            <w:noWrap w:val="0"/>
            <w:vAlign w:val="top"/>
          </w:tcPr>
          <w:p w14:paraId="74337D03">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08DC9FA8">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r>
      <w:tr w14:paraId="3348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64D333E2">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59CCBDCF">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6" w:type="dxa"/>
            <w:noWrap w:val="0"/>
            <w:vAlign w:val="top"/>
          </w:tcPr>
          <w:p w14:paraId="29AB2973">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c>
          <w:tcPr>
            <w:tcW w:w="2357" w:type="dxa"/>
            <w:noWrap w:val="0"/>
            <w:vAlign w:val="top"/>
          </w:tcPr>
          <w:p w14:paraId="72252D0D">
            <w:pPr>
              <w:keepNext w:val="0"/>
              <w:keepLines w:val="0"/>
              <w:suppressLineNumbers w:val="0"/>
              <w:spacing w:before="0" w:beforeAutospacing="0" w:after="0" w:afterAutospacing="0"/>
              <w:ind w:left="0" w:right="0"/>
              <w:rPr>
                <w:rFonts w:hint="default" w:ascii="Calibri" w:hAnsi="Calibri" w:eastAsia="宋体" w:cs="Times New Roman"/>
                <w:color w:val="auto"/>
                <w:highlight w:val="none"/>
              </w:rPr>
            </w:pPr>
          </w:p>
        </w:tc>
      </w:tr>
    </w:tbl>
    <w:p w14:paraId="3ED54662">
      <w:pPr>
        <w:rPr>
          <w:color w:val="auto"/>
          <w:highlight w:val="none"/>
        </w:rPr>
      </w:pPr>
    </w:p>
    <w:p w14:paraId="6251B7B5">
      <w:pPr>
        <w:rPr>
          <w:color w:val="auto"/>
          <w:highlight w:val="none"/>
        </w:rPr>
      </w:pPr>
    </w:p>
    <w:p w14:paraId="0E77DFDC">
      <w:pPr>
        <w:rPr>
          <w:rFonts w:hint="eastAsia"/>
          <w:color w:val="auto"/>
          <w:highlight w:val="none"/>
        </w:rPr>
      </w:pPr>
    </w:p>
    <w:p w14:paraId="4EFDC14E">
      <w:pPr>
        <w:rPr>
          <w:color w:val="auto"/>
          <w:highlight w:val="none"/>
        </w:rPr>
      </w:pPr>
      <w:bookmarkStart w:id="2006" w:name="_Toc389065361"/>
    </w:p>
    <w:p w14:paraId="1D0E88BE">
      <w:pPr>
        <w:rPr>
          <w:color w:val="auto"/>
          <w:highlight w:val="none"/>
        </w:rPr>
      </w:pPr>
    </w:p>
    <w:p w14:paraId="58013262">
      <w:pPr>
        <w:rPr>
          <w:color w:val="auto"/>
          <w:highlight w:val="none"/>
        </w:rPr>
      </w:pPr>
    </w:p>
    <w:p w14:paraId="726DCCD8">
      <w:pPr>
        <w:pStyle w:val="136"/>
        <w:jc w:val="center"/>
        <w:outlineLvl w:val="0"/>
        <w:rPr>
          <w:b/>
          <w:bCs/>
          <w:color w:val="auto"/>
          <w:sz w:val="24"/>
          <w:szCs w:val="24"/>
          <w:highlight w:val="none"/>
        </w:rPr>
      </w:pPr>
      <w:r>
        <w:rPr>
          <w:rFonts w:hint="eastAsia" w:cs="宋体"/>
          <w:b/>
          <w:bCs/>
          <w:color w:val="auto"/>
          <w:sz w:val="24"/>
          <w:szCs w:val="24"/>
          <w:highlight w:val="none"/>
        </w:rPr>
        <w:t>二、拟分包计划表</w:t>
      </w:r>
      <w:bookmarkEnd w:id="2006"/>
    </w:p>
    <w:p w14:paraId="6910422F">
      <w:pPr>
        <w:pStyle w:val="136"/>
        <w:jc w:val="center"/>
        <w:rPr>
          <w:b/>
          <w:bCs/>
          <w:color w:val="auto"/>
          <w:sz w:val="28"/>
          <w:szCs w:val="28"/>
          <w:highlight w:val="none"/>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843"/>
        <w:gridCol w:w="751"/>
        <w:gridCol w:w="950"/>
        <w:gridCol w:w="1123"/>
        <w:gridCol w:w="1090"/>
        <w:gridCol w:w="1197"/>
        <w:gridCol w:w="1268"/>
        <w:gridCol w:w="673"/>
      </w:tblGrid>
      <w:tr w14:paraId="2D9A5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0F6BEBA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序</w:t>
            </w:r>
          </w:p>
          <w:p w14:paraId="38BDBB9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号</w:t>
            </w:r>
          </w:p>
        </w:tc>
        <w:tc>
          <w:tcPr>
            <w:tcW w:w="1843" w:type="dxa"/>
            <w:vMerge w:val="restart"/>
            <w:noWrap w:val="0"/>
            <w:tcMar>
              <w:left w:w="108" w:type="dxa"/>
              <w:right w:w="108" w:type="dxa"/>
            </w:tcMar>
            <w:vAlign w:val="center"/>
          </w:tcPr>
          <w:p w14:paraId="465B51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拟分包项目名称、范围及理由</w:t>
            </w:r>
          </w:p>
        </w:tc>
        <w:tc>
          <w:tcPr>
            <w:tcW w:w="6379" w:type="dxa"/>
            <w:gridSpan w:val="6"/>
            <w:noWrap w:val="0"/>
            <w:tcMar>
              <w:left w:w="108" w:type="dxa"/>
              <w:right w:w="108" w:type="dxa"/>
            </w:tcMar>
            <w:vAlign w:val="center"/>
          </w:tcPr>
          <w:p w14:paraId="268EE3F3">
            <w:pPr>
              <w:keepNext w:val="0"/>
              <w:keepLines w:val="0"/>
              <w:suppressLineNumbers w:val="0"/>
              <w:spacing w:before="0" w:beforeAutospacing="0" w:after="0" w:afterAutospacing="0"/>
              <w:ind w:left="0" w:right="0"/>
              <w:jc w:val="center"/>
              <w:rPr>
                <w:rFonts w:hint="eastAsia" w:ascii="Calibri" w:hAnsi="Calibri" w:eastAsia="宋体" w:cs="宋体"/>
                <w:color w:val="auto"/>
                <w:highlight w:val="none"/>
              </w:rPr>
            </w:pPr>
            <w:r>
              <w:rPr>
                <w:rFonts w:hint="eastAsia" w:ascii="Calibri" w:hAnsi="Calibri" w:eastAsia="宋体" w:cs="宋体"/>
                <w:color w:val="auto"/>
                <w:highlight w:val="none"/>
              </w:rPr>
              <w:t>拟选分包人</w:t>
            </w:r>
          </w:p>
        </w:tc>
        <w:tc>
          <w:tcPr>
            <w:tcW w:w="673" w:type="dxa"/>
            <w:vMerge w:val="restart"/>
            <w:noWrap w:val="0"/>
            <w:tcMar>
              <w:left w:w="108" w:type="dxa"/>
              <w:right w:w="108" w:type="dxa"/>
            </w:tcMar>
            <w:vAlign w:val="center"/>
          </w:tcPr>
          <w:p w14:paraId="0A20F84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备注</w:t>
            </w:r>
          </w:p>
        </w:tc>
      </w:tr>
      <w:tr w14:paraId="748B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658847D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vMerge w:val="continue"/>
            <w:noWrap w:val="0"/>
            <w:tcMar>
              <w:left w:w="108" w:type="dxa"/>
              <w:right w:w="108" w:type="dxa"/>
            </w:tcMar>
            <w:vAlign w:val="center"/>
          </w:tcPr>
          <w:p w14:paraId="16E787E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701" w:type="dxa"/>
            <w:gridSpan w:val="2"/>
            <w:noWrap w:val="0"/>
            <w:tcMar>
              <w:left w:w="108" w:type="dxa"/>
              <w:right w:w="108" w:type="dxa"/>
            </w:tcMar>
            <w:vAlign w:val="center"/>
          </w:tcPr>
          <w:p w14:paraId="05ECC1B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拟选分包人名称</w:t>
            </w:r>
          </w:p>
        </w:tc>
        <w:tc>
          <w:tcPr>
            <w:tcW w:w="1123" w:type="dxa"/>
            <w:noWrap w:val="0"/>
            <w:tcMar>
              <w:left w:w="108" w:type="dxa"/>
              <w:right w:w="108" w:type="dxa"/>
            </w:tcMar>
            <w:vAlign w:val="center"/>
          </w:tcPr>
          <w:p w14:paraId="125EA2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注册地点</w:t>
            </w:r>
          </w:p>
        </w:tc>
        <w:tc>
          <w:tcPr>
            <w:tcW w:w="1090" w:type="dxa"/>
            <w:noWrap w:val="0"/>
            <w:tcMar>
              <w:left w:w="108" w:type="dxa"/>
              <w:right w:w="108" w:type="dxa"/>
            </w:tcMar>
            <w:vAlign w:val="center"/>
          </w:tcPr>
          <w:p w14:paraId="7551F22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企业资质</w:t>
            </w:r>
          </w:p>
        </w:tc>
        <w:tc>
          <w:tcPr>
            <w:tcW w:w="1197" w:type="dxa"/>
            <w:noWrap w:val="0"/>
            <w:tcMar>
              <w:left w:w="108" w:type="dxa"/>
              <w:right w:w="108" w:type="dxa"/>
            </w:tcMar>
            <w:vAlign w:val="center"/>
          </w:tcPr>
          <w:p w14:paraId="32A265E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eastAsia" w:ascii="Calibri" w:hAnsi="Calibri" w:eastAsia="宋体" w:cs="宋体"/>
                <w:color w:val="auto"/>
                <w:highlight w:val="none"/>
              </w:rPr>
              <w:t>有关业绩</w:t>
            </w:r>
          </w:p>
        </w:tc>
        <w:tc>
          <w:tcPr>
            <w:tcW w:w="1268" w:type="dxa"/>
            <w:noWrap w:val="0"/>
            <w:vAlign w:val="center"/>
          </w:tcPr>
          <w:p w14:paraId="326F84F7">
            <w:pPr>
              <w:keepNext w:val="0"/>
              <w:keepLines w:val="0"/>
              <w:suppressLineNumbers w:val="0"/>
              <w:spacing w:before="0" w:beforeAutospacing="0" w:after="0" w:afterAutospacing="0"/>
              <w:ind w:left="0" w:right="0"/>
              <w:jc w:val="center"/>
              <w:rPr>
                <w:rFonts w:hint="default" w:ascii="Calibri" w:hAnsi="Calibri" w:eastAsia="宋体" w:cs="宋体"/>
                <w:color w:val="auto"/>
                <w:highlight w:val="none"/>
              </w:rPr>
            </w:pPr>
            <w:r>
              <w:rPr>
                <w:rFonts w:hint="eastAsia" w:ascii="Calibri" w:hAnsi="Calibri" w:eastAsia="宋体" w:cs="宋体"/>
                <w:color w:val="auto"/>
                <w:highlight w:val="none"/>
              </w:rPr>
              <w:t>拟分包金额</w:t>
            </w:r>
          </w:p>
        </w:tc>
        <w:tc>
          <w:tcPr>
            <w:tcW w:w="673" w:type="dxa"/>
            <w:vMerge w:val="continue"/>
            <w:noWrap w:val="0"/>
            <w:tcMar>
              <w:left w:w="108" w:type="dxa"/>
              <w:right w:w="108" w:type="dxa"/>
            </w:tcMar>
            <w:vAlign w:val="center"/>
          </w:tcPr>
          <w:p w14:paraId="4A8F93A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0066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1B7AAC9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vMerge w:val="restart"/>
            <w:noWrap w:val="0"/>
            <w:tcMar>
              <w:left w:w="108" w:type="dxa"/>
              <w:right w:w="108" w:type="dxa"/>
            </w:tcMar>
            <w:vAlign w:val="center"/>
          </w:tcPr>
          <w:p w14:paraId="128A6C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1" w:type="dxa"/>
            <w:noWrap w:val="0"/>
            <w:tcMar>
              <w:left w:w="108" w:type="dxa"/>
              <w:right w:w="108" w:type="dxa"/>
            </w:tcMar>
            <w:vAlign w:val="center"/>
          </w:tcPr>
          <w:p w14:paraId="71F22B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w:t>
            </w:r>
          </w:p>
        </w:tc>
        <w:tc>
          <w:tcPr>
            <w:tcW w:w="950" w:type="dxa"/>
            <w:noWrap w:val="0"/>
            <w:tcMar>
              <w:left w:w="108" w:type="dxa"/>
              <w:right w:w="108" w:type="dxa"/>
            </w:tcMar>
            <w:vAlign w:val="center"/>
          </w:tcPr>
          <w:p w14:paraId="57F114E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23" w:type="dxa"/>
            <w:noWrap w:val="0"/>
            <w:tcMar>
              <w:left w:w="108" w:type="dxa"/>
              <w:right w:w="108" w:type="dxa"/>
            </w:tcMar>
            <w:vAlign w:val="center"/>
          </w:tcPr>
          <w:p w14:paraId="16722531">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90" w:type="dxa"/>
            <w:noWrap w:val="0"/>
            <w:tcMar>
              <w:left w:w="108" w:type="dxa"/>
              <w:right w:w="108" w:type="dxa"/>
            </w:tcMar>
            <w:vAlign w:val="center"/>
          </w:tcPr>
          <w:p w14:paraId="4C7E02D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tcMar>
              <w:left w:w="108" w:type="dxa"/>
              <w:right w:w="108" w:type="dxa"/>
            </w:tcMar>
            <w:vAlign w:val="center"/>
          </w:tcPr>
          <w:p w14:paraId="3F8EEB4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68" w:type="dxa"/>
            <w:noWrap w:val="0"/>
            <w:vAlign w:val="center"/>
          </w:tcPr>
          <w:p w14:paraId="233B231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73" w:type="dxa"/>
            <w:noWrap w:val="0"/>
            <w:tcMar>
              <w:left w:w="108" w:type="dxa"/>
              <w:right w:w="108" w:type="dxa"/>
            </w:tcMar>
            <w:vAlign w:val="center"/>
          </w:tcPr>
          <w:p w14:paraId="2313B12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28F0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11BEB34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vMerge w:val="continue"/>
            <w:noWrap w:val="0"/>
            <w:tcMar>
              <w:left w:w="108" w:type="dxa"/>
              <w:right w:w="108" w:type="dxa"/>
            </w:tcMar>
            <w:vAlign w:val="center"/>
          </w:tcPr>
          <w:p w14:paraId="78620B6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1" w:type="dxa"/>
            <w:noWrap w:val="0"/>
            <w:tcMar>
              <w:left w:w="108" w:type="dxa"/>
              <w:right w:w="108" w:type="dxa"/>
            </w:tcMar>
            <w:vAlign w:val="center"/>
          </w:tcPr>
          <w:p w14:paraId="3BD2B76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w:t>
            </w:r>
          </w:p>
        </w:tc>
        <w:tc>
          <w:tcPr>
            <w:tcW w:w="950" w:type="dxa"/>
            <w:noWrap w:val="0"/>
            <w:tcMar>
              <w:left w:w="108" w:type="dxa"/>
              <w:right w:w="108" w:type="dxa"/>
            </w:tcMar>
            <w:vAlign w:val="center"/>
          </w:tcPr>
          <w:p w14:paraId="6CC752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23" w:type="dxa"/>
            <w:noWrap w:val="0"/>
            <w:tcMar>
              <w:left w:w="108" w:type="dxa"/>
              <w:right w:w="108" w:type="dxa"/>
            </w:tcMar>
            <w:vAlign w:val="center"/>
          </w:tcPr>
          <w:p w14:paraId="6D315B8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90" w:type="dxa"/>
            <w:noWrap w:val="0"/>
            <w:tcMar>
              <w:left w:w="108" w:type="dxa"/>
              <w:right w:w="108" w:type="dxa"/>
            </w:tcMar>
            <w:vAlign w:val="center"/>
          </w:tcPr>
          <w:p w14:paraId="2D9A984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tcMar>
              <w:left w:w="108" w:type="dxa"/>
              <w:right w:w="108" w:type="dxa"/>
            </w:tcMar>
            <w:vAlign w:val="center"/>
          </w:tcPr>
          <w:p w14:paraId="04B8638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68" w:type="dxa"/>
            <w:noWrap w:val="0"/>
            <w:vAlign w:val="top"/>
          </w:tcPr>
          <w:p w14:paraId="431181C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73" w:type="dxa"/>
            <w:noWrap w:val="0"/>
            <w:tcMar>
              <w:left w:w="108" w:type="dxa"/>
              <w:right w:w="108" w:type="dxa"/>
            </w:tcMar>
            <w:vAlign w:val="center"/>
          </w:tcPr>
          <w:p w14:paraId="0750B9F8">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1F46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297DD87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vMerge w:val="continue"/>
            <w:noWrap w:val="0"/>
            <w:tcMar>
              <w:left w:w="108" w:type="dxa"/>
              <w:right w:w="108" w:type="dxa"/>
            </w:tcMar>
            <w:vAlign w:val="center"/>
          </w:tcPr>
          <w:p w14:paraId="3EACEFF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1" w:type="dxa"/>
            <w:noWrap w:val="0"/>
            <w:tcMar>
              <w:left w:w="108" w:type="dxa"/>
              <w:right w:w="108" w:type="dxa"/>
            </w:tcMar>
            <w:vAlign w:val="center"/>
          </w:tcPr>
          <w:p w14:paraId="67310E9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950" w:type="dxa"/>
            <w:noWrap w:val="0"/>
            <w:tcMar>
              <w:left w:w="108" w:type="dxa"/>
              <w:right w:w="108" w:type="dxa"/>
            </w:tcMar>
            <w:vAlign w:val="center"/>
          </w:tcPr>
          <w:p w14:paraId="31E5FC2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23" w:type="dxa"/>
            <w:noWrap w:val="0"/>
            <w:tcMar>
              <w:left w:w="108" w:type="dxa"/>
              <w:right w:w="108" w:type="dxa"/>
            </w:tcMar>
            <w:vAlign w:val="center"/>
          </w:tcPr>
          <w:p w14:paraId="2F2B5A4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90" w:type="dxa"/>
            <w:noWrap w:val="0"/>
            <w:tcMar>
              <w:left w:w="108" w:type="dxa"/>
              <w:right w:w="108" w:type="dxa"/>
            </w:tcMar>
            <w:vAlign w:val="center"/>
          </w:tcPr>
          <w:p w14:paraId="03D8491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tcMar>
              <w:left w:w="108" w:type="dxa"/>
              <w:right w:w="108" w:type="dxa"/>
            </w:tcMar>
            <w:vAlign w:val="center"/>
          </w:tcPr>
          <w:p w14:paraId="6521B10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68" w:type="dxa"/>
            <w:noWrap w:val="0"/>
            <w:vAlign w:val="top"/>
          </w:tcPr>
          <w:p w14:paraId="5B37A92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73" w:type="dxa"/>
            <w:noWrap w:val="0"/>
            <w:tcMar>
              <w:left w:w="108" w:type="dxa"/>
              <w:right w:w="108" w:type="dxa"/>
            </w:tcMar>
            <w:vAlign w:val="center"/>
          </w:tcPr>
          <w:p w14:paraId="2D70D98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A5A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7986429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vMerge w:val="restart"/>
            <w:noWrap w:val="0"/>
            <w:tcMar>
              <w:left w:w="108" w:type="dxa"/>
              <w:right w:w="108" w:type="dxa"/>
            </w:tcMar>
            <w:vAlign w:val="center"/>
          </w:tcPr>
          <w:p w14:paraId="25B4789D">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1" w:type="dxa"/>
            <w:noWrap w:val="0"/>
            <w:tcMar>
              <w:left w:w="108" w:type="dxa"/>
              <w:right w:w="108" w:type="dxa"/>
            </w:tcMar>
            <w:vAlign w:val="center"/>
          </w:tcPr>
          <w:p w14:paraId="60D6F089">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1</w:t>
            </w:r>
          </w:p>
        </w:tc>
        <w:tc>
          <w:tcPr>
            <w:tcW w:w="950" w:type="dxa"/>
            <w:noWrap w:val="0"/>
            <w:tcMar>
              <w:left w:w="108" w:type="dxa"/>
              <w:right w:w="108" w:type="dxa"/>
            </w:tcMar>
            <w:vAlign w:val="center"/>
          </w:tcPr>
          <w:p w14:paraId="3B7684C3">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23" w:type="dxa"/>
            <w:noWrap w:val="0"/>
            <w:tcMar>
              <w:left w:w="108" w:type="dxa"/>
              <w:right w:w="108" w:type="dxa"/>
            </w:tcMar>
            <w:vAlign w:val="center"/>
          </w:tcPr>
          <w:p w14:paraId="6795F660">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90" w:type="dxa"/>
            <w:noWrap w:val="0"/>
            <w:tcMar>
              <w:left w:w="108" w:type="dxa"/>
              <w:right w:w="108" w:type="dxa"/>
            </w:tcMar>
            <w:vAlign w:val="center"/>
          </w:tcPr>
          <w:p w14:paraId="39253176">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tcMar>
              <w:left w:w="108" w:type="dxa"/>
              <w:right w:w="108" w:type="dxa"/>
            </w:tcMar>
            <w:vAlign w:val="center"/>
          </w:tcPr>
          <w:p w14:paraId="13B1B7C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68" w:type="dxa"/>
            <w:noWrap w:val="0"/>
            <w:vAlign w:val="top"/>
          </w:tcPr>
          <w:p w14:paraId="00FD0EF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73" w:type="dxa"/>
            <w:noWrap w:val="0"/>
            <w:tcMar>
              <w:left w:w="108" w:type="dxa"/>
              <w:right w:w="108" w:type="dxa"/>
            </w:tcMar>
            <w:vAlign w:val="center"/>
          </w:tcPr>
          <w:p w14:paraId="03C34D1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5523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4AFD361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vMerge w:val="continue"/>
            <w:noWrap w:val="0"/>
            <w:tcMar>
              <w:left w:w="108" w:type="dxa"/>
              <w:right w:w="108" w:type="dxa"/>
            </w:tcMar>
            <w:vAlign w:val="center"/>
          </w:tcPr>
          <w:p w14:paraId="0A7A20B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1" w:type="dxa"/>
            <w:noWrap w:val="0"/>
            <w:tcMar>
              <w:left w:w="108" w:type="dxa"/>
              <w:right w:w="108" w:type="dxa"/>
            </w:tcMar>
            <w:vAlign w:val="center"/>
          </w:tcPr>
          <w:p w14:paraId="0CF533A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2</w:t>
            </w:r>
          </w:p>
        </w:tc>
        <w:tc>
          <w:tcPr>
            <w:tcW w:w="950" w:type="dxa"/>
            <w:noWrap w:val="0"/>
            <w:tcMar>
              <w:left w:w="108" w:type="dxa"/>
              <w:right w:w="108" w:type="dxa"/>
            </w:tcMar>
            <w:vAlign w:val="center"/>
          </w:tcPr>
          <w:p w14:paraId="0C775185">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23" w:type="dxa"/>
            <w:noWrap w:val="0"/>
            <w:tcMar>
              <w:left w:w="108" w:type="dxa"/>
              <w:right w:w="108" w:type="dxa"/>
            </w:tcMar>
            <w:vAlign w:val="center"/>
          </w:tcPr>
          <w:p w14:paraId="26BE055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90" w:type="dxa"/>
            <w:noWrap w:val="0"/>
            <w:tcMar>
              <w:left w:w="108" w:type="dxa"/>
              <w:right w:w="108" w:type="dxa"/>
            </w:tcMar>
            <w:vAlign w:val="center"/>
          </w:tcPr>
          <w:p w14:paraId="35382E3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tcMar>
              <w:left w:w="108" w:type="dxa"/>
              <w:right w:w="108" w:type="dxa"/>
            </w:tcMar>
            <w:vAlign w:val="center"/>
          </w:tcPr>
          <w:p w14:paraId="0217792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68" w:type="dxa"/>
            <w:noWrap w:val="0"/>
            <w:vAlign w:val="top"/>
          </w:tcPr>
          <w:p w14:paraId="1C820C9C">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73" w:type="dxa"/>
            <w:noWrap w:val="0"/>
            <w:tcMar>
              <w:left w:w="108" w:type="dxa"/>
              <w:right w:w="108" w:type="dxa"/>
            </w:tcMar>
            <w:vAlign w:val="center"/>
          </w:tcPr>
          <w:p w14:paraId="69C92F1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r w14:paraId="4C31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3A10F537">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843" w:type="dxa"/>
            <w:vMerge w:val="continue"/>
            <w:noWrap w:val="0"/>
            <w:tcMar>
              <w:left w:w="108" w:type="dxa"/>
              <w:right w:w="108" w:type="dxa"/>
            </w:tcMar>
            <w:vAlign w:val="center"/>
          </w:tcPr>
          <w:p w14:paraId="1B05C6BE">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751" w:type="dxa"/>
            <w:noWrap w:val="0"/>
            <w:tcMar>
              <w:left w:w="108" w:type="dxa"/>
              <w:right w:w="108" w:type="dxa"/>
            </w:tcMar>
            <w:vAlign w:val="center"/>
          </w:tcPr>
          <w:p w14:paraId="393049C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r>
              <w:rPr>
                <w:rFonts w:hint="default" w:ascii="Calibri" w:hAnsi="Calibri" w:eastAsia="宋体" w:cs="Times New Roman"/>
                <w:color w:val="auto"/>
                <w:highlight w:val="none"/>
              </w:rPr>
              <w:t>3</w:t>
            </w:r>
          </w:p>
        </w:tc>
        <w:tc>
          <w:tcPr>
            <w:tcW w:w="950" w:type="dxa"/>
            <w:noWrap w:val="0"/>
            <w:tcMar>
              <w:left w:w="108" w:type="dxa"/>
              <w:right w:w="108" w:type="dxa"/>
            </w:tcMar>
            <w:vAlign w:val="center"/>
          </w:tcPr>
          <w:p w14:paraId="68E3FC5B">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23" w:type="dxa"/>
            <w:noWrap w:val="0"/>
            <w:tcMar>
              <w:left w:w="108" w:type="dxa"/>
              <w:right w:w="108" w:type="dxa"/>
            </w:tcMar>
            <w:vAlign w:val="center"/>
          </w:tcPr>
          <w:p w14:paraId="4976E1A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090" w:type="dxa"/>
            <w:noWrap w:val="0"/>
            <w:tcMar>
              <w:left w:w="108" w:type="dxa"/>
              <w:right w:w="108" w:type="dxa"/>
            </w:tcMar>
            <w:vAlign w:val="center"/>
          </w:tcPr>
          <w:p w14:paraId="350685C2">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197" w:type="dxa"/>
            <w:noWrap w:val="0"/>
            <w:tcMar>
              <w:left w:w="108" w:type="dxa"/>
              <w:right w:w="108" w:type="dxa"/>
            </w:tcMar>
            <w:vAlign w:val="center"/>
          </w:tcPr>
          <w:p w14:paraId="58EC8624">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1268" w:type="dxa"/>
            <w:noWrap w:val="0"/>
            <w:vAlign w:val="top"/>
          </w:tcPr>
          <w:p w14:paraId="0A0A6A2F">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c>
          <w:tcPr>
            <w:tcW w:w="673" w:type="dxa"/>
            <w:noWrap w:val="0"/>
            <w:tcMar>
              <w:left w:w="108" w:type="dxa"/>
              <w:right w:w="108" w:type="dxa"/>
            </w:tcMar>
            <w:vAlign w:val="center"/>
          </w:tcPr>
          <w:p w14:paraId="197E45FA">
            <w:pPr>
              <w:keepNext w:val="0"/>
              <w:keepLines w:val="0"/>
              <w:suppressLineNumbers w:val="0"/>
              <w:spacing w:before="0" w:beforeAutospacing="0" w:after="0" w:afterAutospacing="0"/>
              <w:ind w:left="0" w:right="0"/>
              <w:jc w:val="center"/>
              <w:rPr>
                <w:rFonts w:hint="default" w:ascii="Calibri" w:hAnsi="Calibri" w:eastAsia="宋体" w:cs="Times New Roman"/>
                <w:color w:val="auto"/>
                <w:highlight w:val="none"/>
              </w:rPr>
            </w:pPr>
          </w:p>
        </w:tc>
      </w:tr>
    </w:tbl>
    <w:p w14:paraId="2A4F9D62">
      <w:pPr>
        <w:widowControl/>
        <w:spacing w:line="240" w:lineRule="auto"/>
        <w:ind w:right="0" w:firstLine="420" w:firstLineChars="200"/>
        <w:jc w:val="left"/>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备注：本表所列分包仅限于承包人自行施工范围内的非主体、非关键工程。</w:t>
      </w:r>
    </w:p>
    <w:p w14:paraId="0EE80510">
      <w:pPr>
        <w:wordWrap w:val="0"/>
        <w:spacing w:line="440" w:lineRule="exact"/>
        <w:ind w:right="420"/>
        <w:jc w:val="right"/>
        <w:rPr>
          <w:color w:val="auto"/>
          <w:highlight w:val="none"/>
        </w:rPr>
      </w:pPr>
    </w:p>
    <w:p w14:paraId="13120104">
      <w:pPr>
        <w:spacing w:line="440" w:lineRule="exact"/>
        <w:ind w:right="420"/>
        <w:jc w:val="right"/>
        <w:rPr>
          <w:color w:val="auto"/>
          <w:highlight w:val="none"/>
        </w:rPr>
      </w:pPr>
      <w:r>
        <w:rPr>
          <w:rFonts w:hint="eastAsia" w:cs="宋体"/>
          <w:color w:val="auto"/>
          <w:highlight w:val="none"/>
        </w:rPr>
        <w:t>日期：</w:t>
      </w:r>
      <w:r>
        <w:rPr>
          <w:color w:val="auto"/>
          <w:highlight w:val="none"/>
        </w:rPr>
        <w:t xml:space="preserve">       </w:t>
      </w:r>
      <w:r>
        <w:rPr>
          <w:rFonts w:hint="eastAsia" w:cs="宋体"/>
          <w:color w:val="auto"/>
          <w:highlight w:val="none"/>
        </w:rPr>
        <w:t>年</w:t>
      </w:r>
      <w:r>
        <w:rPr>
          <w:color w:val="auto"/>
          <w:highlight w:val="none"/>
        </w:rPr>
        <w:t xml:space="preserve">     </w:t>
      </w:r>
      <w:r>
        <w:rPr>
          <w:rFonts w:hint="eastAsia" w:cs="宋体"/>
          <w:color w:val="auto"/>
          <w:highlight w:val="none"/>
        </w:rPr>
        <w:t>月</w:t>
      </w:r>
      <w:r>
        <w:rPr>
          <w:color w:val="auto"/>
          <w:highlight w:val="none"/>
        </w:rPr>
        <w:t xml:space="preserve">     </w:t>
      </w:r>
      <w:r>
        <w:rPr>
          <w:rFonts w:hint="eastAsia" w:cs="宋体"/>
          <w:color w:val="auto"/>
          <w:highlight w:val="none"/>
        </w:rPr>
        <w:t>日</w:t>
      </w:r>
      <w:r>
        <w:rPr>
          <w:color w:val="auto"/>
          <w:highlight w:val="none"/>
        </w:rPr>
        <w:t xml:space="preserve">  </w:t>
      </w:r>
    </w:p>
    <w:p w14:paraId="493DE857">
      <w:pPr>
        <w:widowControl/>
        <w:spacing w:line="240" w:lineRule="auto"/>
        <w:ind w:firstLine="420" w:firstLineChars="200"/>
        <w:jc w:val="left"/>
        <w:rPr>
          <w:color w:val="auto"/>
          <w:highlight w:val="none"/>
        </w:rPr>
      </w:pPr>
    </w:p>
    <w:p w14:paraId="20C361D3">
      <w:pPr>
        <w:spacing w:line="360" w:lineRule="auto"/>
        <w:ind w:firstLine="490"/>
        <w:jc w:val="center"/>
        <w:rPr>
          <w:color w:val="auto"/>
          <w:highlight w:val="none"/>
        </w:rPr>
      </w:pPr>
    </w:p>
    <w:p w14:paraId="1EEAB1DE">
      <w:pPr>
        <w:spacing w:line="360" w:lineRule="auto"/>
        <w:ind w:firstLine="490"/>
        <w:jc w:val="center"/>
        <w:rPr>
          <w:color w:val="auto"/>
          <w:highlight w:val="none"/>
        </w:rPr>
      </w:pPr>
    </w:p>
    <w:p w14:paraId="1C109AAD">
      <w:pPr>
        <w:spacing w:line="360" w:lineRule="auto"/>
        <w:ind w:firstLine="490"/>
        <w:jc w:val="center"/>
        <w:rPr>
          <w:color w:val="auto"/>
          <w:highlight w:val="none"/>
        </w:rPr>
      </w:pPr>
    </w:p>
    <w:p w14:paraId="0D617A39">
      <w:pPr>
        <w:spacing w:line="360" w:lineRule="auto"/>
        <w:ind w:firstLine="490"/>
        <w:jc w:val="center"/>
        <w:rPr>
          <w:color w:val="auto"/>
          <w:highlight w:val="none"/>
        </w:rPr>
      </w:pPr>
    </w:p>
    <w:p w14:paraId="11D175F9">
      <w:pPr>
        <w:spacing w:line="360" w:lineRule="auto"/>
        <w:ind w:firstLine="490"/>
        <w:jc w:val="center"/>
        <w:rPr>
          <w:color w:val="auto"/>
          <w:highlight w:val="none"/>
        </w:rPr>
      </w:pPr>
    </w:p>
    <w:p w14:paraId="15FA0323">
      <w:pPr>
        <w:spacing w:line="360" w:lineRule="auto"/>
        <w:ind w:firstLine="490"/>
        <w:jc w:val="center"/>
        <w:rPr>
          <w:color w:val="auto"/>
          <w:highlight w:val="none"/>
        </w:rPr>
      </w:pPr>
    </w:p>
    <w:p w14:paraId="669C2A0A">
      <w:pPr>
        <w:spacing w:line="360" w:lineRule="auto"/>
        <w:ind w:firstLine="490"/>
        <w:jc w:val="center"/>
        <w:rPr>
          <w:color w:val="auto"/>
          <w:highlight w:val="none"/>
        </w:rPr>
      </w:pPr>
    </w:p>
    <w:p w14:paraId="7428B959">
      <w:pPr>
        <w:spacing w:line="360" w:lineRule="auto"/>
        <w:ind w:firstLine="490"/>
        <w:jc w:val="center"/>
        <w:rPr>
          <w:color w:val="auto"/>
          <w:highlight w:val="none"/>
        </w:rPr>
      </w:pPr>
    </w:p>
    <w:p w14:paraId="10856E9D">
      <w:pPr>
        <w:spacing w:line="360" w:lineRule="auto"/>
        <w:ind w:firstLine="490"/>
        <w:jc w:val="center"/>
        <w:rPr>
          <w:color w:val="auto"/>
          <w:highlight w:val="none"/>
        </w:rPr>
      </w:pPr>
    </w:p>
    <w:p w14:paraId="23616090">
      <w:pPr>
        <w:spacing w:line="360" w:lineRule="auto"/>
        <w:ind w:firstLine="490"/>
        <w:jc w:val="center"/>
        <w:rPr>
          <w:color w:val="auto"/>
          <w:highlight w:val="none"/>
        </w:rPr>
      </w:pPr>
    </w:p>
    <w:p w14:paraId="5DEA4F57">
      <w:pPr>
        <w:spacing w:line="360" w:lineRule="auto"/>
        <w:ind w:firstLine="490"/>
        <w:jc w:val="center"/>
        <w:rPr>
          <w:color w:val="auto"/>
          <w:highlight w:val="none"/>
        </w:rPr>
      </w:pPr>
    </w:p>
    <w:p w14:paraId="58B4473A">
      <w:pPr>
        <w:spacing w:line="360" w:lineRule="auto"/>
        <w:ind w:firstLine="490"/>
        <w:jc w:val="center"/>
        <w:rPr>
          <w:color w:val="auto"/>
          <w:highlight w:val="none"/>
        </w:rPr>
      </w:pPr>
    </w:p>
    <w:p w14:paraId="16DE1D41">
      <w:pPr>
        <w:spacing w:line="360" w:lineRule="auto"/>
        <w:ind w:firstLine="490"/>
        <w:jc w:val="center"/>
        <w:rPr>
          <w:color w:val="auto"/>
          <w:highlight w:val="none"/>
        </w:rPr>
      </w:pPr>
    </w:p>
    <w:p w14:paraId="14DC45B2">
      <w:pPr>
        <w:spacing w:line="360" w:lineRule="auto"/>
        <w:ind w:firstLine="490"/>
        <w:jc w:val="center"/>
        <w:rPr>
          <w:color w:val="auto"/>
          <w:highlight w:val="none"/>
        </w:rPr>
      </w:pPr>
    </w:p>
    <w:p w14:paraId="04C70A0E">
      <w:pPr>
        <w:spacing w:line="360" w:lineRule="auto"/>
        <w:ind w:firstLine="490"/>
        <w:jc w:val="center"/>
        <w:rPr>
          <w:color w:val="auto"/>
          <w:highlight w:val="none"/>
        </w:rPr>
      </w:pPr>
    </w:p>
    <w:p w14:paraId="784D2C47">
      <w:pPr>
        <w:spacing w:line="360" w:lineRule="auto"/>
        <w:ind w:firstLine="490"/>
        <w:jc w:val="center"/>
        <w:rPr>
          <w:color w:val="auto"/>
          <w:highlight w:val="none"/>
        </w:rPr>
      </w:pPr>
    </w:p>
    <w:p w14:paraId="7D904DAA">
      <w:pPr>
        <w:spacing w:line="360" w:lineRule="auto"/>
        <w:ind w:firstLine="490"/>
        <w:jc w:val="center"/>
        <w:rPr>
          <w:color w:val="auto"/>
          <w:highlight w:val="none"/>
        </w:rPr>
      </w:pPr>
    </w:p>
    <w:p w14:paraId="1A2E43A5">
      <w:pPr>
        <w:spacing w:line="360" w:lineRule="auto"/>
        <w:ind w:firstLine="490"/>
        <w:jc w:val="center"/>
        <w:rPr>
          <w:color w:val="auto"/>
          <w:highlight w:val="none"/>
        </w:rPr>
      </w:pPr>
    </w:p>
    <w:p w14:paraId="350CFE68">
      <w:pPr>
        <w:pStyle w:val="136"/>
        <w:rPr>
          <w:b/>
          <w:bCs/>
          <w:color w:val="auto"/>
          <w:highlight w:val="none"/>
        </w:rPr>
      </w:pPr>
    </w:p>
    <w:p w14:paraId="1CD69021">
      <w:pPr>
        <w:spacing w:line="360" w:lineRule="auto"/>
        <w:ind w:firstLine="490"/>
        <w:jc w:val="center"/>
        <w:rPr>
          <w:b/>
          <w:bCs/>
          <w:color w:val="auto"/>
          <w:sz w:val="28"/>
          <w:szCs w:val="28"/>
          <w:highlight w:val="none"/>
        </w:rPr>
      </w:pPr>
    </w:p>
    <w:p w14:paraId="301B316B">
      <w:pPr>
        <w:spacing w:line="360" w:lineRule="auto"/>
        <w:ind w:firstLine="490"/>
        <w:jc w:val="center"/>
        <w:rPr>
          <w:color w:val="auto"/>
          <w:highlight w:val="none"/>
        </w:rPr>
      </w:pPr>
    </w:p>
    <w:p w14:paraId="43B71AAF">
      <w:pPr>
        <w:spacing w:line="360" w:lineRule="auto"/>
        <w:ind w:firstLine="490"/>
        <w:jc w:val="center"/>
        <w:rPr>
          <w:color w:val="auto"/>
          <w:highlight w:val="none"/>
        </w:rPr>
      </w:pPr>
    </w:p>
    <w:p w14:paraId="0B326312">
      <w:pPr>
        <w:pStyle w:val="136"/>
        <w:jc w:val="center"/>
        <w:outlineLvl w:val="0"/>
        <w:rPr>
          <w:rFonts w:cs="宋体"/>
          <w:b/>
          <w:bCs/>
          <w:color w:val="auto"/>
          <w:sz w:val="24"/>
          <w:szCs w:val="24"/>
          <w:highlight w:val="none"/>
        </w:rPr>
      </w:pPr>
      <w:r>
        <w:rPr>
          <w:rFonts w:hint="eastAsia" w:cs="宋体"/>
          <w:b/>
          <w:bCs/>
          <w:color w:val="auto"/>
          <w:sz w:val="24"/>
          <w:szCs w:val="24"/>
          <w:highlight w:val="none"/>
        </w:rPr>
        <w:t>三、项目管理机构</w:t>
      </w:r>
    </w:p>
    <w:p w14:paraId="186A15BF">
      <w:pPr>
        <w:pStyle w:val="136"/>
        <w:jc w:val="center"/>
        <w:outlineLvl w:val="0"/>
        <w:rPr>
          <w:b/>
          <w:bCs/>
          <w:color w:val="auto"/>
          <w:sz w:val="28"/>
          <w:szCs w:val="28"/>
          <w:highlight w:val="none"/>
        </w:rPr>
      </w:pPr>
      <w:bookmarkStart w:id="2007" w:name="_Toc172364025"/>
      <w:bookmarkStart w:id="2008" w:name="_Toc153274947"/>
      <w:bookmarkStart w:id="2009" w:name="_Toc251052184"/>
      <w:bookmarkStart w:id="2010" w:name="_Toc173579005"/>
      <w:r>
        <w:rPr>
          <w:rFonts w:hint="eastAsia"/>
          <w:b/>
          <w:bCs/>
          <w:color w:val="auto"/>
          <w:sz w:val="24"/>
          <w:szCs w:val="24"/>
          <w:highlight w:val="none"/>
          <w:lang w:eastAsia="zh-CN"/>
        </w:rPr>
        <w:t>1.</w:t>
      </w:r>
      <w:r>
        <w:rPr>
          <w:rFonts w:hint="eastAsia" w:cs="宋体"/>
          <w:b/>
          <w:bCs/>
          <w:color w:val="auto"/>
          <w:sz w:val="24"/>
          <w:szCs w:val="24"/>
          <w:highlight w:val="none"/>
        </w:rPr>
        <w:t>项目管理机构配备情况表</w:t>
      </w:r>
      <w:bookmarkEnd w:id="2007"/>
      <w:bookmarkEnd w:id="2008"/>
      <w:bookmarkEnd w:id="2009"/>
      <w:bookmarkEnd w:id="2010"/>
    </w:p>
    <w:p w14:paraId="55865609">
      <w:pPr>
        <w:pStyle w:val="136"/>
        <w:rPr>
          <w:color w:val="auto"/>
          <w:highlight w:val="none"/>
          <w:u w:val="single"/>
        </w:rPr>
      </w:pPr>
    </w:p>
    <w:p w14:paraId="1BCA6465">
      <w:pPr>
        <w:spacing w:line="360" w:lineRule="auto"/>
        <w:jc w:val="center"/>
        <w:rPr>
          <w:rFonts w:eastAsia="楷体_GB2312"/>
          <w:color w:val="auto"/>
          <w:highlight w:val="none"/>
        </w:rPr>
      </w:pPr>
      <w:r>
        <w:rPr>
          <w:rFonts w:hint="eastAsia"/>
          <w:color w:val="auto"/>
          <w:highlight w:val="none"/>
          <w:u w:val="single"/>
        </w:rPr>
        <w:t>（</w:t>
      </w:r>
      <w:r>
        <w:rPr>
          <w:color w:val="auto"/>
          <w:highlight w:val="none"/>
          <w:u w:val="single"/>
        </w:rPr>
        <w:t>与</w:t>
      </w:r>
      <w:r>
        <w:rPr>
          <w:rFonts w:hint="eastAsia"/>
          <w:color w:val="auto"/>
          <w:highlight w:val="none"/>
          <w:u w:val="single"/>
        </w:rPr>
        <w:t>资格</w:t>
      </w:r>
      <w:r>
        <w:rPr>
          <w:color w:val="auto"/>
          <w:highlight w:val="none"/>
          <w:u w:val="single"/>
        </w:rPr>
        <w:t>审查表格一致</w:t>
      </w:r>
      <w:r>
        <w:rPr>
          <w:rFonts w:hint="eastAsia"/>
          <w:color w:val="auto"/>
          <w:highlight w:val="none"/>
          <w:u w:val="single"/>
        </w:rPr>
        <w:t>，</w:t>
      </w:r>
      <w:r>
        <w:rPr>
          <w:color w:val="auto"/>
          <w:highlight w:val="none"/>
          <w:u w:val="single"/>
        </w:rPr>
        <w:t>投标人只需</w:t>
      </w:r>
      <w:r>
        <w:rPr>
          <w:rFonts w:hint="eastAsia"/>
          <w:color w:val="auto"/>
          <w:highlight w:val="none"/>
          <w:u w:val="single"/>
        </w:rPr>
        <w:t>填</w:t>
      </w:r>
      <w:r>
        <w:rPr>
          <w:color w:val="auto"/>
          <w:highlight w:val="none"/>
          <w:u w:val="single"/>
        </w:rPr>
        <w:t>一次）</w:t>
      </w:r>
    </w:p>
    <w:p w14:paraId="77A465D4">
      <w:pPr>
        <w:tabs>
          <w:tab w:val="left" w:pos="0"/>
        </w:tabs>
        <w:spacing w:line="360" w:lineRule="auto"/>
        <w:ind w:right="-210"/>
        <w:rPr>
          <w:color w:val="auto"/>
          <w:highlight w:val="none"/>
        </w:rPr>
      </w:pPr>
    </w:p>
    <w:p w14:paraId="3498C43A">
      <w:pPr>
        <w:pStyle w:val="136"/>
        <w:jc w:val="center"/>
        <w:outlineLvl w:val="0"/>
        <w:rPr>
          <w:color w:val="auto"/>
          <w:highlight w:val="none"/>
          <w:u w:val="single"/>
        </w:rPr>
      </w:pPr>
      <w:bookmarkStart w:id="2011" w:name="_Toc153274948"/>
      <w:bookmarkStart w:id="2012" w:name="_Toc251052200"/>
      <w:bookmarkStart w:id="2013" w:name="_Toc172364026"/>
      <w:bookmarkStart w:id="2014" w:name="_Toc389065364"/>
      <w:bookmarkStart w:id="2015" w:name="_Toc173579006"/>
      <w:r>
        <w:rPr>
          <w:rFonts w:hint="eastAsia"/>
          <w:b/>
          <w:bCs/>
          <w:color w:val="auto"/>
          <w:sz w:val="24"/>
          <w:szCs w:val="24"/>
          <w:highlight w:val="none"/>
          <w:lang w:eastAsia="zh-CN"/>
        </w:rPr>
        <w:t>2.</w:t>
      </w:r>
      <w:r>
        <w:rPr>
          <w:rFonts w:hint="eastAsia" w:cs="宋体"/>
          <w:b/>
          <w:bCs/>
          <w:color w:val="auto"/>
          <w:sz w:val="24"/>
          <w:szCs w:val="24"/>
          <w:highlight w:val="none"/>
        </w:rPr>
        <w:t>项目经理简历表</w:t>
      </w:r>
      <w:bookmarkEnd w:id="2011"/>
      <w:bookmarkEnd w:id="2012"/>
      <w:bookmarkEnd w:id="2013"/>
      <w:bookmarkEnd w:id="2014"/>
      <w:bookmarkEnd w:id="2015"/>
    </w:p>
    <w:p w14:paraId="6A9AEDAF">
      <w:pPr>
        <w:pStyle w:val="136"/>
        <w:jc w:val="center"/>
        <w:rPr>
          <w:color w:val="auto"/>
          <w:highlight w:val="none"/>
          <w:u w:val="single"/>
        </w:rPr>
      </w:pPr>
      <w:r>
        <w:rPr>
          <w:rFonts w:hint="eastAsia"/>
          <w:color w:val="auto"/>
          <w:highlight w:val="none"/>
          <w:u w:val="single"/>
        </w:rPr>
        <w:t>（与资格审查表格一致，投标人只需填一次）</w:t>
      </w:r>
    </w:p>
    <w:p w14:paraId="4DE3B62F">
      <w:pPr>
        <w:spacing w:line="360" w:lineRule="auto"/>
        <w:ind w:firstLine="525" w:firstLineChars="250"/>
        <w:rPr>
          <w:color w:val="auto"/>
          <w:highlight w:val="none"/>
        </w:rPr>
      </w:pPr>
    </w:p>
    <w:p w14:paraId="44BC9A53">
      <w:pPr>
        <w:pStyle w:val="136"/>
        <w:jc w:val="center"/>
        <w:outlineLvl w:val="0"/>
        <w:rPr>
          <w:b/>
          <w:bCs/>
          <w:color w:val="auto"/>
          <w:sz w:val="24"/>
          <w:szCs w:val="24"/>
          <w:highlight w:val="none"/>
        </w:rPr>
      </w:pPr>
      <w:bookmarkStart w:id="2016" w:name="_Toc153274949"/>
      <w:bookmarkStart w:id="2017" w:name="_Toc251052219"/>
      <w:bookmarkStart w:id="2018" w:name="_Toc173579007"/>
      <w:bookmarkStart w:id="2019" w:name="_Toc172364027"/>
      <w:bookmarkStart w:id="2020" w:name="_Toc389065365"/>
      <w:r>
        <w:rPr>
          <w:rFonts w:hint="eastAsia"/>
          <w:b/>
          <w:bCs/>
          <w:color w:val="auto"/>
          <w:sz w:val="24"/>
          <w:szCs w:val="24"/>
          <w:highlight w:val="none"/>
          <w:lang w:eastAsia="zh-CN"/>
        </w:rPr>
        <w:t>3.</w:t>
      </w:r>
      <w:r>
        <w:rPr>
          <w:rFonts w:hint="eastAsia" w:cs="宋体"/>
          <w:b/>
          <w:bCs/>
          <w:color w:val="auto"/>
          <w:sz w:val="24"/>
          <w:szCs w:val="24"/>
          <w:highlight w:val="none"/>
        </w:rPr>
        <w:t>项目技术负责人简历表</w:t>
      </w:r>
      <w:bookmarkEnd w:id="2016"/>
      <w:bookmarkEnd w:id="2017"/>
      <w:bookmarkEnd w:id="2018"/>
      <w:bookmarkEnd w:id="2019"/>
      <w:bookmarkEnd w:id="2020"/>
    </w:p>
    <w:p w14:paraId="6DED8304">
      <w:pPr>
        <w:pStyle w:val="136"/>
        <w:jc w:val="center"/>
        <w:rPr>
          <w:color w:val="auto"/>
          <w:highlight w:val="none"/>
          <w:u w:val="single"/>
        </w:rPr>
      </w:pPr>
      <w:r>
        <w:rPr>
          <w:rFonts w:hint="eastAsia"/>
          <w:color w:val="auto"/>
          <w:highlight w:val="none"/>
          <w:u w:val="single"/>
        </w:rPr>
        <w:t>（与资格审查表格一致，投标人只需填一次）</w:t>
      </w:r>
    </w:p>
    <w:p w14:paraId="22A6FDF7">
      <w:pPr>
        <w:jc w:val="center"/>
        <w:rPr>
          <w:color w:val="auto"/>
          <w:sz w:val="32"/>
          <w:szCs w:val="32"/>
          <w:highlight w:val="none"/>
        </w:rPr>
      </w:pPr>
    </w:p>
    <w:p w14:paraId="77FA29D7">
      <w:pPr>
        <w:rPr>
          <w:color w:val="auto"/>
          <w:highlight w:val="none"/>
        </w:rPr>
      </w:pPr>
    </w:p>
    <w:p w14:paraId="66903BED">
      <w:pPr>
        <w:rPr>
          <w:color w:val="auto"/>
          <w:highlight w:val="none"/>
        </w:rPr>
      </w:pPr>
    </w:p>
    <w:p w14:paraId="672AE4BF">
      <w:pPr>
        <w:rPr>
          <w:color w:val="auto"/>
          <w:highlight w:val="none"/>
        </w:rPr>
      </w:pPr>
    </w:p>
    <w:p w14:paraId="3C074506">
      <w:pPr>
        <w:rPr>
          <w:color w:val="auto"/>
          <w:highlight w:val="none"/>
        </w:rPr>
      </w:pPr>
    </w:p>
    <w:p w14:paraId="7132B95C">
      <w:pPr>
        <w:rPr>
          <w:color w:val="auto"/>
          <w:highlight w:val="none"/>
        </w:rPr>
      </w:pPr>
    </w:p>
    <w:p w14:paraId="73997F47">
      <w:pPr>
        <w:rPr>
          <w:color w:val="auto"/>
          <w:highlight w:val="none"/>
        </w:rPr>
      </w:pPr>
    </w:p>
    <w:sectPr>
      <w:pgSz w:w="11907" w:h="16840"/>
      <w:pgMar w:top="1440" w:right="1440" w:bottom="1440" w:left="1797"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5A598E7-7C2F-4B4D-ADAB-941FFC0FBA5D}"/>
  </w:font>
  <w:font w:name="黑体">
    <w:panose1 w:val="02010609060101010101"/>
    <w:charset w:val="86"/>
    <w:family w:val="auto"/>
    <w:pitch w:val="default"/>
    <w:sig w:usb0="800002BF" w:usb1="38CF7CFA" w:usb2="00000016" w:usb3="00000000" w:csb0="00040001" w:csb1="00000000"/>
    <w:embedRegular r:id="rId2" w:fontKey="{393FEF59-7715-4BC9-ADA0-6E6B41CDBFF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0FC19B6-ACD5-4A52-81D2-9BFB7149FC5E}"/>
  </w:font>
  <w:font w:name="Cambria">
    <w:panose1 w:val="02040503050406030204"/>
    <w:charset w:val="00"/>
    <w:family w:val="roman"/>
    <w:pitch w:val="default"/>
    <w:sig w:usb0="E00006FF" w:usb1="420024FF" w:usb2="02000000" w:usb3="00000000" w:csb0="2000019F" w:csb1="00000000"/>
  </w:font>
  <w:font w:name="Times New Roman)">
    <w:altName w:val="Times New Roman"/>
    <w:panose1 w:val="00000000000000000000"/>
    <w:charset w:val="00"/>
    <w:family w:val="auto"/>
    <w:pitch w:val="default"/>
    <w:sig w:usb0="00000000" w:usb1="00000000" w:usb2="00000000" w:usb3="00000000" w:csb0="00040001" w:csb1="00000000"/>
  </w:font>
  <w:font w:name="宋体正文">
    <w:altName w:val="宋体"/>
    <w:panose1 w:val="00000000000000000000"/>
    <w:charset w:val="00"/>
    <w:family w:val="auto"/>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4" w:fontKey="{1F18B004-C7D2-4E8C-8C8A-8D19E1DCCF73}"/>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方正楷体_GB2312">
    <w:panose1 w:val="02000000000000000000"/>
    <w:charset w:val="86"/>
    <w:family w:val="auto"/>
    <w:pitch w:val="default"/>
    <w:sig w:usb0="A00002BF" w:usb1="184F6CFA" w:usb2="00000012" w:usb3="00000000" w:csb0="00040001" w:csb1="00000000"/>
    <w:embedRegular r:id="rId5" w:fontKey="{B570660C-4BBE-4A79-B636-D7965671EF34}"/>
  </w:font>
  <w:font w:name="楷体_GB2312">
    <w:panose1 w:val="02010609030101010101"/>
    <w:charset w:val="86"/>
    <w:family w:val="modern"/>
    <w:pitch w:val="default"/>
    <w:sig w:usb0="00000001" w:usb1="080E0000" w:usb2="00000000" w:usb3="00000000" w:csb0="00040000" w:csb1="00000000"/>
    <w:embedRegular r:id="rId6" w:fontKey="{E619C68E-1067-4E5F-BDC2-112BA656F6C0}"/>
  </w:font>
  <w:font w:name="Wingdings 2">
    <w:panose1 w:val="05020102010507070707"/>
    <w:charset w:val="02"/>
    <w:family w:val="auto"/>
    <w:pitch w:val="default"/>
    <w:sig w:usb0="00000000" w:usb1="00000000" w:usb2="00000000" w:usb3="00000000" w:csb0="80000000" w:csb1="00000000"/>
    <w:embedRegular r:id="rId7" w:fontKey="{E71F0D04-FBB1-4241-B736-42C898C7B870}"/>
  </w:font>
  <w:font w:name="微软雅黑">
    <w:panose1 w:val="020B0503020204020204"/>
    <w:charset w:val="86"/>
    <w:family w:val="auto"/>
    <w:pitch w:val="default"/>
    <w:sig w:usb0="80000287" w:usb1="2ACF3C50" w:usb2="00000016" w:usb3="00000000" w:csb0="0004001F" w:csb1="00000000"/>
    <w:embedRegular r:id="rId8" w:fontKey="{F39E10FA-FB28-42CA-BB7A-72158A14AC5A}"/>
  </w:font>
  <w:font w:name="Good Times">
    <w:panose1 w:val="00000500000000000000"/>
    <w:charset w:val="00"/>
    <w:family w:val="auto"/>
    <w:pitch w:val="default"/>
    <w:sig w:usb0="A00000FF" w:usb1="10000042" w:usb2="00000000" w:usb3="00000000" w:csb0="00000003" w:csb1="00000000"/>
    <w:embedRegular r:id="rId9" w:fontKey="{850DEEF5-2627-4050-9FF3-9D1F31C2AC61}"/>
  </w:font>
  <w:font w:name="汉仪书宋二S">
    <w:altName w:val="宋体"/>
    <w:panose1 w:val="00020600040101010101"/>
    <w:charset w:val="86"/>
    <w:family w:val="auto"/>
    <w:pitch w:val="default"/>
    <w:sig w:usb0="00000000" w:usb1="00000000" w:usb2="00000016" w:usb3="00000000" w:csb0="00040000" w:csb1="00000000"/>
    <w:embedRegular r:id="rId10" w:fontKey="{49DB365A-8ACE-48A8-8E43-188A18581241}"/>
  </w:font>
  <w:font w:name="WPSEMBED19">
    <w:panose1 w:val="02010609030101010101"/>
    <w:charset w:val="86"/>
    <w:family w:val="auto"/>
    <w:pitch w:val="default"/>
    <w:sig w:usb0="00000001" w:usb1="080E0000" w:usb2="00000000" w:usb3="00000000" w:csb0="00040000" w:csb1="00000000"/>
  </w:font>
  <w:font w:name="WPSEMBED20">
    <w:panose1 w:val="02000000000000000000"/>
    <w:charset w:val="86"/>
    <w:family w:val="auto"/>
    <w:pitch w:val="default"/>
    <w:sig w:usb0="A00002BF" w:usb1="184F6CFA" w:usb2="00000012" w:usb3="00000000" w:csb0="00040001" w:csb1="00000000"/>
  </w:font>
  <w:font w:name="WPSEMBED21">
    <w:panose1 w:val="02010609030101010101"/>
    <w:charset w:val="86"/>
    <w:family w:val="auto"/>
    <w:pitch w:val="default"/>
    <w:sig w:usb0="00000001" w:usb1="080E0000" w:usb2="00000000" w:usb3="00000000" w:csb0="00040000" w:csb1="00000000"/>
  </w:font>
  <w:font w:name="WPSEMBED22">
    <w:panose1 w:val="05020102010507070707"/>
    <w:charset w:val="00"/>
    <w:family w:val="auto"/>
    <w:pitch w:val="default"/>
    <w:sig w:usb0="00000000" w:usb1="00000000" w:usb2="00000000" w:usb3="00000000" w:csb0="80000000" w:csb1="00000000"/>
  </w:font>
  <w:font w:name="WPSEMBED23">
    <w:panose1 w:val="00000500000000000000"/>
    <w:charset w:val="00"/>
    <w:family w:val="auto"/>
    <w:pitch w:val="default"/>
    <w:sig w:usb0="A00000FF" w:usb1="10000042" w:usb2="00000000" w:usb3="00000000" w:csb0="00000003" w:csb1="00000000"/>
  </w:font>
  <w:font w:name="方正黑体_GBK">
    <w:panose1 w:val="03000509000000000000"/>
    <w:charset w:val="86"/>
    <w:family w:val="auto"/>
    <w:pitch w:val="default"/>
    <w:sig w:usb0="00000001" w:usb1="080E0000" w:usb2="00000000" w:usb3="00000000" w:csb0="00040000" w:csb1="00000000"/>
    <w:embedRegular r:id="rId11" w:fontKey="{3DF07273-3670-43B9-BF8B-ED6A327D8EE0}"/>
  </w:font>
  <w:font w:name="方正仿宋_GBK">
    <w:panose1 w:val="03000509000000000000"/>
    <w:charset w:val="86"/>
    <w:family w:val="script"/>
    <w:pitch w:val="default"/>
    <w:sig w:usb0="00000001" w:usb1="080E0000" w:usb2="00000000" w:usb3="00000000" w:csb0="00040000" w:csb1="00000000"/>
    <w:embedRegular r:id="rId12" w:fontKey="{64F92E6D-2F65-4553-BA8D-57BF11780479}"/>
  </w:font>
  <w:font w:name="MingLiU_HKSCS-ExtB">
    <w:panose1 w:val="02020500000000000000"/>
    <w:charset w:val="88"/>
    <w:family w:val="auto"/>
    <w:pitch w:val="default"/>
    <w:sig w:usb0="8000002F" w:usb1="02000008" w:usb2="00000000" w:usb3="00000000" w:csb0="00100001" w:csb1="00000000"/>
    <w:embedRegular r:id="rId13" w:fontKey="{DD4987E1-51FC-468A-A9B1-FF468B902FB2}"/>
  </w:font>
  <w:font w:name="方正楷体_GBK">
    <w:panose1 w:val="03000509000000000000"/>
    <w:charset w:val="86"/>
    <w:family w:val="auto"/>
    <w:pitch w:val="default"/>
    <w:sig w:usb0="00000001" w:usb1="080E0000" w:usb2="00000000" w:usb3="00000000" w:csb0="00040000" w:csb1="00000000"/>
    <w:embedRegular r:id="rId14" w:fontKey="{AF377191-0954-4BD0-ABFE-B75409649930}"/>
  </w:font>
  <w:font w:name="方正小标宋简体">
    <w:panose1 w:val="02000000000000000000"/>
    <w:charset w:val="86"/>
    <w:family w:val="script"/>
    <w:pitch w:val="default"/>
    <w:sig w:usb0="00000001" w:usb1="08000000" w:usb2="00000000" w:usb3="00000000" w:csb0="00040000" w:csb1="00000000"/>
    <w:embedRegular r:id="rId15" w:fontKey="{EE2EFC22-11E1-4CF7-A018-94419C6CD9A8}"/>
  </w:font>
  <w:font w:name="WPSEMBED24">
    <w:panose1 w:val="03000509000000000000"/>
    <w:charset w:val="86"/>
    <w:family w:val="auto"/>
    <w:pitch w:val="default"/>
    <w:sig w:usb0="00000001" w:usb1="080E0000" w:usb2="00000000" w:usb3="00000000" w:csb0="00040000" w:csb1="00000000"/>
  </w:font>
  <w:font w:name="WPSEMBED25">
    <w:panose1 w:val="03000509000000000000"/>
    <w:charset w:val="86"/>
    <w:family w:val="auto"/>
    <w:pitch w:val="default"/>
    <w:sig w:usb0="00000001" w:usb1="080E0000" w:usb2="00000000" w:usb3="00000000" w:csb0="00040000" w:csb1="00000000"/>
  </w:font>
  <w:font w:name="WPSEMBED26">
    <w:panose1 w:val="03000509000000000000"/>
    <w:charset w:val="86"/>
    <w:family w:val="auto"/>
    <w:pitch w:val="default"/>
    <w:sig w:usb0="00000001" w:usb1="080E0000" w:usb2="00000000" w:usb3="00000000" w:csb0="00040000" w:csb1="00000000"/>
  </w:font>
  <w:font w:name="WPSEMBED27">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95AD1">
    <w:pPr>
      <w:pStyle w:val="27"/>
      <w:framePr w:wrap="around" w:vAnchor="text" w:hAnchor="margin" w:xAlign="center" w:y="1"/>
      <w:rPr>
        <w:rStyle w:val="45"/>
      </w:rPr>
    </w:pPr>
    <w:r>
      <w:fldChar w:fldCharType="begin"/>
    </w:r>
    <w:r>
      <w:rPr>
        <w:rStyle w:val="45"/>
      </w:rPr>
      <w:instrText xml:space="preserve">PAGE  </w:instrText>
    </w:r>
    <w:r>
      <w:fldChar w:fldCharType="separate"/>
    </w:r>
    <w:r>
      <w:rPr>
        <w:rStyle w:val="45"/>
      </w:rPr>
      <w:t>IX</w:t>
    </w:r>
    <w:r>
      <w:fldChar w:fldCharType="end"/>
    </w:r>
  </w:p>
  <w:p w14:paraId="2CDBDD99">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A4C8C">
    <w:pPr>
      <w:pStyle w:val="27"/>
      <w:framePr w:wrap="around" w:vAnchor="text" w:hAnchor="margin" w:xAlign="center" w:y="1"/>
      <w:rPr>
        <w:rStyle w:val="45"/>
      </w:rPr>
    </w:pPr>
    <w:r>
      <w:fldChar w:fldCharType="begin"/>
    </w:r>
    <w:r>
      <w:rPr>
        <w:rStyle w:val="45"/>
      </w:rPr>
      <w:instrText xml:space="preserve">PAGE  </w:instrText>
    </w:r>
    <w:r>
      <w:fldChar w:fldCharType="separate"/>
    </w:r>
    <w:r>
      <w:rPr>
        <w:rStyle w:val="45"/>
      </w:rPr>
      <w:t>26</w:t>
    </w:r>
    <w:r>
      <w:fldChar w:fldCharType="end"/>
    </w:r>
  </w:p>
  <w:p w14:paraId="25FFC195">
    <w:pPr>
      <w:pStyle w:val="2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8524"/>
    <w:multiLevelType w:val="singleLevel"/>
    <w:tmpl w:val="979E8524"/>
    <w:lvl w:ilvl="0" w:tentative="0">
      <w:start w:val="2"/>
      <w:numFmt w:val="decimal"/>
      <w:suff w:val="nothing"/>
      <w:lvlText w:val="（%1）"/>
      <w:lvlJc w:val="left"/>
    </w:lvl>
  </w:abstractNum>
  <w:abstractNum w:abstractNumId="1">
    <w:nsid w:val="BEA53BB4"/>
    <w:multiLevelType w:val="singleLevel"/>
    <w:tmpl w:val="BEA53BB4"/>
    <w:lvl w:ilvl="0" w:tentative="0">
      <w:start w:val="1"/>
      <w:numFmt w:val="decimal"/>
      <w:suff w:val="nothing"/>
      <w:lvlText w:val="%1、"/>
      <w:lvlJc w:val="left"/>
    </w:lvl>
  </w:abstractNum>
  <w:abstractNum w:abstractNumId="2">
    <w:nsid w:val="BFFA26FE"/>
    <w:multiLevelType w:val="singleLevel"/>
    <w:tmpl w:val="BFFA26FE"/>
    <w:lvl w:ilvl="0" w:tentative="0">
      <w:start w:val="1"/>
      <w:numFmt w:val="decimal"/>
      <w:suff w:val="space"/>
      <w:lvlText w:val="（%1）"/>
      <w:lvlJc w:val="left"/>
    </w:lvl>
  </w:abstractNum>
  <w:abstractNum w:abstractNumId="3">
    <w:nsid w:val="EBFB9C56"/>
    <w:multiLevelType w:val="singleLevel"/>
    <w:tmpl w:val="EBFB9C56"/>
    <w:lvl w:ilvl="0" w:tentative="0">
      <w:start w:val="1"/>
      <w:numFmt w:val="decimal"/>
      <w:suff w:val="nothing"/>
      <w:lvlText w:val="（%1）"/>
      <w:lvlJc w:val="left"/>
    </w:lvl>
  </w:abstractNum>
  <w:abstractNum w:abstractNumId="4">
    <w:nsid w:val="00000001"/>
    <w:multiLevelType w:val="singleLevel"/>
    <w:tmpl w:val="00000001"/>
    <w:lvl w:ilvl="0" w:tentative="0">
      <w:start w:val="2"/>
      <w:numFmt w:val="decimal"/>
      <w:suff w:val="space"/>
      <w:lvlText w:val="%1."/>
      <w:lvlJc w:val="left"/>
      <w:pPr>
        <w:ind w:left="720" w:firstLine="0"/>
      </w:pPr>
    </w:lvl>
  </w:abstractNum>
  <w:abstractNum w:abstractNumId="5">
    <w:nsid w:val="331D25A3"/>
    <w:multiLevelType w:val="singleLevel"/>
    <w:tmpl w:val="331D25A3"/>
    <w:lvl w:ilvl="0" w:tentative="0">
      <w:start w:val="1"/>
      <w:numFmt w:val="decimal"/>
      <w:suff w:val="nothing"/>
      <w:lvlText w:val="（%1）"/>
      <w:lvlJc w:val="left"/>
    </w:lvl>
  </w:abstractNum>
  <w:abstractNum w:abstractNumId="6">
    <w:nsid w:val="5498E193"/>
    <w:multiLevelType w:val="singleLevel"/>
    <w:tmpl w:val="5498E193"/>
    <w:lvl w:ilvl="0" w:tentative="0">
      <w:start w:val="11"/>
      <w:numFmt w:val="decimal"/>
      <w:suff w:val="space"/>
      <w:lvlText w:val="%1."/>
      <w:lvlJc w:val="left"/>
    </w:lvl>
  </w:abstractNum>
  <w:abstractNum w:abstractNumId="7">
    <w:nsid w:val="6EDD6596"/>
    <w:multiLevelType w:val="singleLevel"/>
    <w:tmpl w:val="6EDD6596"/>
    <w:lvl w:ilvl="0" w:tentative="0">
      <w:start w:val="1"/>
      <w:numFmt w:val="decimal"/>
      <w:suff w:val="space"/>
      <w:lvlText w:val="%1."/>
      <w:lvlJc w:val="left"/>
    </w:lvl>
  </w:abstractNum>
  <w:num w:numId="1">
    <w:abstractNumId w:val="6"/>
  </w:num>
  <w:num w:numId="2">
    <w:abstractNumId w:val="3"/>
  </w:num>
  <w:num w:numId="3">
    <w:abstractNumId w:val="0"/>
  </w:num>
  <w:num w:numId="4">
    <w:abstractNumId w:val="2"/>
  </w:num>
  <w:num w:numId="5">
    <w:abstractNumId w:val="5"/>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zNGZjOTcxYWVlYjliZGNjMGE1NjQwMTFhMmY2ZWIifQ=="/>
  </w:docVars>
  <w:rsids>
    <w:rsidRoot w:val="00362622"/>
    <w:rsid w:val="00000890"/>
    <w:rsid w:val="00000AA0"/>
    <w:rsid w:val="000028E6"/>
    <w:rsid w:val="00002A82"/>
    <w:rsid w:val="00002ABD"/>
    <w:rsid w:val="00003E27"/>
    <w:rsid w:val="000041D9"/>
    <w:rsid w:val="0000458D"/>
    <w:rsid w:val="000055FC"/>
    <w:rsid w:val="00006780"/>
    <w:rsid w:val="00007241"/>
    <w:rsid w:val="000073FE"/>
    <w:rsid w:val="00010FE3"/>
    <w:rsid w:val="0001200D"/>
    <w:rsid w:val="0001228B"/>
    <w:rsid w:val="00012F36"/>
    <w:rsid w:val="00014246"/>
    <w:rsid w:val="00014DAC"/>
    <w:rsid w:val="0001555D"/>
    <w:rsid w:val="000169E6"/>
    <w:rsid w:val="000177F5"/>
    <w:rsid w:val="00020161"/>
    <w:rsid w:val="000212CE"/>
    <w:rsid w:val="00022002"/>
    <w:rsid w:val="00022224"/>
    <w:rsid w:val="000226E7"/>
    <w:rsid w:val="0002291E"/>
    <w:rsid w:val="0002394A"/>
    <w:rsid w:val="000243E1"/>
    <w:rsid w:val="00026487"/>
    <w:rsid w:val="00026A0B"/>
    <w:rsid w:val="00026FEB"/>
    <w:rsid w:val="00027721"/>
    <w:rsid w:val="000277DA"/>
    <w:rsid w:val="000278FD"/>
    <w:rsid w:val="0002793C"/>
    <w:rsid w:val="0003046B"/>
    <w:rsid w:val="00030CE6"/>
    <w:rsid w:val="00030D4B"/>
    <w:rsid w:val="0003222C"/>
    <w:rsid w:val="00032EF2"/>
    <w:rsid w:val="00033732"/>
    <w:rsid w:val="00034346"/>
    <w:rsid w:val="0003480A"/>
    <w:rsid w:val="00034AD8"/>
    <w:rsid w:val="000350EF"/>
    <w:rsid w:val="00035498"/>
    <w:rsid w:val="00036458"/>
    <w:rsid w:val="00037374"/>
    <w:rsid w:val="0003761E"/>
    <w:rsid w:val="000417B3"/>
    <w:rsid w:val="00042691"/>
    <w:rsid w:val="00043A27"/>
    <w:rsid w:val="00043D96"/>
    <w:rsid w:val="00045078"/>
    <w:rsid w:val="0004545D"/>
    <w:rsid w:val="0004547A"/>
    <w:rsid w:val="000466EE"/>
    <w:rsid w:val="0004796C"/>
    <w:rsid w:val="00047DA9"/>
    <w:rsid w:val="00047DC9"/>
    <w:rsid w:val="00051E1C"/>
    <w:rsid w:val="00051FB8"/>
    <w:rsid w:val="000521C8"/>
    <w:rsid w:val="00052B0B"/>
    <w:rsid w:val="00052F8C"/>
    <w:rsid w:val="00053C76"/>
    <w:rsid w:val="0005429B"/>
    <w:rsid w:val="000543E0"/>
    <w:rsid w:val="00054C5C"/>
    <w:rsid w:val="00054F2D"/>
    <w:rsid w:val="00056FDB"/>
    <w:rsid w:val="00057265"/>
    <w:rsid w:val="00057AEC"/>
    <w:rsid w:val="0006043B"/>
    <w:rsid w:val="00063CEE"/>
    <w:rsid w:val="00065B14"/>
    <w:rsid w:val="0006600F"/>
    <w:rsid w:val="000660D9"/>
    <w:rsid w:val="000665ED"/>
    <w:rsid w:val="00066C90"/>
    <w:rsid w:val="000670F4"/>
    <w:rsid w:val="000672C3"/>
    <w:rsid w:val="000700A9"/>
    <w:rsid w:val="0007159E"/>
    <w:rsid w:val="0007213E"/>
    <w:rsid w:val="00072764"/>
    <w:rsid w:val="0007293D"/>
    <w:rsid w:val="00073791"/>
    <w:rsid w:val="00073BE8"/>
    <w:rsid w:val="00077297"/>
    <w:rsid w:val="00077B14"/>
    <w:rsid w:val="00080A33"/>
    <w:rsid w:val="0008160A"/>
    <w:rsid w:val="00081F81"/>
    <w:rsid w:val="0008302E"/>
    <w:rsid w:val="0008431D"/>
    <w:rsid w:val="000849F5"/>
    <w:rsid w:val="00084DB8"/>
    <w:rsid w:val="0008524B"/>
    <w:rsid w:val="0008534A"/>
    <w:rsid w:val="00085707"/>
    <w:rsid w:val="00085C3A"/>
    <w:rsid w:val="00086D31"/>
    <w:rsid w:val="00087159"/>
    <w:rsid w:val="00087665"/>
    <w:rsid w:val="000877EA"/>
    <w:rsid w:val="0009014D"/>
    <w:rsid w:val="000904E1"/>
    <w:rsid w:val="000906B1"/>
    <w:rsid w:val="000908C9"/>
    <w:rsid w:val="000918BB"/>
    <w:rsid w:val="00091991"/>
    <w:rsid w:val="00091C53"/>
    <w:rsid w:val="00091D7E"/>
    <w:rsid w:val="0009380F"/>
    <w:rsid w:val="000938B4"/>
    <w:rsid w:val="0009478C"/>
    <w:rsid w:val="00094A80"/>
    <w:rsid w:val="00094E96"/>
    <w:rsid w:val="00096D46"/>
    <w:rsid w:val="000A019A"/>
    <w:rsid w:val="000A0C6B"/>
    <w:rsid w:val="000A7542"/>
    <w:rsid w:val="000A7DA2"/>
    <w:rsid w:val="000B088B"/>
    <w:rsid w:val="000B13AB"/>
    <w:rsid w:val="000B1BBF"/>
    <w:rsid w:val="000B3B85"/>
    <w:rsid w:val="000B4150"/>
    <w:rsid w:val="000B43BA"/>
    <w:rsid w:val="000B47FF"/>
    <w:rsid w:val="000B4C01"/>
    <w:rsid w:val="000B4CFE"/>
    <w:rsid w:val="000B4F13"/>
    <w:rsid w:val="000B61C8"/>
    <w:rsid w:val="000B66FB"/>
    <w:rsid w:val="000B7C46"/>
    <w:rsid w:val="000C00CE"/>
    <w:rsid w:val="000C1344"/>
    <w:rsid w:val="000C1A5D"/>
    <w:rsid w:val="000C1A94"/>
    <w:rsid w:val="000C42EA"/>
    <w:rsid w:val="000C432C"/>
    <w:rsid w:val="000C484F"/>
    <w:rsid w:val="000C4F03"/>
    <w:rsid w:val="000C618C"/>
    <w:rsid w:val="000D0219"/>
    <w:rsid w:val="000D023A"/>
    <w:rsid w:val="000D154D"/>
    <w:rsid w:val="000D1712"/>
    <w:rsid w:val="000D1958"/>
    <w:rsid w:val="000D2697"/>
    <w:rsid w:val="000D4203"/>
    <w:rsid w:val="000D4BE7"/>
    <w:rsid w:val="000D4C31"/>
    <w:rsid w:val="000D542C"/>
    <w:rsid w:val="000D6186"/>
    <w:rsid w:val="000D6932"/>
    <w:rsid w:val="000D79BF"/>
    <w:rsid w:val="000D7E45"/>
    <w:rsid w:val="000E0001"/>
    <w:rsid w:val="000E0657"/>
    <w:rsid w:val="000E0876"/>
    <w:rsid w:val="000E1354"/>
    <w:rsid w:val="000E208B"/>
    <w:rsid w:val="000E22BC"/>
    <w:rsid w:val="000E2597"/>
    <w:rsid w:val="000E29F4"/>
    <w:rsid w:val="000E370F"/>
    <w:rsid w:val="000E3BFB"/>
    <w:rsid w:val="000E4FE1"/>
    <w:rsid w:val="000E548A"/>
    <w:rsid w:val="000E5C67"/>
    <w:rsid w:val="000E5EDC"/>
    <w:rsid w:val="000E762E"/>
    <w:rsid w:val="000F03CB"/>
    <w:rsid w:val="000F071F"/>
    <w:rsid w:val="000F0B7F"/>
    <w:rsid w:val="000F10E7"/>
    <w:rsid w:val="000F1C52"/>
    <w:rsid w:val="000F205F"/>
    <w:rsid w:val="000F291C"/>
    <w:rsid w:val="000F304E"/>
    <w:rsid w:val="000F3749"/>
    <w:rsid w:val="000F53A6"/>
    <w:rsid w:val="000F53E7"/>
    <w:rsid w:val="000F5AA6"/>
    <w:rsid w:val="000F6618"/>
    <w:rsid w:val="000F6B68"/>
    <w:rsid w:val="000F6C51"/>
    <w:rsid w:val="000F7DA6"/>
    <w:rsid w:val="00101114"/>
    <w:rsid w:val="001011E5"/>
    <w:rsid w:val="001013C7"/>
    <w:rsid w:val="0010151E"/>
    <w:rsid w:val="00101DCD"/>
    <w:rsid w:val="00102A08"/>
    <w:rsid w:val="00104392"/>
    <w:rsid w:val="00104E7C"/>
    <w:rsid w:val="00104FFF"/>
    <w:rsid w:val="0010559F"/>
    <w:rsid w:val="001059BE"/>
    <w:rsid w:val="001060CA"/>
    <w:rsid w:val="0010661C"/>
    <w:rsid w:val="00106A31"/>
    <w:rsid w:val="00106D30"/>
    <w:rsid w:val="00107394"/>
    <w:rsid w:val="001076D5"/>
    <w:rsid w:val="00107885"/>
    <w:rsid w:val="00110799"/>
    <w:rsid w:val="00110FE5"/>
    <w:rsid w:val="00113CAA"/>
    <w:rsid w:val="0011459B"/>
    <w:rsid w:val="0011473A"/>
    <w:rsid w:val="0011562F"/>
    <w:rsid w:val="001175CB"/>
    <w:rsid w:val="0012008E"/>
    <w:rsid w:val="00120501"/>
    <w:rsid w:val="00120BCF"/>
    <w:rsid w:val="00121BC8"/>
    <w:rsid w:val="00122322"/>
    <w:rsid w:val="001238DD"/>
    <w:rsid w:val="0012400B"/>
    <w:rsid w:val="0012410A"/>
    <w:rsid w:val="001252FC"/>
    <w:rsid w:val="001255AC"/>
    <w:rsid w:val="00126476"/>
    <w:rsid w:val="00126E23"/>
    <w:rsid w:val="00127801"/>
    <w:rsid w:val="001278B0"/>
    <w:rsid w:val="00127AF6"/>
    <w:rsid w:val="00127F06"/>
    <w:rsid w:val="00127F78"/>
    <w:rsid w:val="00130097"/>
    <w:rsid w:val="001307CE"/>
    <w:rsid w:val="00132CBE"/>
    <w:rsid w:val="00135321"/>
    <w:rsid w:val="001357B4"/>
    <w:rsid w:val="00135E7A"/>
    <w:rsid w:val="001376DF"/>
    <w:rsid w:val="00140CBD"/>
    <w:rsid w:val="00141048"/>
    <w:rsid w:val="001410AB"/>
    <w:rsid w:val="001410CB"/>
    <w:rsid w:val="00142EBF"/>
    <w:rsid w:val="00143533"/>
    <w:rsid w:val="001435D8"/>
    <w:rsid w:val="00143E47"/>
    <w:rsid w:val="001445D5"/>
    <w:rsid w:val="0014505E"/>
    <w:rsid w:val="001456CA"/>
    <w:rsid w:val="00146C9F"/>
    <w:rsid w:val="00147D7A"/>
    <w:rsid w:val="00151003"/>
    <w:rsid w:val="001515F0"/>
    <w:rsid w:val="0015231E"/>
    <w:rsid w:val="001526E2"/>
    <w:rsid w:val="00152BC9"/>
    <w:rsid w:val="00152E3C"/>
    <w:rsid w:val="00152EC4"/>
    <w:rsid w:val="00153235"/>
    <w:rsid w:val="00153C22"/>
    <w:rsid w:val="00154355"/>
    <w:rsid w:val="00154B88"/>
    <w:rsid w:val="00154F7D"/>
    <w:rsid w:val="0015629C"/>
    <w:rsid w:val="00156931"/>
    <w:rsid w:val="00156BD8"/>
    <w:rsid w:val="00156DBB"/>
    <w:rsid w:val="00157654"/>
    <w:rsid w:val="001577B8"/>
    <w:rsid w:val="00160092"/>
    <w:rsid w:val="001606C2"/>
    <w:rsid w:val="00160EC7"/>
    <w:rsid w:val="00161121"/>
    <w:rsid w:val="001616B1"/>
    <w:rsid w:val="00161780"/>
    <w:rsid w:val="00162115"/>
    <w:rsid w:val="001622B6"/>
    <w:rsid w:val="00162531"/>
    <w:rsid w:val="00163334"/>
    <w:rsid w:val="00163613"/>
    <w:rsid w:val="00163C0F"/>
    <w:rsid w:val="00164A5C"/>
    <w:rsid w:val="001651F6"/>
    <w:rsid w:val="00165850"/>
    <w:rsid w:val="00165DA8"/>
    <w:rsid w:val="00166F4F"/>
    <w:rsid w:val="0017069E"/>
    <w:rsid w:val="00171561"/>
    <w:rsid w:val="001739AF"/>
    <w:rsid w:val="00174A3D"/>
    <w:rsid w:val="00175439"/>
    <w:rsid w:val="00176665"/>
    <w:rsid w:val="001776D2"/>
    <w:rsid w:val="001804C0"/>
    <w:rsid w:val="0018130E"/>
    <w:rsid w:val="00181DA0"/>
    <w:rsid w:val="00182D9E"/>
    <w:rsid w:val="0018435D"/>
    <w:rsid w:val="001846C2"/>
    <w:rsid w:val="0018516D"/>
    <w:rsid w:val="0018516F"/>
    <w:rsid w:val="00185628"/>
    <w:rsid w:val="001862F4"/>
    <w:rsid w:val="00187CAA"/>
    <w:rsid w:val="00190746"/>
    <w:rsid w:val="001919A5"/>
    <w:rsid w:val="00192423"/>
    <w:rsid w:val="001947DC"/>
    <w:rsid w:val="00194922"/>
    <w:rsid w:val="00194AFC"/>
    <w:rsid w:val="001966BE"/>
    <w:rsid w:val="00196952"/>
    <w:rsid w:val="00196A51"/>
    <w:rsid w:val="0019746F"/>
    <w:rsid w:val="001A029B"/>
    <w:rsid w:val="001A0717"/>
    <w:rsid w:val="001A07D4"/>
    <w:rsid w:val="001A0CBC"/>
    <w:rsid w:val="001A1D32"/>
    <w:rsid w:val="001A22A1"/>
    <w:rsid w:val="001A2321"/>
    <w:rsid w:val="001A285A"/>
    <w:rsid w:val="001A2F28"/>
    <w:rsid w:val="001A3720"/>
    <w:rsid w:val="001A38E1"/>
    <w:rsid w:val="001A3EE8"/>
    <w:rsid w:val="001A4363"/>
    <w:rsid w:val="001A43A1"/>
    <w:rsid w:val="001A54C9"/>
    <w:rsid w:val="001A5CA1"/>
    <w:rsid w:val="001A616E"/>
    <w:rsid w:val="001A6294"/>
    <w:rsid w:val="001A690F"/>
    <w:rsid w:val="001A6BD1"/>
    <w:rsid w:val="001A6EDC"/>
    <w:rsid w:val="001A6F1D"/>
    <w:rsid w:val="001A719A"/>
    <w:rsid w:val="001A73E5"/>
    <w:rsid w:val="001A7A08"/>
    <w:rsid w:val="001B07BA"/>
    <w:rsid w:val="001B12AE"/>
    <w:rsid w:val="001B1E60"/>
    <w:rsid w:val="001B25A7"/>
    <w:rsid w:val="001B3347"/>
    <w:rsid w:val="001B4F13"/>
    <w:rsid w:val="001B5C50"/>
    <w:rsid w:val="001B7000"/>
    <w:rsid w:val="001B7240"/>
    <w:rsid w:val="001B7883"/>
    <w:rsid w:val="001B7FE2"/>
    <w:rsid w:val="001C02AB"/>
    <w:rsid w:val="001C131F"/>
    <w:rsid w:val="001C2973"/>
    <w:rsid w:val="001C3161"/>
    <w:rsid w:val="001C386B"/>
    <w:rsid w:val="001C4407"/>
    <w:rsid w:val="001C5155"/>
    <w:rsid w:val="001C54D8"/>
    <w:rsid w:val="001C5819"/>
    <w:rsid w:val="001C6C97"/>
    <w:rsid w:val="001C6E47"/>
    <w:rsid w:val="001C74CD"/>
    <w:rsid w:val="001C7504"/>
    <w:rsid w:val="001C76AC"/>
    <w:rsid w:val="001D01EF"/>
    <w:rsid w:val="001D0599"/>
    <w:rsid w:val="001D0F60"/>
    <w:rsid w:val="001D1E85"/>
    <w:rsid w:val="001D1F7B"/>
    <w:rsid w:val="001D23E0"/>
    <w:rsid w:val="001D29C4"/>
    <w:rsid w:val="001D49FB"/>
    <w:rsid w:val="001D6DC9"/>
    <w:rsid w:val="001D6E9C"/>
    <w:rsid w:val="001D742C"/>
    <w:rsid w:val="001D7756"/>
    <w:rsid w:val="001E0571"/>
    <w:rsid w:val="001E08D3"/>
    <w:rsid w:val="001E091E"/>
    <w:rsid w:val="001E100F"/>
    <w:rsid w:val="001E14C7"/>
    <w:rsid w:val="001E1FB2"/>
    <w:rsid w:val="001E1FC3"/>
    <w:rsid w:val="001E25FD"/>
    <w:rsid w:val="001E393F"/>
    <w:rsid w:val="001E3943"/>
    <w:rsid w:val="001E42C2"/>
    <w:rsid w:val="001E5638"/>
    <w:rsid w:val="001E5F42"/>
    <w:rsid w:val="001E709F"/>
    <w:rsid w:val="001E73C0"/>
    <w:rsid w:val="001F165C"/>
    <w:rsid w:val="001F184B"/>
    <w:rsid w:val="001F1906"/>
    <w:rsid w:val="001F1E19"/>
    <w:rsid w:val="001F1E3C"/>
    <w:rsid w:val="001F22A4"/>
    <w:rsid w:val="001F2C2A"/>
    <w:rsid w:val="001F3152"/>
    <w:rsid w:val="001F31FF"/>
    <w:rsid w:val="001F48E5"/>
    <w:rsid w:val="001F50E2"/>
    <w:rsid w:val="001F5440"/>
    <w:rsid w:val="001F59C9"/>
    <w:rsid w:val="001F5AB7"/>
    <w:rsid w:val="001F6E22"/>
    <w:rsid w:val="001F75F9"/>
    <w:rsid w:val="002000C2"/>
    <w:rsid w:val="00200148"/>
    <w:rsid w:val="0020020E"/>
    <w:rsid w:val="002011CA"/>
    <w:rsid w:val="00201919"/>
    <w:rsid w:val="00201A35"/>
    <w:rsid w:val="0020258C"/>
    <w:rsid w:val="00202BC1"/>
    <w:rsid w:val="00202F22"/>
    <w:rsid w:val="00203458"/>
    <w:rsid w:val="00203D7A"/>
    <w:rsid w:val="002048CA"/>
    <w:rsid w:val="0020495E"/>
    <w:rsid w:val="00204EAA"/>
    <w:rsid w:val="002050B9"/>
    <w:rsid w:val="002054EA"/>
    <w:rsid w:val="0020641B"/>
    <w:rsid w:val="00206D38"/>
    <w:rsid w:val="00207DDB"/>
    <w:rsid w:val="00207E45"/>
    <w:rsid w:val="0021068C"/>
    <w:rsid w:val="00210880"/>
    <w:rsid w:val="00212856"/>
    <w:rsid w:val="00212E5D"/>
    <w:rsid w:val="0021371A"/>
    <w:rsid w:val="00213AB8"/>
    <w:rsid w:val="00213DAB"/>
    <w:rsid w:val="002141AC"/>
    <w:rsid w:val="002141DF"/>
    <w:rsid w:val="002146BA"/>
    <w:rsid w:val="00215960"/>
    <w:rsid w:val="00215B57"/>
    <w:rsid w:val="00215B6D"/>
    <w:rsid w:val="00216397"/>
    <w:rsid w:val="002169BB"/>
    <w:rsid w:val="00217E81"/>
    <w:rsid w:val="00217FB3"/>
    <w:rsid w:val="002201C2"/>
    <w:rsid w:val="0022042A"/>
    <w:rsid w:val="0022065E"/>
    <w:rsid w:val="0022239A"/>
    <w:rsid w:val="00222431"/>
    <w:rsid w:val="002226A5"/>
    <w:rsid w:val="002227F8"/>
    <w:rsid w:val="00222FD1"/>
    <w:rsid w:val="00223134"/>
    <w:rsid w:val="00223D80"/>
    <w:rsid w:val="00224B9F"/>
    <w:rsid w:val="00225EEC"/>
    <w:rsid w:val="00226E88"/>
    <w:rsid w:val="00226FA0"/>
    <w:rsid w:val="00227DAC"/>
    <w:rsid w:val="00230358"/>
    <w:rsid w:val="00231A79"/>
    <w:rsid w:val="0023235E"/>
    <w:rsid w:val="002332DF"/>
    <w:rsid w:val="002335BF"/>
    <w:rsid w:val="00233699"/>
    <w:rsid w:val="002345F7"/>
    <w:rsid w:val="00234A99"/>
    <w:rsid w:val="00234AC5"/>
    <w:rsid w:val="00234B45"/>
    <w:rsid w:val="00234D20"/>
    <w:rsid w:val="002353B1"/>
    <w:rsid w:val="00235659"/>
    <w:rsid w:val="00235AEB"/>
    <w:rsid w:val="00235FE6"/>
    <w:rsid w:val="00237108"/>
    <w:rsid w:val="002377FA"/>
    <w:rsid w:val="00240BCA"/>
    <w:rsid w:val="00242E7C"/>
    <w:rsid w:val="00243DD7"/>
    <w:rsid w:val="00244952"/>
    <w:rsid w:val="00244AFD"/>
    <w:rsid w:val="002458EB"/>
    <w:rsid w:val="00245F24"/>
    <w:rsid w:val="0024645D"/>
    <w:rsid w:val="00246589"/>
    <w:rsid w:val="002465B9"/>
    <w:rsid w:val="00250073"/>
    <w:rsid w:val="002505F2"/>
    <w:rsid w:val="00250B2D"/>
    <w:rsid w:val="00250C67"/>
    <w:rsid w:val="00251A09"/>
    <w:rsid w:val="0025207C"/>
    <w:rsid w:val="002523DE"/>
    <w:rsid w:val="00252A81"/>
    <w:rsid w:val="00252E2F"/>
    <w:rsid w:val="00253B4A"/>
    <w:rsid w:val="00254423"/>
    <w:rsid w:val="002544A5"/>
    <w:rsid w:val="00254DD9"/>
    <w:rsid w:val="00256624"/>
    <w:rsid w:val="00256BDB"/>
    <w:rsid w:val="00256C6E"/>
    <w:rsid w:val="00260297"/>
    <w:rsid w:val="002602D5"/>
    <w:rsid w:val="002610D4"/>
    <w:rsid w:val="0026114C"/>
    <w:rsid w:val="002618E5"/>
    <w:rsid w:val="00261E99"/>
    <w:rsid w:val="002621B4"/>
    <w:rsid w:val="00262A67"/>
    <w:rsid w:val="00262D48"/>
    <w:rsid w:val="00263DED"/>
    <w:rsid w:val="00265497"/>
    <w:rsid w:val="002659FD"/>
    <w:rsid w:val="00267421"/>
    <w:rsid w:val="002678B2"/>
    <w:rsid w:val="002703FD"/>
    <w:rsid w:val="002713A2"/>
    <w:rsid w:val="002716B8"/>
    <w:rsid w:val="00271BA3"/>
    <w:rsid w:val="002720C5"/>
    <w:rsid w:val="00272EF0"/>
    <w:rsid w:val="0027386E"/>
    <w:rsid w:val="00274380"/>
    <w:rsid w:val="00274E9A"/>
    <w:rsid w:val="00274EBF"/>
    <w:rsid w:val="00275E18"/>
    <w:rsid w:val="00275F48"/>
    <w:rsid w:val="0027618F"/>
    <w:rsid w:val="002773FF"/>
    <w:rsid w:val="002775A8"/>
    <w:rsid w:val="00281E23"/>
    <w:rsid w:val="0028264D"/>
    <w:rsid w:val="00282958"/>
    <w:rsid w:val="00282EA0"/>
    <w:rsid w:val="00286E82"/>
    <w:rsid w:val="00291754"/>
    <w:rsid w:val="00291A7D"/>
    <w:rsid w:val="002926CC"/>
    <w:rsid w:val="0029344B"/>
    <w:rsid w:val="00294054"/>
    <w:rsid w:val="00294438"/>
    <w:rsid w:val="00294817"/>
    <w:rsid w:val="00294F9F"/>
    <w:rsid w:val="0029536A"/>
    <w:rsid w:val="00295418"/>
    <w:rsid w:val="00295606"/>
    <w:rsid w:val="002967F0"/>
    <w:rsid w:val="00296ECC"/>
    <w:rsid w:val="00296FFF"/>
    <w:rsid w:val="002A1747"/>
    <w:rsid w:val="002A2E69"/>
    <w:rsid w:val="002A324C"/>
    <w:rsid w:val="002A3A59"/>
    <w:rsid w:val="002A3B57"/>
    <w:rsid w:val="002A451A"/>
    <w:rsid w:val="002A4F83"/>
    <w:rsid w:val="002A5CD5"/>
    <w:rsid w:val="002A65BC"/>
    <w:rsid w:val="002A7DC1"/>
    <w:rsid w:val="002B050B"/>
    <w:rsid w:val="002B06CE"/>
    <w:rsid w:val="002B1E0A"/>
    <w:rsid w:val="002B2F41"/>
    <w:rsid w:val="002B3411"/>
    <w:rsid w:val="002B38C7"/>
    <w:rsid w:val="002B3B06"/>
    <w:rsid w:val="002B3E8B"/>
    <w:rsid w:val="002B48E3"/>
    <w:rsid w:val="002B51E9"/>
    <w:rsid w:val="002B5C7D"/>
    <w:rsid w:val="002B6183"/>
    <w:rsid w:val="002B710E"/>
    <w:rsid w:val="002B7DE1"/>
    <w:rsid w:val="002C1D04"/>
    <w:rsid w:val="002C24B8"/>
    <w:rsid w:val="002C2949"/>
    <w:rsid w:val="002C3279"/>
    <w:rsid w:val="002D0270"/>
    <w:rsid w:val="002D2E4D"/>
    <w:rsid w:val="002D33F2"/>
    <w:rsid w:val="002D3A5F"/>
    <w:rsid w:val="002D41F5"/>
    <w:rsid w:val="002D48E5"/>
    <w:rsid w:val="002D50E1"/>
    <w:rsid w:val="002D680C"/>
    <w:rsid w:val="002D7CFD"/>
    <w:rsid w:val="002E0D9E"/>
    <w:rsid w:val="002E1B61"/>
    <w:rsid w:val="002E1D04"/>
    <w:rsid w:val="002E1F7A"/>
    <w:rsid w:val="002E2A56"/>
    <w:rsid w:val="002E309D"/>
    <w:rsid w:val="002E3E33"/>
    <w:rsid w:val="002E412F"/>
    <w:rsid w:val="002E4465"/>
    <w:rsid w:val="002E4823"/>
    <w:rsid w:val="002E4BDC"/>
    <w:rsid w:val="002E5F9E"/>
    <w:rsid w:val="002E62B1"/>
    <w:rsid w:val="002E67F8"/>
    <w:rsid w:val="002E6921"/>
    <w:rsid w:val="002E7702"/>
    <w:rsid w:val="002F0711"/>
    <w:rsid w:val="002F106A"/>
    <w:rsid w:val="002F216E"/>
    <w:rsid w:val="002F27FE"/>
    <w:rsid w:val="002F2BCB"/>
    <w:rsid w:val="002F2CA8"/>
    <w:rsid w:val="002F33C8"/>
    <w:rsid w:val="002F3922"/>
    <w:rsid w:val="002F3E9C"/>
    <w:rsid w:val="002F3F9C"/>
    <w:rsid w:val="002F4090"/>
    <w:rsid w:val="002F42FC"/>
    <w:rsid w:val="002F4D0E"/>
    <w:rsid w:val="002F5F79"/>
    <w:rsid w:val="002F6FDD"/>
    <w:rsid w:val="002F7620"/>
    <w:rsid w:val="002F77E4"/>
    <w:rsid w:val="003001B5"/>
    <w:rsid w:val="003013DC"/>
    <w:rsid w:val="003022FB"/>
    <w:rsid w:val="00302455"/>
    <w:rsid w:val="00303980"/>
    <w:rsid w:val="00303EA5"/>
    <w:rsid w:val="003040BA"/>
    <w:rsid w:val="00304C7D"/>
    <w:rsid w:val="00304E85"/>
    <w:rsid w:val="003050A5"/>
    <w:rsid w:val="003061E8"/>
    <w:rsid w:val="00306DEA"/>
    <w:rsid w:val="00310A06"/>
    <w:rsid w:val="00313AA1"/>
    <w:rsid w:val="00313AB7"/>
    <w:rsid w:val="0031417D"/>
    <w:rsid w:val="00314235"/>
    <w:rsid w:val="0031442A"/>
    <w:rsid w:val="00314C0A"/>
    <w:rsid w:val="0031516F"/>
    <w:rsid w:val="0031625A"/>
    <w:rsid w:val="003163CB"/>
    <w:rsid w:val="0031687C"/>
    <w:rsid w:val="00317648"/>
    <w:rsid w:val="00320061"/>
    <w:rsid w:val="00321FC1"/>
    <w:rsid w:val="00322595"/>
    <w:rsid w:val="003229AC"/>
    <w:rsid w:val="00323702"/>
    <w:rsid w:val="0032445C"/>
    <w:rsid w:val="003253D3"/>
    <w:rsid w:val="00325B04"/>
    <w:rsid w:val="00326131"/>
    <w:rsid w:val="003264F0"/>
    <w:rsid w:val="00327167"/>
    <w:rsid w:val="00327A06"/>
    <w:rsid w:val="0033033A"/>
    <w:rsid w:val="003304C8"/>
    <w:rsid w:val="00330A1A"/>
    <w:rsid w:val="00330AB3"/>
    <w:rsid w:val="0033114E"/>
    <w:rsid w:val="003313AC"/>
    <w:rsid w:val="0033167E"/>
    <w:rsid w:val="003317C3"/>
    <w:rsid w:val="003344B2"/>
    <w:rsid w:val="00334C10"/>
    <w:rsid w:val="00334CA6"/>
    <w:rsid w:val="00334F80"/>
    <w:rsid w:val="00335D80"/>
    <w:rsid w:val="003373EB"/>
    <w:rsid w:val="003375E3"/>
    <w:rsid w:val="0033779A"/>
    <w:rsid w:val="003409D3"/>
    <w:rsid w:val="00340A1C"/>
    <w:rsid w:val="00340A3E"/>
    <w:rsid w:val="00340A61"/>
    <w:rsid w:val="00340BBA"/>
    <w:rsid w:val="00342C95"/>
    <w:rsid w:val="00344478"/>
    <w:rsid w:val="00344C32"/>
    <w:rsid w:val="00344DCF"/>
    <w:rsid w:val="003454A1"/>
    <w:rsid w:val="00345EB6"/>
    <w:rsid w:val="003465E9"/>
    <w:rsid w:val="00346695"/>
    <w:rsid w:val="00346ACC"/>
    <w:rsid w:val="00347113"/>
    <w:rsid w:val="00347A09"/>
    <w:rsid w:val="003506B0"/>
    <w:rsid w:val="00350F31"/>
    <w:rsid w:val="003511ED"/>
    <w:rsid w:val="00352D1B"/>
    <w:rsid w:val="0035352E"/>
    <w:rsid w:val="003538D0"/>
    <w:rsid w:val="00353DE9"/>
    <w:rsid w:val="00353E6C"/>
    <w:rsid w:val="00354CCF"/>
    <w:rsid w:val="00355262"/>
    <w:rsid w:val="00355D6E"/>
    <w:rsid w:val="00355FE2"/>
    <w:rsid w:val="003561B1"/>
    <w:rsid w:val="003564FD"/>
    <w:rsid w:val="0035739F"/>
    <w:rsid w:val="0035759B"/>
    <w:rsid w:val="00357A6A"/>
    <w:rsid w:val="0036099A"/>
    <w:rsid w:val="00360AB7"/>
    <w:rsid w:val="003624E3"/>
    <w:rsid w:val="00362622"/>
    <w:rsid w:val="00362FE1"/>
    <w:rsid w:val="00363EDD"/>
    <w:rsid w:val="0036403C"/>
    <w:rsid w:val="003645D1"/>
    <w:rsid w:val="00365021"/>
    <w:rsid w:val="003670C6"/>
    <w:rsid w:val="003710DC"/>
    <w:rsid w:val="00371BBE"/>
    <w:rsid w:val="00371DFA"/>
    <w:rsid w:val="0037295A"/>
    <w:rsid w:val="00373BCE"/>
    <w:rsid w:val="00373DC8"/>
    <w:rsid w:val="00377B32"/>
    <w:rsid w:val="0038018F"/>
    <w:rsid w:val="00380FE7"/>
    <w:rsid w:val="003814B2"/>
    <w:rsid w:val="00382842"/>
    <w:rsid w:val="00382DF4"/>
    <w:rsid w:val="00382F2E"/>
    <w:rsid w:val="00383192"/>
    <w:rsid w:val="00383A1F"/>
    <w:rsid w:val="00383F75"/>
    <w:rsid w:val="0038447A"/>
    <w:rsid w:val="00384E26"/>
    <w:rsid w:val="003855DD"/>
    <w:rsid w:val="00385604"/>
    <w:rsid w:val="00386291"/>
    <w:rsid w:val="00386F68"/>
    <w:rsid w:val="0038777C"/>
    <w:rsid w:val="00387C0A"/>
    <w:rsid w:val="00387E32"/>
    <w:rsid w:val="00390B64"/>
    <w:rsid w:val="00390E5A"/>
    <w:rsid w:val="0039203D"/>
    <w:rsid w:val="00392695"/>
    <w:rsid w:val="003931C3"/>
    <w:rsid w:val="00393E9B"/>
    <w:rsid w:val="0039413B"/>
    <w:rsid w:val="003946C2"/>
    <w:rsid w:val="0039557D"/>
    <w:rsid w:val="00396634"/>
    <w:rsid w:val="00396F43"/>
    <w:rsid w:val="003979FB"/>
    <w:rsid w:val="00397B34"/>
    <w:rsid w:val="003A0213"/>
    <w:rsid w:val="003A05AE"/>
    <w:rsid w:val="003A0EBB"/>
    <w:rsid w:val="003A221C"/>
    <w:rsid w:val="003A2A2D"/>
    <w:rsid w:val="003A2F6E"/>
    <w:rsid w:val="003A3300"/>
    <w:rsid w:val="003A4538"/>
    <w:rsid w:val="003A4EB2"/>
    <w:rsid w:val="003A51BA"/>
    <w:rsid w:val="003A5410"/>
    <w:rsid w:val="003A620F"/>
    <w:rsid w:val="003A6452"/>
    <w:rsid w:val="003B0392"/>
    <w:rsid w:val="003B1080"/>
    <w:rsid w:val="003B43D4"/>
    <w:rsid w:val="003B45C4"/>
    <w:rsid w:val="003B48B8"/>
    <w:rsid w:val="003B4D9E"/>
    <w:rsid w:val="003B5751"/>
    <w:rsid w:val="003B57D1"/>
    <w:rsid w:val="003B66A2"/>
    <w:rsid w:val="003B6862"/>
    <w:rsid w:val="003B6F27"/>
    <w:rsid w:val="003B7755"/>
    <w:rsid w:val="003B794F"/>
    <w:rsid w:val="003B7B63"/>
    <w:rsid w:val="003C0002"/>
    <w:rsid w:val="003C1DFE"/>
    <w:rsid w:val="003C28D3"/>
    <w:rsid w:val="003C3C06"/>
    <w:rsid w:val="003C5840"/>
    <w:rsid w:val="003C5ACC"/>
    <w:rsid w:val="003C61C4"/>
    <w:rsid w:val="003C6346"/>
    <w:rsid w:val="003C6AFD"/>
    <w:rsid w:val="003D134E"/>
    <w:rsid w:val="003D2239"/>
    <w:rsid w:val="003D235F"/>
    <w:rsid w:val="003D3238"/>
    <w:rsid w:val="003D326E"/>
    <w:rsid w:val="003D3C2C"/>
    <w:rsid w:val="003D65F6"/>
    <w:rsid w:val="003D6DF7"/>
    <w:rsid w:val="003D7B4A"/>
    <w:rsid w:val="003D7BF9"/>
    <w:rsid w:val="003E0261"/>
    <w:rsid w:val="003E0A0A"/>
    <w:rsid w:val="003E115E"/>
    <w:rsid w:val="003E188A"/>
    <w:rsid w:val="003E1E3A"/>
    <w:rsid w:val="003E20DC"/>
    <w:rsid w:val="003E2178"/>
    <w:rsid w:val="003E350D"/>
    <w:rsid w:val="003E3697"/>
    <w:rsid w:val="003E37CD"/>
    <w:rsid w:val="003E3B98"/>
    <w:rsid w:val="003E432E"/>
    <w:rsid w:val="003E4AE5"/>
    <w:rsid w:val="003E4C38"/>
    <w:rsid w:val="003E572A"/>
    <w:rsid w:val="003E58C0"/>
    <w:rsid w:val="003E5AD6"/>
    <w:rsid w:val="003E5F2F"/>
    <w:rsid w:val="003E6117"/>
    <w:rsid w:val="003E6AA0"/>
    <w:rsid w:val="003E6F94"/>
    <w:rsid w:val="003E71D1"/>
    <w:rsid w:val="003F0902"/>
    <w:rsid w:val="003F113C"/>
    <w:rsid w:val="003F130C"/>
    <w:rsid w:val="003F150A"/>
    <w:rsid w:val="003F1EAF"/>
    <w:rsid w:val="003F1EDE"/>
    <w:rsid w:val="003F26A4"/>
    <w:rsid w:val="003F335B"/>
    <w:rsid w:val="003F4BB3"/>
    <w:rsid w:val="003F52F3"/>
    <w:rsid w:val="003F57B1"/>
    <w:rsid w:val="003F598E"/>
    <w:rsid w:val="003F59A1"/>
    <w:rsid w:val="003F6328"/>
    <w:rsid w:val="003F69B3"/>
    <w:rsid w:val="003F7B0B"/>
    <w:rsid w:val="00400564"/>
    <w:rsid w:val="004009FF"/>
    <w:rsid w:val="00400D9B"/>
    <w:rsid w:val="0040250A"/>
    <w:rsid w:val="00402915"/>
    <w:rsid w:val="00403B7A"/>
    <w:rsid w:val="00404136"/>
    <w:rsid w:val="004056AF"/>
    <w:rsid w:val="00406C64"/>
    <w:rsid w:val="00406DBF"/>
    <w:rsid w:val="00407169"/>
    <w:rsid w:val="004077CB"/>
    <w:rsid w:val="0041026C"/>
    <w:rsid w:val="00410604"/>
    <w:rsid w:val="00410DB1"/>
    <w:rsid w:val="00412438"/>
    <w:rsid w:val="004129C3"/>
    <w:rsid w:val="00414E78"/>
    <w:rsid w:val="00415683"/>
    <w:rsid w:val="00415D29"/>
    <w:rsid w:val="004167D7"/>
    <w:rsid w:val="00416BA9"/>
    <w:rsid w:val="00416C09"/>
    <w:rsid w:val="004177CE"/>
    <w:rsid w:val="00420484"/>
    <w:rsid w:val="004206C3"/>
    <w:rsid w:val="0042082D"/>
    <w:rsid w:val="00422CA6"/>
    <w:rsid w:val="004234B8"/>
    <w:rsid w:val="00424AF6"/>
    <w:rsid w:val="00424D16"/>
    <w:rsid w:val="00424FFB"/>
    <w:rsid w:val="004260FF"/>
    <w:rsid w:val="004264E8"/>
    <w:rsid w:val="004266B9"/>
    <w:rsid w:val="00426750"/>
    <w:rsid w:val="00427130"/>
    <w:rsid w:val="00427EAC"/>
    <w:rsid w:val="00430CD5"/>
    <w:rsid w:val="00430EA2"/>
    <w:rsid w:val="00431BCC"/>
    <w:rsid w:val="00431E5F"/>
    <w:rsid w:val="00431FA9"/>
    <w:rsid w:val="004322C3"/>
    <w:rsid w:val="00433746"/>
    <w:rsid w:val="004346A7"/>
    <w:rsid w:val="00435E6A"/>
    <w:rsid w:val="004369A9"/>
    <w:rsid w:val="00437091"/>
    <w:rsid w:val="00440715"/>
    <w:rsid w:val="004407BA"/>
    <w:rsid w:val="00440C7F"/>
    <w:rsid w:val="00440CE5"/>
    <w:rsid w:val="00441D98"/>
    <w:rsid w:val="00442176"/>
    <w:rsid w:val="004427FC"/>
    <w:rsid w:val="0044331B"/>
    <w:rsid w:val="0044363F"/>
    <w:rsid w:val="00443711"/>
    <w:rsid w:val="00443BAE"/>
    <w:rsid w:val="00444130"/>
    <w:rsid w:val="00444959"/>
    <w:rsid w:val="0044679C"/>
    <w:rsid w:val="00446EA7"/>
    <w:rsid w:val="00447786"/>
    <w:rsid w:val="00452172"/>
    <w:rsid w:val="00452E45"/>
    <w:rsid w:val="00452F30"/>
    <w:rsid w:val="00453365"/>
    <w:rsid w:val="0045385C"/>
    <w:rsid w:val="00453AAE"/>
    <w:rsid w:val="004544B1"/>
    <w:rsid w:val="00454CD4"/>
    <w:rsid w:val="00454F78"/>
    <w:rsid w:val="00456456"/>
    <w:rsid w:val="004565DE"/>
    <w:rsid w:val="004568D7"/>
    <w:rsid w:val="004577BB"/>
    <w:rsid w:val="00457C59"/>
    <w:rsid w:val="00457E86"/>
    <w:rsid w:val="0046156C"/>
    <w:rsid w:val="00461E34"/>
    <w:rsid w:val="00462752"/>
    <w:rsid w:val="0046312C"/>
    <w:rsid w:val="00464307"/>
    <w:rsid w:val="00464FE6"/>
    <w:rsid w:val="00465521"/>
    <w:rsid w:val="00465871"/>
    <w:rsid w:val="004678C9"/>
    <w:rsid w:val="00470304"/>
    <w:rsid w:val="00470D84"/>
    <w:rsid w:val="00470FD1"/>
    <w:rsid w:val="00472491"/>
    <w:rsid w:val="0047293C"/>
    <w:rsid w:val="0047338B"/>
    <w:rsid w:val="00473AF2"/>
    <w:rsid w:val="00473C65"/>
    <w:rsid w:val="00474441"/>
    <w:rsid w:val="00474558"/>
    <w:rsid w:val="00474635"/>
    <w:rsid w:val="00475144"/>
    <w:rsid w:val="00475CF6"/>
    <w:rsid w:val="00475D7A"/>
    <w:rsid w:val="00476032"/>
    <w:rsid w:val="00477B12"/>
    <w:rsid w:val="0048036C"/>
    <w:rsid w:val="00480D60"/>
    <w:rsid w:val="004825F1"/>
    <w:rsid w:val="00482AA9"/>
    <w:rsid w:val="00482B85"/>
    <w:rsid w:val="00483C3E"/>
    <w:rsid w:val="004850F1"/>
    <w:rsid w:val="00485876"/>
    <w:rsid w:val="004864BA"/>
    <w:rsid w:val="0048689E"/>
    <w:rsid w:val="00486B9F"/>
    <w:rsid w:val="00487902"/>
    <w:rsid w:val="00487A49"/>
    <w:rsid w:val="00490BBC"/>
    <w:rsid w:val="00491D36"/>
    <w:rsid w:val="00493627"/>
    <w:rsid w:val="004936FF"/>
    <w:rsid w:val="00494DB1"/>
    <w:rsid w:val="00494DF4"/>
    <w:rsid w:val="00495856"/>
    <w:rsid w:val="004958A3"/>
    <w:rsid w:val="00495A6C"/>
    <w:rsid w:val="004960E2"/>
    <w:rsid w:val="004A016C"/>
    <w:rsid w:val="004A0E53"/>
    <w:rsid w:val="004A20B6"/>
    <w:rsid w:val="004A3487"/>
    <w:rsid w:val="004A39A4"/>
    <w:rsid w:val="004A457B"/>
    <w:rsid w:val="004A7A2A"/>
    <w:rsid w:val="004A7D5E"/>
    <w:rsid w:val="004B1447"/>
    <w:rsid w:val="004B1683"/>
    <w:rsid w:val="004B238C"/>
    <w:rsid w:val="004B2443"/>
    <w:rsid w:val="004B2A89"/>
    <w:rsid w:val="004B2B3A"/>
    <w:rsid w:val="004B369E"/>
    <w:rsid w:val="004B4961"/>
    <w:rsid w:val="004B526A"/>
    <w:rsid w:val="004B54EA"/>
    <w:rsid w:val="004B59F5"/>
    <w:rsid w:val="004B649B"/>
    <w:rsid w:val="004B6F6B"/>
    <w:rsid w:val="004B7094"/>
    <w:rsid w:val="004B73BD"/>
    <w:rsid w:val="004C125F"/>
    <w:rsid w:val="004C2248"/>
    <w:rsid w:val="004C2744"/>
    <w:rsid w:val="004C33FA"/>
    <w:rsid w:val="004C3F4A"/>
    <w:rsid w:val="004C5147"/>
    <w:rsid w:val="004C758A"/>
    <w:rsid w:val="004D0103"/>
    <w:rsid w:val="004D0760"/>
    <w:rsid w:val="004D15D2"/>
    <w:rsid w:val="004D19CA"/>
    <w:rsid w:val="004D31BD"/>
    <w:rsid w:val="004D38BB"/>
    <w:rsid w:val="004D40FA"/>
    <w:rsid w:val="004D450A"/>
    <w:rsid w:val="004D4609"/>
    <w:rsid w:val="004D4A49"/>
    <w:rsid w:val="004D5643"/>
    <w:rsid w:val="004D57C3"/>
    <w:rsid w:val="004D5FA0"/>
    <w:rsid w:val="004D6ED7"/>
    <w:rsid w:val="004D6FFD"/>
    <w:rsid w:val="004D716A"/>
    <w:rsid w:val="004D7C55"/>
    <w:rsid w:val="004D7FA6"/>
    <w:rsid w:val="004E0642"/>
    <w:rsid w:val="004E131A"/>
    <w:rsid w:val="004E1BAF"/>
    <w:rsid w:val="004E1D9B"/>
    <w:rsid w:val="004E2E7F"/>
    <w:rsid w:val="004E4323"/>
    <w:rsid w:val="004E4CB4"/>
    <w:rsid w:val="004E4DDA"/>
    <w:rsid w:val="004E5DBD"/>
    <w:rsid w:val="004E74D5"/>
    <w:rsid w:val="004F002D"/>
    <w:rsid w:val="004F035C"/>
    <w:rsid w:val="004F2142"/>
    <w:rsid w:val="004F2369"/>
    <w:rsid w:val="004F46DF"/>
    <w:rsid w:val="004F4F84"/>
    <w:rsid w:val="004F50E0"/>
    <w:rsid w:val="004F55B4"/>
    <w:rsid w:val="004F5EC9"/>
    <w:rsid w:val="004F610C"/>
    <w:rsid w:val="004F646E"/>
    <w:rsid w:val="004F6DB3"/>
    <w:rsid w:val="004F7408"/>
    <w:rsid w:val="004F7ACC"/>
    <w:rsid w:val="004F7FCE"/>
    <w:rsid w:val="005003F3"/>
    <w:rsid w:val="00500564"/>
    <w:rsid w:val="00503C4C"/>
    <w:rsid w:val="00503E3F"/>
    <w:rsid w:val="00505170"/>
    <w:rsid w:val="00506145"/>
    <w:rsid w:val="00507600"/>
    <w:rsid w:val="0050799C"/>
    <w:rsid w:val="005103AC"/>
    <w:rsid w:val="0051067D"/>
    <w:rsid w:val="00510828"/>
    <w:rsid w:val="0051197A"/>
    <w:rsid w:val="005123B5"/>
    <w:rsid w:val="005124A2"/>
    <w:rsid w:val="0051284A"/>
    <w:rsid w:val="00513538"/>
    <w:rsid w:val="00513E78"/>
    <w:rsid w:val="0051455B"/>
    <w:rsid w:val="00515B2B"/>
    <w:rsid w:val="00516F72"/>
    <w:rsid w:val="005171BC"/>
    <w:rsid w:val="00520B3D"/>
    <w:rsid w:val="00520D19"/>
    <w:rsid w:val="00521C00"/>
    <w:rsid w:val="005224EF"/>
    <w:rsid w:val="0052379F"/>
    <w:rsid w:val="00523ED8"/>
    <w:rsid w:val="00524386"/>
    <w:rsid w:val="00524CD6"/>
    <w:rsid w:val="005270A2"/>
    <w:rsid w:val="00527146"/>
    <w:rsid w:val="0053030E"/>
    <w:rsid w:val="00530551"/>
    <w:rsid w:val="00530E21"/>
    <w:rsid w:val="005324B5"/>
    <w:rsid w:val="005326BC"/>
    <w:rsid w:val="00534235"/>
    <w:rsid w:val="00534A59"/>
    <w:rsid w:val="00535197"/>
    <w:rsid w:val="00535696"/>
    <w:rsid w:val="00540F7C"/>
    <w:rsid w:val="0054122E"/>
    <w:rsid w:val="00541B36"/>
    <w:rsid w:val="00541DCE"/>
    <w:rsid w:val="0054209F"/>
    <w:rsid w:val="00543BF5"/>
    <w:rsid w:val="0054408B"/>
    <w:rsid w:val="00545505"/>
    <w:rsid w:val="005456C2"/>
    <w:rsid w:val="005464E6"/>
    <w:rsid w:val="005466CE"/>
    <w:rsid w:val="00546CA6"/>
    <w:rsid w:val="005475CF"/>
    <w:rsid w:val="0054780A"/>
    <w:rsid w:val="0054798D"/>
    <w:rsid w:val="00547B1E"/>
    <w:rsid w:val="00547B49"/>
    <w:rsid w:val="00550401"/>
    <w:rsid w:val="005508FC"/>
    <w:rsid w:val="005515CB"/>
    <w:rsid w:val="00551AA1"/>
    <w:rsid w:val="00552DD0"/>
    <w:rsid w:val="00553472"/>
    <w:rsid w:val="005534D5"/>
    <w:rsid w:val="00553906"/>
    <w:rsid w:val="00553EC4"/>
    <w:rsid w:val="00554A83"/>
    <w:rsid w:val="00555925"/>
    <w:rsid w:val="00555D8C"/>
    <w:rsid w:val="005577EF"/>
    <w:rsid w:val="00560C8E"/>
    <w:rsid w:val="00562C34"/>
    <w:rsid w:val="00563432"/>
    <w:rsid w:val="00563945"/>
    <w:rsid w:val="005650ED"/>
    <w:rsid w:val="005656F3"/>
    <w:rsid w:val="00566180"/>
    <w:rsid w:val="00570175"/>
    <w:rsid w:val="005707BF"/>
    <w:rsid w:val="00570C23"/>
    <w:rsid w:val="005712E2"/>
    <w:rsid w:val="005713FC"/>
    <w:rsid w:val="005724B4"/>
    <w:rsid w:val="00573832"/>
    <w:rsid w:val="00574326"/>
    <w:rsid w:val="005747D0"/>
    <w:rsid w:val="00574AAC"/>
    <w:rsid w:val="005755DD"/>
    <w:rsid w:val="0057567A"/>
    <w:rsid w:val="00575994"/>
    <w:rsid w:val="00575B08"/>
    <w:rsid w:val="00576A99"/>
    <w:rsid w:val="0058365D"/>
    <w:rsid w:val="005842A9"/>
    <w:rsid w:val="00585A84"/>
    <w:rsid w:val="0058692B"/>
    <w:rsid w:val="00586988"/>
    <w:rsid w:val="00587338"/>
    <w:rsid w:val="00587411"/>
    <w:rsid w:val="00590D79"/>
    <w:rsid w:val="00591142"/>
    <w:rsid w:val="00591442"/>
    <w:rsid w:val="00591597"/>
    <w:rsid w:val="00592A77"/>
    <w:rsid w:val="00592FCD"/>
    <w:rsid w:val="00593702"/>
    <w:rsid w:val="00593D46"/>
    <w:rsid w:val="005941F7"/>
    <w:rsid w:val="00595B97"/>
    <w:rsid w:val="00595C8A"/>
    <w:rsid w:val="0059699E"/>
    <w:rsid w:val="00596DC6"/>
    <w:rsid w:val="00596F1F"/>
    <w:rsid w:val="005973B9"/>
    <w:rsid w:val="005A07DD"/>
    <w:rsid w:val="005A12E1"/>
    <w:rsid w:val="005A1450"/>
    <w:rsid w:val="005A20D1"/>
    <w:rsid w:val="005A27AA"/>
    <w:rsid w:val="005A2A4C"/>
    <w:rsid w:val="005A3589"/>
    <w:rsid w:val="005A35AB"/>
    <w:rsid w:val="005A3EA8"/>
    <w:rsid w:val="005A4023"/>
    <w:rsid w:val="005A4240"/>
    <w:rsid w:val="005A5575"/>
    <w:rsid w:val="005A6FD0"/>
    <w:rsid w:val="005A7CBE"/>
    <w:rsid w:val="005B0CC7"/>
    <w:rsid w:val="005B0F19"/>
    <w:rsid w:val="005B10E0"/>
    <w:rsid w:val="005B1316"/>
    <w:rsid w:val="005B1488"/>
    <w:rsid w:val="005B2B92"/>
    <w:rsid w:val="005B349E"/>
    <w:rsid w:val="005B5080"/>
    <w:rsid w:val="005B59A7"/>
    <w:rsid w:val="005B758B"/>
    <w:rsid w:val="005B792B"/>
    <w:rsid w:val="005C0F32"/>
    <w:rsid w:val="005C13F4"/>
    <w:rsid w:val="005C1452"/>
    <w:rsid w:val="005C1578"/>
    <w:rsid w:val="005C15A7"/>
    <w:rsid w:val="005C2D39"/>
    <w:rsid w:val="005C2F0F"/>
    <w:rsid w:val="005C3358"/>
    <w:rsid w:val="005C42F7"/>
    <w:rsid w:val="005C442D"/>
    <w:rsid w:val="005C4782"/>
    <w:rsid w:val="005C4FE9"/>
    <w:rsid w:val="005C51E6"/>
    <w:rsid w:val="005C65A2"/>
    <w:rsid w:val="005C667B"/>
    <w:rsid w:val="005C775A"/>
    <w:rsid w:val="005C7C27"/>
    <w:rsid w:val="005D0211"/>
    <w:rsid w:val="005D1F3E"/>
    <w:rsid w:val="005D2003"/>
    <w:rsid w:val="005D226F"/>
    <w:rsid w:val="005D3EDC"/>
    <w:rsid w:val="005D40D1"/>
    <w:rsid w:val="005D45DD"/>
    <w:rsid w:val="005D526D"/>
    <w:rsid w:val="005D6926"/>
    <w:rsid w:val="005D6C54"/>
    <w:rsid w:val="005D6FB5"/>
    <w:rsid w:val="005E1060"/>
    <w:rsid w:val="005E22FE"/>
    <w:rsid w:val="005E4473"/>
    <w:rsid w:val="005E45A3"/>
    <w:rsid w:val="005E57CE"/>
    <w:rsid w:val="005E63E3"/>
    <w:rsid w:val="005E6A14"/>
    <w:rsid w:val="005E7D61"/>
    <w:rsid w:val="005E7F9A"/>
    <w:rsid w:val="005F1213"/>
    <w:rsid w:val="005F1E22"/>
    <w:rsid w:val="005F3F8D"/>
    <w:rsid w:val="005F736B"/>
    <w:rsid w:val="005F73B0"/>
    <w:rsid w:val="005F7D14"/>
    <w:rsid w:val="006008A8"/>
    <w:rsid w:val="00600A5C"/>
    <w:rsid w:val="006012FE"/>
    <w:rsid w:val="0060201C"/>
    <w:rsid w:val="0060213D"/>
    <w:rsid w:val="0060238D"/>
    <w:rsid w:val="00602705"/>
    <w:rsid w:val="00602891"/>
    <w:rsid w:val="00602B1E"/>
    <w:rsid w:val="006045FD"/>
    <w:rsid w:val="00610107"/>
    <w:rsid w:val="006102F0"/>
    <w:rsid w:val="00610D12"/>
    <w:rsid w:val="00611391"/>
    <w:rsid w:val="00611963"/>
    <w:rsid w:val="00612E2D"/>
    <w:rsid w:val="0061325F"/>
    <w:rsid w:val="00613AE6"/>
    <w:rsid w:val="00613FCE"/>
    <w:rsid w:val="00614DE6"/>
    <w:rsid w:val="00614EBE"/>
    <w:rsid w:val="00615624"/>
    <w:rsid w:val="00615CD7"/>
    <w:rsid w:val="0062002D"/>
    <w:rsid w:val="006209F8"/>
    <w:rsid w:val="00620BD2"/>
    <w:rsid w:val="00620CE5"/>
    <w:rsid w:val="00621CBA"/>
    <w:rsid w:val="00621F2C"/>
    <w:rsid w:val="006233CB"/>
    <w:rsid w:val="00623572"/>
    <w:rsid w:val="00623B01"/>
    <w:rsid w:val="00626A38"/>
    <w:rsid w:val="00627A3A"/>
    <w:rsid w:val="00630854"/>
    <w:rsid w:val="00631147"/>
    <w:rsid w:val="00631F41"/>
    <w:rsid w:val="00632345"/>
    <w:rsid w:val="00632626"/>
    <w:rsid w:val="006329AA"/>
    <w:rsid w:val="00634FDA"/>
    <w:rsid w:val="0063622B"/>
    <w:rsid w:val="00637041"/>
    <w:rsid w:val="0063705E"/>
    <w:rsid w:val="00637A65"/>
    <w:rsid w:val="00637D1C"/>
    <w:rsid w:val="00640884"/>
    <w:rsid w:val="00640D6D"/>
    <w:rsid w:val="00641DDF"/>
    <w:rsid w:val="00644677"/>
    <w:rsid w:val="00644D58"/>
    <w:rsid w:val="006451B4"/>
    <w:rsid w:val="00645BC3"/>
    <w:rsid w:val="00645C7A"/>
    <w:rsid w:val="0064602D"/>
    <w:rsid w:val="0064752C"/>
    <w:rsid w:val="00647D63"/>
    <w:rsid w:val="00647E14"/>
    <w:rsid w:val="006510CE"/>
    <w:rsid w:val="006515D6"/>
    <w:rsid w:val="006530F0"/>
    <w:rsid w:val="0065336F"/>
    <w:rsid w:val="006534F7"/>
    <w:rsid w:val="00653CC6"/>
    <w:rsid w:val="00653D0B"/>
    <w:rsid w:val="00653D21"/>
    <w:rsid w:val="00654BC5"/>
    <w:rsid w:val="00654CA1"/>
    <w:rsid w:val="00655560"/>
    <w:rsid w:val="00655AFB"/>
    <w:rsid w:val="00655F91"/>
    <w:rsid w:val="00657005"/>
    <w:rsid w:val="00657D71"/>
    <w:rsid w:val="006613B0"/>
    <w:rsid w:val="006629D5"/>
    <w:rsid w:val="00662C93"/>
    <w:rsid w:val="00662E0E"/>
    <w:rsid w:val="00663F42"/>
    <w:rsid w:val="00664427"/>
    <w:rsid w:val="00664A03"/>
    <w:rsid w:val="00664CF0"/>
    <w:rsid w:val="00665C44"/>
    <w:rsid w:val="00665ECB"/>
    <w:rsid w:val="00666663"/>
    <w:rsid w:val="00666716"/>
    <w:rsid w:val="00667282"/>
    <w:rsid w:val="00670758"/>
    <w:rsid w:val="00670D66"/>
    <w:rsid w:val="00670EC2"/>
    <w:rsid w:val="00671CC6"/>
    <w:rsid w:val="006727F8"/>
    <w:rsid w:val="00672903"/>
    <w:rsid w:val="00673679"/>
    <w:rsid w:val="00674946"/>
    <w:rsid w:val="00675450"/>
    <w:rsid w:val="00675AF0"/>
    <w:rsid w:val="00675D45"/>
    <w:rsid w:val="00675F00"/>
    <w:rsid w:val="0067609C"/>
    <w:rsid w:val="0067640D"/>
    <w:rsid w:val="0067742E"/>
    <w:rsid w:val="0067754E"/>
    <w:rsid w:val="0067789E"/>
    <w:rsid w:val="00677EDB"/>
    <w:rsid w:val="006808D0"/>
    <w:rsid w:val="0068129D"/>
    <w:rsid w:val="00682DCC"/>
    <w:rsid w:val="006849C9"/>
    <w:rsid w:val="00685045"/>
    <w:rsid w:val="006856FB"/>
    <w:rsid w:val="00685CF9"/>
    <w:rsid w:val="00686712"/>
    <w:rsid w:val="006870FC"/>
    <w:rsid w:val="006872D3"/>
    <w:rsid w:val="00687D3B"/>
    <w:rsid w:val="00690402"/>
    <w:rsid w:val="0069051C"/>
    <w:rsid w:val="00690F4E"/>
    <w:rsid w:val="00691679"/>
    <w:rsid w:val="006920B3"/>
    <w:rsid w:val="00692413"/>
    <w:rsid w:val="00692CBC"/>
    <w:rsid w:val="00692D5C"/>
    <w:rsid w:val="00693E05"/>
    <w:rsid w:val="00695108"/>
    <w:rsid w:val="00695AC1"/>
    <w:rsid w:val="0069680D"/>
    <w:rsid w:val="006969CA"/>
    <w:rsid w:val="00697209"/>
    <w:rsid w:val="0069756B"/>
    <w:rsid w:val="006A033F"/>
    <w:rsid w:val="006A1469"/>
    <w:rsid w:val="006A16E8"/>
    <w:rsid w:val="006A17B3"/>
    <w:rsid w:val="006A235C"/>
    <w:rsid w:val="006A246E"/>
    <w:rsid w:val="006A2812"/>
    <w:rsid w:val="006A282D"/>
    <w:rsid w:val="006A334E"/>
    <w:rsid w:val="006A3C22"/>
    <w:rsid w:val="006A466B"/>
    <w:rsid w:val="006A53DC"/>
    <w:rsid w:val="006A5745"/>
    <w:rsid w:val="006A59E5"/>
    <w:rsid w:val="006A6014"/>
    <w:rsid w:val="006A7086"/>
    <w:rsid w:val="006A7609"/>
    <w:rsid w:val="006B04D6"/>
    <w:rsid w:val="006B09A3"/>
    <w:rsid w:val="006B0BF9"/>
    <w:rsid w:val="006B10A8"/>
    <w:rsid w:val="006B18EA"/>
    <w:rsid w:val="006B2ED8"/>
    <w:rsid w:val="006B3077"/>
    <w:rsid w:val="006B320F"/>
    <w:rsid w:val="006B3E0B"/>
    <w:rsid w:val="006C16BF"/>
    <w:rsid w:val="006C1F7F"/>
    <w:rsid w:val="006C22D9"/>
    <w:rsid w:val="006C2464"/>
    <w:rsid w:val="006C2A7E"/>
    <w:rsid w:val="006C3375"/>
    <w:rsid w:val="006C359C"/>
    <w:rsid w:val="006C4CFD"/>
    <w:rsid w:val="006C5BE8"/>
    <w:rsid w:val="006C615B"/>
    <w:rsid w:val="006C676D"/>
    <w:rsid w:val="006C6D9F"/>
    <w:rsid w:val="006C6E54"/>
    <w:rsid w:val="006C6FF8"/>
    <w:rsid w:val="006C70C5"/>
    <w:rsid w:val="006C7E58"/>
    <w:rsid w:val="006C7E7D"/>
    <w:rsid w:val="006D031F"/>
    <w:rsid w:val="006D1719"/>
    <w:rsid w:val="006D188F"/>
    <w:rsid w:val="006D1FDF"/>
    <w:rsid w:val="006D32F4"/>
    <w:rsid w:val="006D3AFD"/>
    <w:rsid w:val="006D3EE0"/>
    <w:rsid w:val="006D446E"/>
    <w:rsid w:val="006D4C28"/>
    <w:rsid w:val="006D4F8B"/>
    <w:rsid w:val="006D56FB"/>
    <w:rsid w:val="006D5B81"/>
    <w:rsid w:val="006D5E44"/>
    <w:rsid w:val="006D6AAF"/>
    <w:rsid w:val="006D7044"/>
    <w:rsid w:val="006D73B0"/>
    <w:rsid w:val="006D773C"/>
    <w:rsid w:val="006E01D8"/>
    <w:rsid w:val="006E04A5"/>
    <w:rsid w:val="006E05CC"/>
    <w:rsid w:val="006E075A"/>
    <w:rsid w:val="006E15E2"/>
    <w:rsid w:val="006E1969"/>
    <w:rsid w:val="006E2607"/>
    <w:rsid w:val="006E272F"/>
    <w:rsid w:val="006E28BE"/>
    <w:rsid w:val="006E2B20"/>
    <w:rsid w:val="006E2DE1"/>
    <w:rsid w:val="006E2E38"/>
    <w:rsid w:val="006E391A"/>
    <w:rsid w:val="006E3D2D"/>
    <w:rsid w:val="006E3D7B"/>
    <w:rsid w:val="006E4C41"/>
    <w:rsid w:val="006E6373"/>
    <w:rsid w:val="006E64E9"/>
    <w:rsid w:val="006E793C"/>
    <w:rsid w:val="006E7F76"/>
    <w:rsid w:val="006F08B5"/>
    <w:rsid w:val="006F0E38"/>
    <w:rsid w:val="006F0FDC"/>
    <w:rsid w:val="006F2231"/>
    <w:rsid w:val="006F2452"/>
    <w:rsid w:val="006F262B"/>
    <w:rsid w:val="006F2FB6"/>
    <w:rsid w:val="006F359F"/>
    <w:rsid w:val="006F3836"/>
    <w:rsid w:val="006F45DD"/>
    <w:rsid w:val="006F54A9"/>
    <w:rsid w:val="006F56A7"/>
    <w:rsid w:val="006F58D9"/>
    <w:rsid w:val="006F59BA"/>
    <w:rsid w:val="006F60BB"/>
    <w:rsid w:val="006F6E45"/>
    <w:rsid w:val="006F7478"/>
    <w:rsid w:val="006F7865"/>
    <w:rsid w:val="00700BCE"/>
    <w:rsid w:val="00700EA0"/>
    <w:rsid w:val="00701A22"/>
    <w:rsid w:val="00701DF7"/>
    <w:rsid w:val="00702041"/>
    <w:rsid w:val="007026CE"/>
    <w:rsid w:val="00702A0F"/>
    <w:rsid w:val="007039D1"/>
    <w:rsid w:val="00703EFC"/>
    <w:rsid w:val="00705110"/>
    <w:rsid w:val="00705247"/>
    <w:rsid w:val="00707582"/>
    <w:rsid w:val="00707C54"/>
    <w:rsid w:val="00707EFF"/>
    <w:rsid w:val="007104B5"/>
    <w:rsid w:val="00712580"/>
    <w:rsid w:val="00712697"/>
    <w:rsid w:val="00712FC1"/>
    <w:rsid w:val="0071301C"/>
    <w:rsid w:val="007132CE"/>
    <w:rsid w:val="0071380C"/>
    <w:rsid w:val="00713B17"/>
    <w:rsid w:val="00713B6C"/>
    <w:rsid w:val="007156CF"/>
    <w:rsid w:val="00715783"/>
    <w:rsid w:val="007159C5"/>
    <w:rsid w:val="007161F1"/>
    <w:rsid w:val="007162A3"/>
    <w:rsid w:val="00716C36"/>
    <w:rsid w:val="00717442"/>
    <w:rsid w:val="00717B68"/>
    <w:rsid w:val="00717DA2"/>
    <w:rsid w:val="007209AA"/>
    <w:rsid w:val="007236F3"/>
    <w:rsid w:val="00723D54"/>
    <w:rsid w:val="00723F46"/>
    <w:rsid w:val="0072469E"/>
    <w:rsid w:val="007253AB"/>
    <w:rsid w:val="007258AA"/>
    <w:rsid w:val="0072611C"/>
    <w:rsid w:val="00726510"/>
    <w:rsid w:val="00726B3C"/>
    <w:rsid w:val="00727D9D"/>
    <w:rsid w:val="0073151A"/>
    <w:rsid w:val="0073184C"/>
    <w:rsid w:val="007329D3"/>
    <w:rsid w:val="0073395C"/>
    <w:rsid w:val="007348FC"/>
    <w:rsid w:val="0073599A"/>
    <w:rsid w:val="00735A6E"/>
    <w:rsid w:val="00735E5F"/>
    <w:rsid w:val="00735E9E"/>
    <w:rsid w:val="0073653F"/>
    <w:rsid w:val="00736CDC"/>
    <w:rsid w:val="00741372"/>
    <w:rsid w:val="00742060"/>
    <w:rsid w:val="00742185"/>
    <w:rsid w:val="007422BC"/>
    <w:rsid w:val="0074273C"/>
    <w:rsid w:val="00743087"/>
    <w:rsid w:val="007438C9"/>
    <w:rsid w:val="00743D16"/>
    <w:rsid w:val="007444CC"/>
    <w:rsid w:val="0074508C"/>
    <w:rsid w:val="00745D07"/>
    <w:rsid w:val="007462D1"/>
    <w:rsid w:val="007465A6"/>
    <w:rsid w:val="00750BAD"/>
    <w:rsid w:val="007512FD"/>
    <w:rsid w:val="007517BF"/>
    <w:rsid w:val="00752434"/>
    <w:rsid w:val="00752982"/>
    <w:rsid w:val="00753885"/>
    <w:rsid w:val="00753BF9"/>
    <w:rsid w:val="00754FCA"/>
    <w:rsid w:val="007553D5"/>
    <w:rsid w:val="0075597D"/>
    <w:rsid w:val="00755F38"/>
    <w:rsid w:val="00756CCD"/>
    <w:rsid w:val="00757652"/>
    <w:rsid w:val="00760C26"/>
    <w:rsid w:val="007611AF"/>
    <w:rsid w:val="00761764"/>
    <w:rsid w:val="007631F9"/>
    <w:rsid w:val="00763AF9"/>
    <w:rsid w:val="00763D7E"/>
    <w:rsid w:val="00764971"/>
    <w:rsid w:val="00764BDF"/>
    <w:rsid w:val="00765F77"/>
    <w:rsid w:val="0076656D"/>
    <w:rsid w:val="007676D9"/>
    <w:rsid w:val="0077082F"/>
    <w:rsid w:val="00771204"/>
    <w:rsid w:val="00771446"/>
    <w:rsid w:val="007722B2"/>
    <w:rsid w:val="007725F3"/>
    <w:rsid w:val="007731C6"/>
    <w:rsid w:val="0077526D"/>
    <w:rsid w:val="007752E1"/>
    <w:rsid w:val="00775916"/>
    <w:rsid w:val="00775969"/>
    <w:rsid w:val="0077608B"/>
    <w:rsid w:val="007762C6"/>
    <w:rsid w:val="00776738"/>
    <w:rsid w:val="00776A60"/>
    <w:rsid w:val="00780786"/>
    <w:rsid w:val="00781084"/>
    <w:rsid w:val="007813A1"/>
    <w:rsid w:val="00782483"/>
    <w:rsid w:val="00783071"/>
    <w:rsid w:val="00783D17"/>
    <w:rsid w:val="007848F3"/>
    <w:rsid w:val="00785B56"/>
    <w:rsid w:val="00785DA0"/>
    <w:rsid w:val="00786E3F"/>
    <w:rsid w:val="00787CF8"/>
    <w:rsid w:val="00790A60"/>
    <w:rsid w:val="00790E5F"/>
    <w:rsid w:val="00791617"/>
    <w:rsid w:val="00791B17"/>
    <w:rsid w:val="00791B2F"/>
    <w:rsid w:val="00791BA7"/>
    <w:rsid w:val="00793B41"/>
    <w:rsid w:val="00794A2B"/>
    <w:rsid w:val="0079512E"/>
    <w:rsid w:val="00795E6B"/>
    <w:rsid w:val="00796871"/>
    <w:rsid w:val="007971C7"/>
    <w:rsid w:val="007A0B8E"/>
    <w:rsid w:val="007A4036"/>
    <w:rsid w:val="007A40C5"/>
    <w:rsid w:val="007A41F3"/>
    <w:rsid w:val="007A4582"/>
    <w:rsid w:val="007A4E3D"/>
    <w:rsid w:val="007A565B"/>
    <w:rsid w:val="007A590F"/>
    <w:rsid w:val="007B0785"/>
    <w:rsid w:val="007B08D3"/>
    <w:rsid w:val="007B2AD8"/>
    <w:rsid w:val="007B313F"/>
    <w:rsid w:val="007B398D"/>
    <w:rsid w:val="007B3F66"/>
    <w:rsid w:val="007B40B0"/>
    <w:rsid w:val="007B47AC"/>
    <w:rsid w:val="007B4EEA"/>
    <w:rsid w:val="007B5580"/>
    <w:rsid w:val="007B6067"/>
    <w:rsid w:val="007B6551"/>
    <w:rsid w:val="007B7265"/>
    <w:rsid w:val="007C0C8E"/>
    <w:rsid w:val="007C1EF1"/>
    <w:rsid w:val="007C24C9"/>
    <w:rsid w:val="007C2579"/>
    <w:rsid w:val="007C30C7"/>
    <w:rsid w:val="007C3942"/>
    <w:rsid w:val="007C3A6B"/>
    <w:rsid w:val="007C3F39"/>
    <w:rsid w:val="007C4230"/>
    <w:rsid w:val="007C47E9"/>
    <w:rsid w:val="007C5C35"/>
    <w:rsid w:val="007C667E"/>
    <w:rsid w:val="007C6F47"/>
    <w:rsid w:val="007C735C"/>
    <w:rsid w:val="007C7897"/>
    <w:rsid w:val="007C7CB3"/>
    <w:rsid w:val="007C7E4E"/>
    <w:rsid w:val="007D0146"/>
    <w:rsid w:val="007D03D4"/>
    <w:rsid w:val="007D0DEA"/>
    <w:rsid w:val="007D1282"/>
    <w:rsid w:val="007D15E0"/>
    <w:rsid w:val="007D1810"/>
    <w:rsid w:val="007D1D34"/>
    <w:rsid w:val="007D3F12"/>
    <w:rsid w:val="007D4D91"/>
    <w:rsid w:val="007D5621"/>
    <w:rsid w:val="007D5F3F"/>
    <w:rsid w:val="007D6204"/>
    <w:rsid w:val="007D6333"/>
    <w:rsid w:val="007D749A"/>
    <w:rsid w:val="007D7D57"/>
    <w:rsid w:val="007E0118"/>
    <w:rsid w:val="007E04FB"/>
    <w:rsid w:val="007E16D2"/>
    <w:rsid w:val="007E1AF2"/>
    <w:rsid w:val="007E1F75"/>
    <w:rsid w:val="007E2387"/>
    <w:rsid w:val="007E2510"/>
    <w:rsid w:val="007E2D25"/>
    <w:rsid w:val="007E346D"/>
    <w:rsid w:val="007E5334"/>
    <w:rsid w:val="007E5986"/>
    <w:rsid w:val="007E6ED0"/>
    <w:rsid w:val="007E7840"/>
    <w:rsid w:val="007F0736"/>
    <w:rsid w:val="007F18DF"/>
    <w:rsid w:val="007F1946"/>
    <w:rsid w:val="007F2840"/>
    <w:rsid w:val="007F2E17"/>
    <w:rsid w:val="007F3987"/>
    <w:rsid w:val="007F4524"/>
    <w:rsid w:val="007F4A8B"/>
    <w:rsid w:val="007F4DD7"/>
    <w:rsid w:val="007F5196"/>
    <w:rsid w:val="007F574A"/>
    <w:rsid w:val="007F5A59"/>
    <w:rsid w:val="007F73B5"/>
    <w:rsid w:val="00801E7F"/>
    <w:rsid w:val="00802600"/>
    <w:rsid w:val="00803DE0"/>
    <w:rsid w:val="00803F5D"/>
    <w:rsid w:val="00805D95"/>
    <w:rsid w:val="00805E0E"/>
    <w:rsid w:val="00805E66"/>
    <w:rsid w:val="00806C69"/>
    <w:rsid w:val="00806E0E"/>
    <w:rsid w:val="0081007F"/>
    <w:rsid w:val="00810198"/>
    <w:rsid w:val="008108E3"/>
    <w:rsid w:val="00810AF8"/>
    <w:rsid w:val="00810E0D"/>
    <w:rsid w:val="0081140A"/>
    <w:rsid w:val="008118A5"/>
    <w:rsid w:val="008120CA"/>
    <w:rsid w:val="00812136"/>
    <w:rsid w:val="0081218F"/>
    <w:rsid w:val="008121C5"/>
    <w:rsid w:val="008123F2"/>
    <w:rsid w:val="0081283B"/>
    <w:rsid w:val="00812F58"/>
    <w:rsid w:val="008133A4"/>
    <w:rsid w:val="008135D6"/>
    <w:rsid w:val="00813D2B"/>
    <w:rsid w:val="00815F43"/>
    <w:rsid w:val="00815F57"/>
    <w:rsid w:val="0081709D"/>
    <w:rsid w:val="008179C9"/>
    <w:rsid w:val="00817FBB"/>
    <w:rsid w:val="008206F0"/>
    <w:rsid w:val="00820B88"/>
    <w:rsid w:val="00822B0F"/>
    <w:rsid w:val="00823437"/>
    <w:rsid w:val="0082538A"/>
    <w:rsid w:val="008255EB"/>
    <w:rsid w:val="00826DEC"/>
    <w:rsid w:val="00827794"/>
    <w:rsid w:val="00831212"/>
    <w:rsid w:val="00831AE8"/>
    <w:rsid w:val="008333EE"/>
    <w:rsid w:val="00833E06"/>
    <w:rsid w:val="00834574"/>
    <w:rsid w:val="00834BA9"/>
    <w:rsid w:val="00834FCD"/>
    <w:rsid w:val="008368BC"/>
    <w:rsid w:val="00837892"/>
    <w:rsid w:val="00840621"/>
    <w:rsid w:val="00840C47"/>
    <w:rsid w:val="00841BC0"/>
    <w:rsid w:val="00842E98"/>
    <w:rsid w:val="008432A4"/>
    <w:rsid w:val="008437B2"/>
    <w:rsid w:val="008454C0"/>
    <w:rsid w:val="00845F83"/>
    <w:rsid w:val="00846080"/>
    <w:rsid w:val="00846EAE"/>
    <w:rsid w:val="008502F2"/>
    <w:rsid w:val="00852B84"/>
    <w:rsid w:val="00852CE3"/>
    <w:rsid w:val="00853B6F"/>
    <w:rsid w:val="008548CB"/>
    <w:rsid w:val="00854D92"/>
    <w:rsid w:val="00855CFE"/>
    <w:rsid w:val="00857DAA"/>
    <w:rsid w:val="00860497"/>
    <w:rsid w:val="00860B0B"/>
    <w:rsid w:val="00860BE7"/>
    <w:rsid w:val="00860CC4"/>
    <w:rsid w:val="00861F30"/>
    <w:rsid w:val="00862075"/>
    <w:rsid w:val="00863F3A"/>
    <w:rsid w:val="008640D4"/>
    <w:rsid w:val="00864D29"/>
    <w:rsid w:val="008650AA"/>
    <w:rsid w:val="00865B05"/>
    <w:rsid w:val="00867B08"/>
    <w:rsid w:val="008708DF"/>
    <w:rsid w:val="00870F9A"/>
    <w:rsid w:val="0087107C"/>
    <w:rsid w:val="0087108B"/>
    <w:rsid w:val="00873524"/>
    <w:rsid w:val="0087357A"/>
    <w:rsid w:val="00873589"/>
    <w:rsid w:val="008736C7"/>
    <w:rsid w:val="00873EF0"/>
    <w:rsid w:val="0087405F"/>
    <w:rsid w:val="008741E5"/>
    <w:rsid w:val="00874636"/>
    <w:rsid w:val="008749F6"/>
    <w:rsid w:val="00874A1F"/>
    <w:rsid w:val="0087513D"/>
    <w:rsid w:val="008752EF"/>
    <w:rsid w:val="00875CDF"/>
    <w:rsid w:val="00877043"/>
    <w:rsid w:val="0087778F"/>
    <w:rsid w:val="00880133"/>
    <w:rsid w:val="008805FC"/>
    <w:rsid w:val="0088105F"/>
    <w:rsid w:val="00881F49"/>
    <w:rsid w:val="00883803"/>
    <w:rsid w:val="00883F27"/>
    <w:rsid w:val="00884FA9"/>
    <w:rsid w:val="00887DC2"/>
    <w:rsid w:val="00890683"/>
    <w:rsid w:val="00890E64"/>
    <w:rsid w:val="008926B7"/>
    <w:rsid w:val="00893270"/>
    <w:rsid w:val="0089357B"/>
    <w:rsid w:val="00893692"/>
    <w:rsid w:val="008936B3"/>
    <w:rsid w:val="00893E6E"/>
    <w:rsid w:val="00895910"/>
    <w:rsid w:val="008967AF"/>
    <w:rsid w:val="00896FB2"/>
    <w:rsid w:val="008979D4"/>
    <w:rsid w:val="008A064D"/>
    <w:rsid w:val="008A06F7"/>
    <w:rsid w:val="008A0EFC"/>
    <w:rsid w:val="008A16E1"/>
    <w:rsid w:val="008A1DBB"/>
    <w:rsid w:val="008A29FF"/>
    <w:rsid w:val="008A2CE4"/>
    <w:rsid w:val="008A3DA9"/>
    <w:rsid w:val="008A3FE0"/>
    <w:rsid w:val="008A45D4"/>
    <w:rsid w:val="008A47AE"/>
    <w:rsid w:val="008A5340"/>
    <w:rsid w:val="008A543B"/>
    <w:rsid w:val="008A5D58"/>
    <w:rsid w:val="008A6C1F"/>
    <w:rsid w:val="008A6F99"/>
    <w:rsid w:val="008A7217"/>
    <w:rsid w:val="008A7475"/>
    <w:rsid w:val="008A747A"/>
    <w:rsid w:val="008A7489"/>
    <w:rsid w:val="008B2112"/>
    <w:rsid w:val="008B6705"/>
    <w:rsid w:val="008B7B0A"/>
    <w:rsid w:val="008C0067"/>
    <w:rsid w:val="008C03C7"/>
    <w:rsid w:val="008C36A6"/>
    <w:rsid w:val="008C3713"/>
    <w:rsid w:val="008C39A2"/>
    <w:rsid w:val="008C3F75"/>
    <w:rsid w:val="008C407E"/>
    <w:rsid w:val="008C4BC2"/>
    <w:rsid w:val="008C5773"/>
    <w:rsid w:val="008C5E74"/>
    <w:rsid w:val="008C66B2"/>
    <w:rsid w:val="008C7203"/>
    <w:rsid w:val="008C7648"/>
    <w:rsid w:val="008D1558"/>
    <w:rsid w:val="008D2B6D"/>
    <w:rsid w:val="008D37C2"/>
    <w:rsid w:val="008D3809"/>
    <w:rsid w:val="008D4B14"/>
    <w:rsid w:val="008D4B87"/>
    <w:rsid w:val="008D4F77"/>
    <w:rsid w:val="008D5B48"/>
    <w:rsid w:val="008D5CB4"/>
    <w:rsid w:val="008D6075"/>
    <w:rsid w:val="008D61DF"/>
    <w:rsid w:val="008D7F99"/>
    <w:rsid w:val="008E032F"/>
    <w:rsid w:val="008E1CE4"/>
    <w:rsid w:val="008E27D4"/>
    <w:rsid w:val="008E341E"/>
    <w:rsid w:val="008E350F"/>
    <w:rsid w:val="008E3F9B"/>
    <w:rsid w:val="008E4001"/>
    <w:rsid w:val="008E45E3"/>
    <w:rsid w:val="008E4A75"/>
    <w:rsid w:val="008E4E30"/>
    <w:rsid w:val="008E585E"/>
    <w:rsid w:val="008E690B"/>
    <w:rsid w:val="008E6C00"/>
    <w:rsid w:val="008E6F5F"/>
    <w:rsid w:val="008E7ED5"/>
    <w:rsid w:val="008F0AA4"/>
    <w:rsid w:val="008F0BE4"/>
    <w:rsid w:val="008F1557"/>
    <w:rsid w:val="008F166F"/>
    <w:rsid w:val="008F1F4F"/>
    <w:rsid w:val="008F210F"/>
    <w:rsid w:val="008F2371"/>
    <w:rsid w:val="008F361F"/>
    <w:rsid w:val="008F399F"/>
    <w:rsid w:val="008F3D4B"/>
    <w:rsid w:val="008F4ACA"/>
    <w:rsid w:val="008F4E5D"/>
    <w:rsid w:val="008F556B"/>
    <w:rsid w:val="008F573A"/>
    <w:rsid w:val="008F580D"/>
    <w:rsid w:val="008F5C05"/>
    <w:rsid w:val="008F5D12"/>
    <w:rsid w:val="008F7AD0"/>
    <w:rsid w:val="009008B8"/>
    <w:rsid w:val="00900BA2"/>
    <w:rsid w:val="009023FC"/>
    <w:rsid w:val="0090345C"/>
    <w:rsid w:val="00905B35"/>
    <w:rsid w:val="009063DA"/>
    <w:rsid w:val="0090666D"/>
    <w:rsid w:val="0090679D"/>
    <w:rsid w:val="00906A9E"/>
    <w:rsid w:val="00906F1A"/>
    <w:rsid w:val="009072FF"/>
    <w:rsid w:val="00910B31"/>
    <w:rsid w:val="009112E9"/>
    <w:rsid w:val="00911CCC"/>
    <w:rsid w:val="00911DFB"/>
    <w:rsid w:val="00913FA4"/>
    <w:rsid w:val="00914426"/>
    <w:rsid w:val="00915BDE"/>
    <w:rsid w:val="00916D24"/>
    <w:rsid w:val="0092030B"/>
    <w:rsid w:val="00920907"/>
    <w:rsid w:val="00920DD8"/>
    <w:rsid w:val="0092248E"/>
    <w:rsid w:val="009232A0"/>
    <w:rsid w:val="00923B55"/>
    <w:rsid w:val="00924884"/>
    <w:rsid w:val="009259EB"/>
    <w:rsid w:val="00925F79"/>
    <w:rsid w:val="00926915"/>
    <w:rsid w:val="0093000A"/>
    <w:rsid w:val="009309CF"/>
    <w:rsid w:val="00932217"/>
    <w:rsid w:val="00932A84"/>
    <w:rsid w:val="0093308D"/>
    <w:rsid w:val="00933DCF"/>
    <w:rsid w:val="00933EB6"/>
    <w:rsid w:val="00934429"/>
    <w:rsid w:val="009349BF"/>
    <w:rsid w:val="00935D82"/>
    <w:rsid w:val="00936144"/>
    <w:rsid w:val="00936436"/>
    <w:rsid w:val="00936A12"/>
    <w:rsid w:val="00937CB8"/>
    <w:rsid w:val="00937F11"/>
    <w:rsid w:val="0094033A"/>
    <w:rsid w:val="009407E6"/>
    <w:rsid w:val="00941592"/>
    <w:rsid w:val="0094373D"/>
    <w:rsid w:val="009440ED"/>
    <w:rsid w:val="009443C6"/>
    <w:rsid w:val="00944A1D"/>
    <w:rsid w:val="00944CA7"/>
    <w:rsid w:val="00944EC8"/>
    <w:rsid w:val="0094710F"/>
    <w:rsid w:val="00950453"/>
    <w:rsid w:val="00950900"/>
    <w:rsid w:val="009515F3"/>
    <w:rsid w:val="00951F8D"/>
    <w:rsid w:val="00952247"/>
    <w:rsid w:val="00953B0D"/>
    <w:rsid w:val="00955413"/>
    <w:rsid w:val="009559CD"/>
    <w:rsid w:val="00955D3D"/>
    <w:rsid w:val="00956161"/>
    <w:rsid w:val="00956247"/>
    <w:rsid w:val="009577BE"/>
    <w:rsid w:val="00957E64"/>
    <w:rsid w:val="009601A8"/>
    <w:rsid w:val="009609BA"/>
    <w:rsid w:val="009610F1"/>
    <w:rsid w:val="00961779"/>
    <w:rsid w:val="00961784"/>
    <w:rsid w:val="00962D29"/>
    <w:rsid w:val="009637BC"/>
    <w:rsid w:val="00963DC7"/>
    <w:rsid w:val="0096623F"/>
    <w:rsid w:val="00970DE4"/>
    <w:rsid w:val="009713EA"/>
    <w:rsid w:val="009716A5"/>
    <w:rsid w:val="00972292"/>
    <w:rsid w:val="00972BA4"/>
    <w:rsid w:val="009733B6"/>
    <w:rsid w:val="00973F02"/>
    <w:rsid w:val="009744CD"/>
    <w:rsid w:val="00974681"/>
    <w:rsid w:val="0097540A"/>
    <w:rsid w:val="009754C3"/>
    <w:rsid w:val="00975971"/>
    <w:rsid w:val="00977598"/>
    <w:rsid w:val="00977E0D"/>
    <w:rsid w:val="0098077E"/>
    <w:rsid w:val="00982234"/>
    <w:rsid w:val="0098245F"/>
    <w:rsid w:val="00982718"/>
    <w:rsid w:val="00983145"/>
    <w:rsid w:val="00984669"/>
    <w:rsid w:val="009851CF"/>
    <w:rsid w:val="00986A32"/>
    <w:rsid w:val="009872D8"/>
    <w:rsid w:val="0098734F"/>
    <w:rsid w:val="00987689"/>
    <w:rsid w:val="00987D07"/>
    <w:rsid w:val="00987F41"/>
    <w:rsid w:val="00991426"/>
    <w:rsid w:val="009914DC"/>
    <w:rsid w:val="00991DED"/>
    <w:rsid w:val="0099230E"/>
    <w:rsid w:val="009940E4"/>
    <w:rsid w:val="00996FAA"/>
    <w:rsid w:val="0099758F"/>
    <w:rsid w:val="009A04B8"/>
    <w:rsid w:val="009A0ACD"/>
    <w:rsid w:val="009A1589"/>
    <w:rsid w:val="009A1EE0"/>
    <w:rsid w:val="009A233F"/>
    <w:rsid w:val="009A2454"/>
    <w:rsid w:val="009A36CA"/>
    <w:rsid w:val="009A3D7D"/>
    <w:rsid w:val="009A3F2A"/>
    <w:rsid w:val="009A42B1"/>
    <w:rsid w:val="009A499D"/>
    <w:rsid w:val="009A4BFA"/>
    <w:rsid w:val="009A4EE6"/>
    <w:rsid w:val="009A5EF7"/>
    <w:rsid w:val="009A640A"/>
    <w:rsid w:val="009A6B8A"/>
    <w:rsid w:val="009A73BD"/>
    <w:rsid w:val="009A766E"/>
    <w:rsid w:val="009A7B5D"/>
    <w:rsid w:val="009B0264"/>
    <w:rsid w:val="009B0BCB"/>
    <w:rsid w:val="009B146C"/>
    <w:rsid w:val="009B1FAA"/>
    <w:rsid w:val="009B231D"/>
    <w:rsid w:val="009B2D15"/>
    <w:rsid w:val="009B36A0"/>
    <w:rsid w:val="009B62D8"/>
    <w:rsid w:val="009B6561"/>
    <w:rsid w:val="009B7955"/>
    <w:rsid w:val="009C0101"/>
    <w:rsid w:val="009C0C0D"/>
    <w:rsid w:val="009C29BF"/>
    <w:rsid w:val="009C4FFE"/>
    <w:rsid w:val="009C56FA"/>
    <w:rsid w:val="009C7325"/>
    <w:rsid w:val="009C7695"/>
    <w:rsid w:val="009C7CB9"/>
    <w:rsid w:val="009D0B80"/>
    <w:rsid w:val="009D1B46"/>
    <w:rsid w:val="009D1D89"/>
    <w:rsid w:val="009D1E4E"/>
    <w:rsid w:val="009D2B0A"/>
    <w:rsid w:val="009D2CE1"/>
    <w:rsid w:val="009D3317"/>
    <w:rsid w:val="009D3D95"/>
    <w:rsid w:val="009D4381"/>
    <w:rsid w:val="009D50B5"/>
    <w:rsid w:val="009D5425"/>
    <w:rsid w:val="009D6FE9"/>
    <w:rsid w:val="009D7037"/>
    <w:rsid w:val="009D7670"/>
    <w:rsid w:val="009E012F"/>
    <w:rsid w:val="009E03D5"/>
    <w:rsid w:val="009E05E6"/>
    <w:rsid w:val="009E07AC"/>
    <w:rsid w:val="009E07FA"/>
    <w:rsid w:val="009E1071"/>
    <w:rsid w:val="009E15EC"/>
    <w:rsid w:val="009E2FC8"/>
    <w:rsid w:val="009E3990"/>
    <w:rsid w:val="009E5851"/>
    <w:rsid w:val="009E6561"/>
    <w:rsid w:val="009E66AD"/>
    <w:rsid w:val="009E797A"/>
    <w:rsid w:val="009E79CC"/>
    <w:rsid w:val="009F07F9"/>
    <w:rsid w:val="009F0A7B"/>
    <w:rsid w:val="009F0DFE"/>
    <w:rsid w:val="009F11BD"/>
    <w:rsid w:val="009F11E3"/>
    <w:rsid w:val="009F18E8"/>
    <w:rsid w:val="009F19F1"/>
    <w:rsid w:val="009F1D62"/>
    <w:rsid w:val="009F33A7"/>
    <w:rsid w:val="009F4D31"/>
    <w:rsid w:val="009F4E97"/>
    <w:rsid w:val="009F5FF8"/>
    <w:rsid w:val="009F6DF4"/>
    <w:rsid w:val="009F6F4B"/>
    <w:rsid w:val="009F7064"/>
    <w:rsid w:val="009F7AEC"/>
    <w:rsid w:val="009F7F97"/>
    <w:rsid w:val="00A023ED"/>
    <w:rsid w:val="00A0255A"/>
    <w:rsid w:val="00A04483"/>
    <w:rsid w:val="00A052A6"/>
    <w:rsid w:val="00A05615"/>
    <w:rsid w:val="00A06735"/>
    <w:rsid w:val="00A0691E"/>
    <w:rsid w:val="00A072F2"/>
    <w:rsid w:val="00A076AC"/>
    <w:rsid w:val="00A10365"/>
    <w:rsid w:val="00A104AA"/>
    <w:rsid w:val="00A13A90"/>
    <w:rsid w:val="00A140E0"/>
    <w:rsid w:val="00A14123"/>
    <w:rsid w:val="00A143D6"/>
    <w:rsid w:val="00A15354"/>
    <w:rsid w:val="00A153F0"/>
    <w:rsid w:val="00A1578F"/>
    <w:rsid w:val="00A15B37"/>
    <w:rsid w:val="00A15B56"/>
    <w:rsid w:val="00A1726A"/>
    <w:rsid w:val="00A20BBD"/>
    <w:rsid w:val="00A2101E"/>
    <w:rsid w:val="00A211B5"/>
    <w:rsid w:val="00A21259"/>
    <w:rsid w:val="00A2147E"/>
    <w:rsid w:val="00A23F70"/>
    <w:rsid w:val="00A24E0B"/>
    <w:rsid w:val="00A25112"/>
    <w:rsid w:val="00A25788"/>
    <w:rsid w:val="00A2602D"/>
    <w:rsid w:val="00A26739"/>
    <w:rsid w:val="00A279F8"/>
    <w:rsid w:val="00A27EB5"/>
    <w:rsid w:val="00A27F04"/>
    <w:rsid w:val="00A30BA7"/>
    <w:rsid w:val="00A30F75"/>
    <w:rsid w:val="00A3133B"/>
    <w:rsid w:val="00A315D2"/>
    <w:rsid w:val="00A320BB"/>
    <w:rsid w:val="00A33AA6"/>
    <w:rsid w:val="00A34816"/>
    <w:rsid w:val="00A34827"/>
    <w:rsid w:val="00A34836"/>
    <w:rsid w:val="00A349E3"/>
    <w:rsid w:val="00A34A85"/>
    <w:rsid w:val="00A3555B"/>
    <w:rsid w:val="00A35A32"/>
    <w:rsid w:val="00A35CE4"/>
    <w:rsid w:val="00A360DC"/>
    <w:rsid w:val="00A3671A"/>
    <w:rsid w:val="00A36780"/>
    <w:rsid w:val="00A367AC"/>
    <w:rsid w:val="00A3680C"/>
    <w:rsid w:val="00A36DF5"/>
    <w:rsid w:val="00A36F2F"/>
    <w:rsid w:val="00A374EB"/>
    <w:rsid w:val="00A3793C"/>
    <w:rsid w:val="00A406DF"/>
    <w:rsid w:val="00A40B59"/>
    <w:rsid w:val="00A418F1"/>
    <w:rsid w:val="00A42543"/>
    <w:rsid w:val="00A431B3"/>
    <w:rsid w:val="00A43926"/>
    <w:rsid w:val="00A440E8"/>
    <w:rsid w:val="00A44D55"/>
    <w:rsid w:val="00A453CE"/>
    <w:rsid w:val="00A45E6F"/>
    <w:rsid w:val="00A47202"/>
    <w:rsid w:val="00A477DE"/>
    <w:rsid w:val="00A4793A"/>
    <w:rsid w:val="00A50134"/>
    <w:rsid w:val="00A5031C"/>
    <w:rsid w:val="00A51B64"/>
    <w:rsid w:val="00A53D27"/>
    <w:rsid w:val="00A53D46"/>
    <w:rsid w:val="00A5579B"/>
    <w:rsid w:val="00A55915"/>
    <w:rsid w:val="00A55BA1"/>
    <w:rsid w:val="00A55C33"/>
    <w:rsid w:val="00A55EB4"/>
    <w:rsid w:val="00A57815"/>
    <w:rsid w:val="00A57B03"/>
    <w:rsid w:val="00A57B50"/>
    <w:rsid w:val="00A57D02"/>
    <w:rsid w:val="00A6081D"/>
    <w:rsid w:val="00A60B14"/>
    <w:rsid w:val="00A61E6A"/>
    <w:rsid w:val="00A634BF"/>
    <w:rsid w:val="00A63EF2"/>
    <w:rsid w:val="00A64526"/>
    <w:rsid w:val="00A65E25"/>
    <w:rsid w:val="00A6678A"/>
    <w:rsid w:val="00A66FD0"/>
    <w:rsid w:val="00A6706B"/>
    <w:rsid w:val="00A67873"/>
    <w:rsid w:val="00A70611"/>
    <w:rsid w:val="00A706C8"/>
    <w:rsid w:val="00A70CA9"/>
    <w:rsid w:val="00A726DE"/>
    <w:rsid w:val="00A72B43"/>
    <w:rsid w:val="00A72B68"/>
    <w:rsid w:val="00A743A6"/>
    <w:rsid w:val="00A74CA5"/>
    <w:rsid w:val="00A752B6"/>
    <w:rsid w:val="00A75EEA"/>
    <w:rsid w:val="00A75F10"/>
    <w:rsid w:val="00A76124"/>
    <w:rsid w:val="00A7722B"/>
    <w:rsid w:val="00A77924"/>
    <w:rsid w:val="00A77FB5"/>
    <w:rsid w:val="00A800C0"/>
    <w:rsid w:val="00A808B8"/>
    <w:rsid w:val="00A80F65"/>
    <w:rsid w:val="00A81711"/>
    <w:rsid w:val="00A81956"/>
    <w:rsid w:val="00A823C2"/>
    <w:rsid w:val="00A83248"/>
    <w:rsid w:val="00A8420C"/>
    <w:rsid w:val="00A8456E"/>
    <w:rsid w:val="00A84776"/>
    <w:rsid w:val="00A856F0"/>
    <w:rsid w:val="00A86812"/>
    <w:rsid w:val="00A871CB"/>
    <w:rsid w:val="00A878A2"/>
    <w:rsid w:val="00A878BD"/>
    <w:rsid w:val="00A87AF2"/>
    <w:rsid w:val="00A9009A"/>
    <w:rsid w:val="00A91A98"/>
    <w:rsid w:val="00A91C55"/>
    <w:rsid w:val="00A92A36"/>
    <w:rsid w:val="00A92C3A"/>
    <w:rsid w:val="00A92D03"/>
    <w:rsid w:val="00A93D70"/>
    <w:rsid w:val="00A957E4"/>
    <w:rsid w:val="00A95ECC"/>
    <w:rsid w:val="00A96447"/>
    <w:rsid w:val="00A9676B"/>
    <w:rsid w:val="00A97227"/>
    <w:rsid w:val="00A974C7"/>
    <w:rsid w:val="00AA0424"/>
    <w:rsid w:val="00AA12CE"/>
    <w:rsid w:val="00AA43D2"/>
    <w:rsid w:val="00AA51AB"/>
    <w:rsid w:val="00AA538B"/>
    <w:rsid w:val="00AA6487"/>
    <w:rsid w:val="00AA6B01"/>
    <w:rsid w:val="00AA6F3A"/>
    <w:rsid w:val="00AB0618"/>
    <w:rsid w:val="00AB17FD"/>
    <w:rsid w:val="00AB28CB"/>
    <w:rsid w:val="00AB2AFF"/>
    <w:rsid w:val="00AB5EA9"/>
    <w:rsid w:val="00AB5FA9"/>
    <w:rsid w:val="00AB6882"/>
    <w:rsid w:val="00AB6E3A"/>
    <w:rsid w:val="00AB7818"/>
    <w:rsid w:val="00AB79FB"/>
    <w:rsid w:val="00AC181B"/>
    <w:rsid w:val="00AC3377"/>
    <w:rsid w:val="00AC39AB"/>
    <w:rsid w:val="00AC3D0E"/>
    <w:rsid w:val="00AC3DD7"/>
    <w:rsid w:val="00AC3EBE"/>
    <w:rsid w:val="00AC40F9"/>
    <w:rsid w:val="00AC41FD"/>
    <w:rsid w:val="00AC4340"/>
    <w:rsid w:val="00AC4FA1"/>
    <w:rsid w:val="00AC56DA"/>
    <w:rsid w:val="00AC5C1F"/>
    <w:rsid w:val="00AC6DB9"/>
    <w:rsid w:val="00AC7086"/>
    <w:rsid w:val="00AC72C9"/>
    <w:rsid w:val="00AC73FC"/>
    <w:rsid w:val="00AC7FD7"/>
    <w:rsid w:val="00AD04B1"/>
    <w:rsid w:val="00AD0954"/>
    <w:rsid w:val="00AD0B62"/>
    <w:rsid w:val="00AD0E89"/>
    <w:rsid w:val="00AD1B62"/>
    <w:rsid w:val="00AD203A"/>
    <w:rsid w:val="00AD218C"/>
    <w:rsid w:val="00AD2A1C"/>
    <w:rsid w:val="00AD33A7"/>
    <w:rsid w:val="00AD3F4B"/>
    <w:rsid w:val="00AD5E49"/>
    <w:rsid w:val="00AD5E87"/>
    <w:rsid w:val="00AD60AB"/>
    <w:rsid w:val="00AD614C"/>
    <w:rsid w:val="00AE1413"/>
    <w:rsid w:val="00AE1683"/>
    <w:rsid w:val="00AE210B"/>
    <w:rsid w:val="00AE217C"/>
    <w:rsid w:val="00AE3BDD"/>
    <w:rsid w:val="00AE3F8F"/>
    <w:rsid w:val="00AE400B"/>
    <w:rsid w:val="00AE43B4"/>
    <w:rsid w:val="00AE44FA"/>
    <w:rsid w:val="00AE48A5"/>
    <w:rsid w:val="00AE58C3"/>
    <w:rsid w:val="00AE5D60"/>
    <w:rsid w:val="00AE688A"/>
    <w:rsid w:val="00AF022C"/>
    <w:rsid w:val="00AF09AB"/>
    <w:rsid w:val="00AF0F70"/>
    <w:rsid w:val="00AF197D"/>
    <w:rsid w:val="00AF1BB0"/>
    <w:rsid w:val="00AF2C97"/>
    <w:rsid w:val="00AF4705"/>
    <w:rsid w:val="00AF475B"/>
    <w:rsid w:val="00AF4E3A"/>
    <w:rsid w:val="00AF6123"/>
    <w:rsid w:val="00AF6876"/>
    <w:rsid w:val="00B00213"/>
    <w:rsid w:val="00B00424"/>
    <w:rsid w:val="00B00613"/>
    <w:rsid w:val="00B00BC9"/>
    <w:rsid w:val="00B016D1"/>
    <w:rsid w:val="00B01F98"/>
    <w:rsid w:val="00B02007"/>
    <w:rsid w:val="00B026F0"/>
    <w:rsid w:val="00B04D85"/>
    <w:rsid w:val="00B054B6"/>
    <w:rsid w:val="00B05544"/>
    <w:rsid w:val="00B105F0"/>
    <w:rsid w:val="00B10707"/>
    <w:rsid w:val="00B10EBE"/>
    <w:rsid w:val="00B120AA"/>
    <w:rsid w:val="00B12893"/>
    <w:rsid w:val="00B137EC"/>
    <w:rsid w:val="00B13840"/>
    <w:rsid w:val="00B13A15"/>
    <w:rsid w:val="00B14608"/>
    <w:rsid w:val="00B14655"/>
    <w:rsid w:val="00B1478E"/>
    <w:rsid w:val="00B14F3B"/>
    <w:rsid w:val="00B1536F"/>
    <w:rsid w:val="00B15783"/>
    <w:rsid w:val="00B162CE"/>
    <w:rsid w:val="00B168B8"/>
    <w:rsid w:val="00B1709D"/>
    <w:rsid w:val="00B17C45"/>
    <w:rsid w:val="00B20546"/>
    <w:rsid w:val="00B2066E"/>
    <w:rsid w:val="00B208D3"/>
    <w:rsid w:val="00B21A0D"/>
    <w:rsid w:val="00B223E0"/>
    <w:rsid w:val="00B226C6"/>
    <w:rsid w:val="00B228B3"/>
    <w:rsid w:val="00B22982"/>
    <w:rsid w:val="00B22B91"/>
    <w:rsid w:val="00B22D31"/>
    <w:rsid w:val="00B22EFD"/>
    <w:rsid w:val="00B23AF6"/>
    <w:rsid w:val="00B23CF6"/>
    <w:rsid w:val="00B245EE"/>
    <w:rsid w:val="00B24989"/>
    <w:rsid w:val="00B25B95"/>
    <w:rsid w:val="00B26829"/>
    <w:rsid w:val="00B26C2B"/>
    <w:rsid w:val="00B26C82"/>
    <w:rsid w:val="00B27168"/>
    <w:rsid w:val="00B27AC9"/>
    <w:rsid w:val="00B27FA6"/>
    <w:rsid w:val="00B301E3"/>
    <w:rsid w:val="00B307E8"/>
    <w:rsid w:val="00B30CAC"/>
    <w:rsid w:val="00B3142B"/>
    <w:rsid w:val="00B31553"/>
    <w:rsid w:val="00B32EBB"/>
    <w:rsid w:val="00B33057"/>
    <w:rsid w:val="00B34267"/>
    <w:rsid w:val="00B35B2A"/>
    <w:rsid w:val="00B37713"/>
    <w:rsid w:val="00B37B83"/>
    <w:rsid w:val="00B37C65"/>
    <w:rsid w:val="00B40337"/>
    <w:rsid w:val="00B40391"/>
    <w:rsid w:val="00B40647"/>
    <w:rsid w:val="00B40EE2"/>
    <w:rsid w:val="00B42570"/>
    <w:rsid w:val="00B426C4"/>
    <w:rsid w:val="00B43C58"/>
    <w:rsid w:val="00B44804"/>
    <w:rsid w:val="00B45C46"/>
    <w:rsid w:val="00B45E1F"/>
    <w:rsid w:val="00B46023"/>
    <w:rsid w:val="00B46256"/>
    <w:rsid w:val="00B4664F"/>
    <w:rsid w:val="00B46BE5"/>
    <w:rsid w:val="00B46CB0"/>
    <w:rsid w:val="00B4764F"/>
    <w:rsid w:val="00B47803"/>
    <w:rsid w:val="00B508A9"/>
    <w:rsid w:val="00B520A4"/>
    <w:rsid w:val="00B52B52"/>
    <w:rsid w:val="00B5303C"/>
    <w:rsid w:val="00B5344F"/>
    <w:rsid w:val="00B534D2"/>
    <w:rsid w:val="00B53B90"/>
    <w:rsid w:val="00B55C96"/>
    <w:rsid w:val="00B56BFE"/>
    <w:rsid w:val="00B56F44"/>
    <w:rsid w:val="00B56FCD"/>
    <w:rsid w:val="00B571B7"/>
    <w:rsid w:val="00B572D6"/>
    <w:rsid w:val="00B60766"/>
    <w:rsid w:val="00B61BC7"/>
    <w:rsid w:val="00B6201F"/>
    <w:rsid w:val="00B62E21"/>
    <w:rsid w:val="00B637FA"/>
    <w:rsid w:val="00B64697"/>
    <w:rsid w:val="00B65E07"/>
    <w:rsid w:val="00B661A4"/>
    <w:rsid w:val="00B66D5B"/>
    <w:rsid w:val="00B6700F"/>
    <w:rsid w:val="00B700E1"/>
    <w:rsid w:val="00B70246"/>
    <w:rsid w:val="00B71048"/>
    <w:rsid w:val="00B73195"/>
    <w:rsid w:val="00B74171"/>
    <w:rsid w:val="00B741E4"/>
    <w:rsid w:val="00B742FA"/>
    <w:rsid w:val="00B7560A"/>
    <w:rsid w:val="00B767EF"/>
    <w:rsid w:val="00B775E9"/>
    <w:rsid w:val="00B8015A"/>
    <w:rsid w:val="00B80247"/>
    <w:rsid w:val="00B809A0"/>
    <w:rsid w:val="00B818C4"/>
    <w:rsid w:val="00B818CC"/>
    <w:rsid w:val="00B82208"/>
    <w:rsid w:val="00B82662"/>
    <w:rsid w:val="00B83377"/>
    <w:rsid w:val="00B847E4"/>
    <w:rsid w:val="00B84809"/>
    <w:rsid w:val="00B85E4F"/>
    <w:rsid w:val="00B86A03"/>
    <w:rsid w:val="00B87829"/>
    <w:rsid w:val="00B87A55"/>
    <w:rsid w:val="00B901D2"/>
    <w:rsid w:val="00B9027B"/>
    <w:rsid w:val="00B91085"/>
    <w:rsid w:val="00B916EF"/>
    <w:rsid w:val="00B91810"/>
    <w:rsid w:val="00B91BE7"/>
    <w:rsid w:val="00B9250B"/>
    <w:rsid w:val="00B926D6"/>
    <w:rsid w:val="00B935B6"/>
    <w:rsid w:val="00B935FB"/>
    <w:rsid w:val="00B94191"/>
    <w:rsid w:val="00B945E0"/>
    <w:rsid w:val="00B9502F"/>
    <w:rsid w:val="00B95A7C"/>
    <w:rsid w:val="00B963EB"/>
    <w:rsid w:val="00B97863"/>
    <w:rsid w:val="00B9790E"/>
    <w:rsid w:val="00BA00E1"/>
    <w:rsid w:val="00BA05B7"/>
    <w:rsid w:val="00BA0822"/>
    <w:rsid w:val="00BA08FF"/>
    <w:rsid w:val="00BA13E8"/>
    <w:rsid w:val="00BA13F0"/>
    <w:rsid w:val="00BA2279"/>
    <w:rsid w:val="00BA2C2E"/>
    <w:rsid w:val="00BA3CA0"/>
    <w:rsid w:val="00BA3E17"/>
    <w:rsid w:val="00BA66F6"/>
    <w:rsid w:val="00BA6A9F"/>
    <w:rsid w:val="00BB1441"/>
    <w:rsid w:val="00BB263C"/>
    <w:rsid w:val="00BB2BE8"/>
    <w:rsid w:val="00BB2E63"/>
    <w:rsid w:val="00BB301B"/>
    <w:rsid w:val="00BB6207"/>
    <w:rsid w:val="00BB6891"/>
    <w:rsid w:val="00BB6B45"/>
    <w:rsid w:val="00BC004F"/>
    <w:rsid w:val="00BC02FF"/>
    <w:rsid w:val="00BC045D"/>
    <w:rsid w:val="00BC0CA4"/>
    <w:rsid w:val="00BC174E"/>
    <w:rsid w:val="00BC2831"/>
    <w:rsid w:val="00BC2E48"/>
    <w:rsid w:val="00BC2F01"/>
    <w:rsid w:val="00BC340D"/>
    <w:rsid w:val="00BC379F"/>
    <w:rsid w:val="00BC37DD"/>
    <w:rsid w:val="00BC418C"/>
    <w:rsid w:val="00BC57B8"/>
    <w:rsid w:val="00BC5869"/>
    <w:rsid w:val="00BC5CFB"/>
    <w:rsid w:val="00BC6207"/>
    <w:rsid w:val="00BC7686"/>
    <w:rsid w:val="00BC79F9"/>
    <w:rsid w:val="00BC7FCA"/>
    <w:rsid w:val="00BD0943"/>
    <w:rsid w:val="00BD0B3B"/>
    <w:rsid w:val="00BD0CA8"/>
    <w:rsid w:val="00BD329D"/>
    <w:rsid w:val="00BD3B8A"/>
    <w:rsid w:val="00BD3D0A"/>
    <w:rsid w:val="00BD50BA"/>
    <w:rsid w:val="00BD6862"/>
    <w:rsid w:val="00BD7E58"/>
    <w:rsid w:val="00BD7E86"/>
    <w:rsid w:val="00BE0628"/>
    <w:rsid w:val="00BE0F44"/>
    <w:rsid w:val="00BE1198"/>
    <w:rsid w:val="00BE1A30"/>
    <w:rsid w:val="00BE1D84"/>
    <w:rsid w:val="00BE24EC"/>
    <w:rsid w:val="00BE28C0"/>
    <w:rsid w:val="00BE2B55"/>
    <w:rsid w:val="00BE2E57"/>
    <w:rsid w:val="00BE342E"/>
    <w:rsid w:val="00BE3F11"/>
    <w:rsid w:val="00BE4496"/>
    <w:rsid w:val="00BE4733"/>
    <w:rsid w:val="00BE5631"/>
    <w:rsid w:val="00BE6EEB"/>
    <w:rsid w:val="00BE7106"/>
    <w:rsid w:val="00BF103A"/>
    <w:rsid w:val="00BF144F"/>
    <w:rsid w:val="00BF1D46"/>
    <w:rsid w:val="00BF32A7"/>
    <w:rsid w:val="00BF45E7"/>
    <w:rsid w:val="00BF5A0A"/>
    <w:rsid w:val="00BF69B3"/>
    <w:rsid w:val="00BF7D0A"/>
    <w:rsid w:val="00C000FD"/>
    <w:rsid w:val="00C00677"/>
    <w:rsid w:val="00C008A5"/>
    <w:rsid w:val="00C00EF9"/>
    <w:rsid w:val="00C012FF"/>
    <w:rsid w:val="00C0135B"/>
    <w:rsid w:val="00C01434"/>
    <w:rsid w:val="00C014AC"/>
    <w:rsid w:val="00C01BA6"/>
    <w:rsid w:val="00C027A8"/>
    <w:rsid w:val="00C030FC"/>
    <w:rsid w:val="00C03780"/>
    <w:rsid w:val="00C047A2"/>
    <w:rsid w:val="00C059EC"/>
    <w:rsid w:val="00C06C54"/>
    <w:rsid w:val="00C06FD5"/>
    <w:rsid w:val="00C10010"/>
    <w:rsid w:val="00C10230"/>
    <w:rsid w:val="00C107D1"/>
    <w:rsid w:val="00C112DB"/>
    <w:rsid w:val="00C117C2"/>
    <w:rsid w:val="00C11AB6"/>
    <w:rsid w:val="00C13823"/>
    <w:rsid w:val="00C15C06"/>
    <w:rsid w:val="00C15F69"/>
    <w:rsid w:val="00C15FA3"/>
    <w:rsid w:val="00C16759"/>
    <w:rsid w:val="00C17F68"/>
    <w:rsid w:val="00C21D4E"/>
    <w:rsid w:val="00C21E08"/>
    <w:rsid w:val="00C22EFF"/>
    <w:rsid w:val="00C22F01"/>
    <w:rsid w:val="00C23CB4"/>
    <w:rsid w:val="00C2424F"/>
    <w:rsid w:val="00C24BBA"/>
    <w:rsid w:val="00C255AD"/>
    <w:rsid w:val="00C26C2D"/>
    <w:rsid w:val="00C271B4"/>
    <w:rsid w:val="00C27C6A"/>
    <w:rsid w:val="00C30742"/>
    <w:rsid w:val="00C3141A"/>
    <w:rsid w:val="00C3189B"/>
    <w:rsid w:val="00C3189F"/>
    <w:rsid w:val="00C32537"/>
    <w:rsid w:val="00C32773"/>
    <w:rsid w:val="00C32D9D"/>
    <w:rsid w:val="00C33082"/>
    <w:rsid w:val="00C33168"/>
    <w:rsid w:val="00C3345D"/>
    <w:rsid w:val="00C3489D"/>
    <w:rsid w:val="00C35206"/>
    <w:rsid w:val="00C35334"/>
    <w:rsid w:val="00C36AD7"/>
    <w:rsid w:val="00C36E7D"/>
    <w:rsid w:val="00C37804"/>
    <w:rsid w:val="00C37DAD"/>
    <w:rsid w:val="00C40023"/>
    <w:rsid w:val="00C410A8"/>
    <w:rsid w:val="00C411B1"/>
    <w:rsid w:val="00C42841"/>
    <w:rsid w:val="00C42F98"/>
    <w:rsid w:val="00C433F1"/>
    <w:rsid w:val="00C436D6"/>
    <w:rsid w:val="00C4495A"/>
    <w:rsid w:val="00C45C09"/>
    <w:rsid w:val="00C46038"/>
    <w:rsid w:val="00C46E45"/>
    <w:rsid w:val="00C47D95"/>
    <w:rsid w:val="00C503A2"/>
    <w:rsid w:val="00C50E34"/>
    <w:rsid w:val="00C51170"/>
    <w:rsid w:val="00C51B5E"/>
    <w:rsid w:val="00C534A2"/>
    <w:rsid w:val="00C55136"/>
    <w:rsid w:val="00C55AC4"/>
    <w:rsid w:val="00C5695B"/>
    <w:rsid w:val="00C56CBA"/>
    <w:rsid w:val="00C57644"/>
    <w:rsid w:val="00C57E59"/>
    <w:rsid w:val="00C601FB"/>
    <w:rsid w:val="00C618E3"/>
    <w:rsid w:val="00C61BC5"/>
    <w:rsid w:val="00C61DA6"/>
    <w:rsid w:val="00C634A1"/>
    <w:rsid w:val="00C653EA"/>
    <w:rsid w:val="00C65655"/>
    <w:rsid w:val="00C657FD"/>
    <w:rsid w:val="00C65BFC"/>
    <w:rsid w:val="00C66DED"/>
    <w:rsid w:val="00C679A6"/>
    <w:rsid w:val="00C67A59"/>
    <w:rsid w:val="00C70500"/>
    <w:rsid w:val="00C717DE"/>
    <w:rsid w:val="00C71CDB"/>
    <w:rsid w:val="00C7218B"/>
    <w:rsid w:val="00C72E81"/>
    <w:rsid w:val="00C72F72"/>
    <w:rsid w:val="00C73B49"/>
    <w:rsid w:val="00C7405C"/>
    <w:rsid w:val="00C74BD5"/>
    <w:rsid w:val="00C750B1"/>
    <w:rsid w:val="00C75B9E"/>
    <w:rsid w:val="00C7680C"/>
    <w:rsid w:val="00C76D67"/>
    <w:rsid w:val="00C76D73"/>
    <w:rsid w:val="00C777F1"/>
    <w:rsid w:val="00C77D59"/>
    <w:rsid w:val="00C811C7"/>
    <w:rsid w:val="00C82207"/>
    <w:rsid w:val="00C82634"/>
    <w:rsid w:val="00C82D6D"/>
    <w:rsid w:val="00C852F6"/>
    <w:rsid w:val="00C86088"/>
    <w:rsid w:val="00C8673E"/>
    <w:rsid w:val="00C86747"/>
    <w:rsid w:val="00C8677E"/>
    <w:rsid w:val="00C8793B"/>
    <w:rsid w:val="00C900CE"/>
    <w:rsid w:val="00C909DA"/>
    <w:rsid w:val="00C924C2"/>
    <w:rsid w:val="00C93456"/>
    <w:rsid w:val="00C95159"/>
    <w:rsid w:val="00C95301"/>
    <w:rsid w:val="00C955CB"/>
    <w:rsid w:val="00C95EF4"/>
    <w:rsid w:val="00C96B3A"/>
    <w:rsid w:val="00C96C88"/>
    <w:rsid w:val="00CA14B1"/>
    <w:rsid w:val="00CA3A53"/>
    <w:rsid w:val="00CA52AD"/>
    <w:rsid w:val="00CA5879"/>
    <w:rsid w:val="00CA6145"/>
    <w:rsid w:val="00CA73FC"/>
    <w:rsid w:val="00CB1506"/>
    <w:rsid w:val="00CB16F5"/>
    <w:rsid w:val="00CB1C8D"/>
    <w:rsid w:val="00CB2217"/>
    <w:rsid w:val="00CB28E1"/>
    <w:rsid w:val="00CB3A23"/>
    <w:rsid w:val="00CB6059"/>
    <w:rsid w:val="00CB6454"/>
    <w:rsid w:val="00CB64E8"/>
    <w:rsid w:val="00CB6843"/>
    <w:rsid w:val="00CB6B52"/>
    <w:rsid w:val="00CB6C0A"/>
    <w:rsid w:val="00CB746C"/>
    <w:rsid w:val="00CC035E"/>
    <w:rsid w:val="00CC0FBB"/>
    <w:rsid w:val="00CC1905"/>
    <w:rsid w:val="00CC3CAF"/>
    <w:rsid w:val="00CC4D14"/>
    <w:rsid w:val="00CC556D"/>
    <w:rsid w:val="00CC5E0E"/>
    <w:rsid w:val="00CC759F"/>
    <w:rsid w:val="00CC77A1"/>
    <w:rsid w:val="00CD213C"/>
    <w:rsid w:val="00CD27C9"/>
    <w:rsid w:val="00CD2972"/>
    <w:rsid w:val="00CD2D71"/>
    <w:rsid w:val="00CD3940"/>
    <w:rsid w:val="00CD6050"/>
    <w:rsid w:val="00CD6487"/>
    <w:rsid w:val="00CD655B"/>
    <w:rsid w:val="00CD7582"/>
    <w:rsid w:val="00CD7A85"/>
    <w:rsid w:val="00CE0B0A"/>
    <w:rsid w:val="00CE0D08"/>
    <w:rsid w:val="00CE1367"/>
    <w:rsid w:val="00CE175B"/>
    <w:rsid w:val="00CE1B3E"/>
    <w:rsid w:val="00CE2478"/>
    <w:rsid w:val="00CE3374"/>
    <w:rsid w:val="00CE437F"/>
    <w:rsid w:val="00CE4E67"/>
    <w:rsid w:val="00CE55F3"/>
    <w:rsid w:val="00CE771D"/>
    <w:rsid w:val="00CE7954"/>
    <w:rsid w:val="00CE7D08"/>
    <w:rsid w:val="00CF0723"/>
    <w:rsid w:val="00CF0B28"/>
    <w:rsid w:val="00CF0B84"/>
    <w:rsid w:val="00CF103A"/>
    <w:rsid w:val="00CF19E7"/>
    <w:rsid w:val="00CF1C8F"/>
    <w:rsid w:val="00CF1E5C"/>
    <w:rsid w:val="00CF27AF"/>
    <w:rsid w:val="00CF2D35"/>
    <w:rsid w:val="00CF2D5F"/>
    <w:rsid w:val="00CF2DC2"/>
    <w:rsid w:val="00CF3A50"/>
    <w:rsid w:val="00CF3A65"/>
    <w:rsid w:val="00CF4A5D"/>
    <w:rsid w:val="00CF4A74"/>
    <w:rsid w:val="00CF51BA"/>
    <w:rsid w:val="00CF63C9"/>
    <w:rsid w:val="00CF7B8D"/>
    <w:rsid w:val="00D01AA7"/>
    <w:rsid w:val="00D01D52"/>
    <w:rsid w:val="00D04723"/>
    <w:rsid w:val="00D047EA"/>
    <w:rsid w:val="00D04A1B"/>
    <w:rsid w:val="00D065D9"/>
    <w:rsid w:val="00D06B7A"/>
    <w:rsid w:val="00D076FA"/>
    <w:rsid w:val="00D07B68"/>
    <w:rsid w:val="00D07E14"/>
    <w:rsid w:val="00D1086E"/>
    <w:rsid w:val="00D11AAB"/>
    <w:rsid w:val="00D11BC9"/>
    <w:rsid w:val="00D1215F"/>
    <w:rsid w:val="00D14DA5"/>
    <w:rsid w:val="00D156F3"/>
    <w:rsid w:val="00D17AEB"/>
    <w:rsid w:val="00D205FC"/>
    <w:rsid w:val="00D21C71"/>
    <w:rsid w:val="00D227E9"/>
    <w:rsid w:val="00D2307B"/>
    <w:rsid w:val="00D231E0"/>
    <w:rsid w:val="00D23E67"/>
    <w:rsid w:val="00D259D3"/>
    <w:rsid w:val="00D25BE6"/>
    <w:rsid w:val="00D261F5"/>
    <w:rsid w:val="00D27635"/>
    <w:rsid w:val="00D2764C"/>
    <w:rsid w:val="00D300AA"/>
    <w:rsid w:val="00D31C39"/>
    <w:rsid w:val="00D3215F"/>
    <w:rsid w:val="00D32E19"/>
    <w:rsid w:val="00D35788"/>
    <w:rsid w:val="00D362C8"/>
    <w:rsid w:val="00D36CF2"/>
    <w:rsid w:val="00D36D76"/>
    <w:rsid w:val="00D36EBC"/>
    <w:rsid w:val="00D375E7"/>
    <w:rsid w:val="00D37DCB"/>
    <w:rsid w:val="00D37E74"/>
    <w:rsid w:val="00D43BBB"/>
    <w:rsid w:val="00D43CF9"/>
    <w:rsid w:val="00D443B5"/>
    <w:rsid w:val="00D4476D"/>
    <w:rsid w:val="00D4519D"/>
    <w:rsid w:val="00D46339"/>
    <w:rsid w:val="00D471B9"/>
    <w:rsid w:val="00D50503"/>
    <w:rsid w:val="00D50D1A"/>
    <w:rsid w:val="00D51BC9"/>
    <w:rsid w:val="00D525DF"/>
    <w:rsid w:val="00D54F52"/>
    <w:rsid w:val="00D56B79"/>
    <w:rsid w:val="00D57289"/>
    <w:rsid w:val="00D5748B"/>
    <w:rsid w:val="00D578B9"/>
    <w:rsid w:val="00D57C8E"/>
    <w:rsid w:val="00D60C05"/>
    <w:rsid w:val="00D60CEB"/>
    <w:rsid w:val="00D62A72"/>
    <w:rsid w:val="00D62FF6"/>
    <w:rsid w:val="00D635EC"/>
    <w:rsid w:val="00D67159"/>
    <w:rsid w:val="00D67270"/>
    <w:rsid w:val="00D71AAA"/>
    <w:rsid w:val="00D72232"/>
    <w:rsid w:val="00D727F6"/>
    <w:rsid w:val="00D72F39"/>
    <w:rsid w:val="00D7371F"/>
    <w:rsid w:val="00D73AFD"/>
    <w:rsid w:val="00D74091"/>
    <w:rsid w:val="00D751A7"/>
    <w:rsid w:val="00D761BC"/>
    <w:rsid w:val="00D76A41"/>
    <w:rsid w:val="00D76DD9"/>
    <w:rsid w:val="00D76ED5"/>
    <w:rsid w:val="00D76ED9"/>
    <w:rsid w:val="00D77BB0"/>
    <w:rsid w:val="00D77C17"/>
    <w:rsid w:val="00D77D85"/>
    <w:rsid w:val="00D77F94"/>
    <w:rsid w:val="00D8063E"/>
    <w:rsid w:val="00D807BF"/>
    <w:rsid w:val="00D80E50"/>
    <w:rsid w:val="00D81D64"/>
    <w:rsid w:val="00D8348F"/>
    <w:rsid w:val="00D83CC0"/>
    <w:rsid w:val="00D83E4B"/>
    <w:rsid w:val="00D8445B"/>
    <w:rsid w:val="00D86146"/>
    <w:rsid w:val="00D862D7"/>
    <w:rsid w:val="00D86366"/>
    <w:rsid w:val="00D8648F"/>
    <w:rsid w:val="00D8664B"/>
    <w:rsid w:val="00D86A62"/>
    <w:rsid w:val="00D86D98"/>
    <w:rsid w:val="00D870BE"/>
    <w:rsid w:val="00D91AA9"/>
    <w:rsid w:val="00D925C4"/>
    <w:rsid w:val="00D92FF3"/>
    <w:rsid w:val="00D93279"/>
    <w:rsid w:val="00D938C6"/>
    <w:rsid w:val="00D93CB9"/>
    <w:rsid w:val="00D94142"/>
    <w:rsid w:val="00D96890"/>
    <w:rsid w:val="00D96979"/>
    <w:rsid w:val="00D96C03"/>
    <w:rsid w:val="00D974AC"/>
    <w:rsid w:val="00DA0C93"/>
    <w:rsid w:val="00DA0CBB"/>
    <w:rsid w:val="00DA1CDB"/>
    <w:rsid w:val="00DA2DDE"/>
    <w:rsid w:val="00DA37FB"/>
    <w:rsid w:val="00DA4A7F"/>
    <w:rsid w:val="00DA4AED"/>
    <w:rsid w:val="00DA5AC3"/>
    <w:rsid w:val="00DA6094"/>
    <w:rsid w:val="00DA7D4C"/>
    <w:rsid w:val="00DB029B"/>
    <w:rsid w:val="00DB15AA"/>
    <w:rsid w:val="00DB200E"/>
    <w:rsid w:val="00DB29BE"/>
    <w:rsid w:val="00DB3BC3"/>
    <w:rsid w:val="00DB5A0E"/>
    <w:rsid w:val="00DB5C90"/>
    <w:rsid w:val="00DB6F32"/>
    <w:rsid w:val="00DC12E6"/>
    <w:rsid w:val="00DC15F1"/>
    <w:rsid w:val="00DC1674"/>
    <w:rsid w:val="00DC2678"/>
    <w:rsid w:val="00DC2772"/>
    <w:rsid w:val="00DC282D"/>
    <w:rsid w:val="00DC2B3C"/>
    <w:rsid w:val="00DC397C"/>
    <w:rsid w:val="00DC3CC0"/>
    <w:rsid w:val="00DC3D12"/>
    <w:rsid w:val="00DC4CA5"/>
    <w:rsid w:val="00DC4D3B"/>
    <w:rsid w:val="00DC593D"/>
    <w:rsid w:val="00DC5BF0"/>
    <w:rsid w:val="00DC7C33"/>
    <w:rsid w:val="00DC7D40"/>
    <w:rsid w:val="00DD0F87"/>
    <w:rsid w:val="00DD1BB0"/>
    <w:rsid w:val="00DD259F"/>
    <w:rsid w:val="00DD2951"/>
    <w:rsid w:val="00DD389D"/>
    <w:rsid w:val="00DD3F5A"/>
    <w:rsid w:val="00DD4503"/>
    <w:rsid w:val="00DD48E8"/>
    <w:rsid w:val="00DD4B23"/>
    <w:rsid w:val="00DD4F20"/>
    <w:rsid w:val="00DD4FC3"/>
    <w:rsid w:val="00DD529D"/>
    <w:rsid w:val="00DD6932"/>
    <w:rsid w:val="00DD719B"/>
    <w:rsid w:val="00DD74A1"/>
    <w:rsid w:val="00DE0F7D"/>
    <w:rsid w:val="00DE23FD"/>
    <w:rsid w:val="00DE26F7"/>
    <w:rsid w:val="00DE284D"/>
    <w:rsid w:val="00DE2A4B"/>
    <w:rsid w:val="00DE38A7"/>
    <w:rsid w:val="00DE3967"/>
    <w:rsid w:val="00DE3C4E"/>
    <w:rsid w:val="00DE3F3D"/>
    <w:rsid w:val="00DE4153"/>
    <w:rsid w:val="00DE4239"/>
    <w:rsid w:val="00DE61AF"/>
    <w:rsid w:val="00DE7217"/>
    <w:rsid w:val="00DE781A"/>
    <w:rsid w:val="00DE788A"/>
    <w:rsid w:val="00DE7CDD"/>
    <w:rsid w:val="00DF04D2"/>
    <w:rsid w:val="00DF0BC3"/>
    <w:rsid w:val="00DF2732"/>
    <w:rsid w:val="00DF3382"/>
    <w:rsid w:val="00DF440D"/>
    <w:rsid w:val="00DF45BD"/>
    <w:rsid w:val="00DF51A6"/>
    <w:rsid w:val="00DF532A"/>
    <w:rsid w:val="00DF6AC5"/>
    <w:rsid w:val="00DF715B"/>
    <w:rsid w:val="00DF7A51"/>
    <w:rsid w:val="00E009BD"/>
    <w:rsid w:val="00E01034"/>
    <w:rsid w:val="00E020F8"/>
    <w:rsid w:val="00E028C2"/>
    <w:rsid w:val="00E0303A"/>
    <w:rsid w:val="00E0303B"/>
    <w:rsid w:val="00E033F0"/>
    <w:rsid w:val="00E03670"/>
    <w:rsid w:val="00E03F63"/>
    <w:rsid w:val="00E04996"/>
    <w:rsid w:val="00E0508B"/>
    <w:rsid w:val="00E05D7E"/>
    <w:rsid w:val="00E07F52"/>
    <w:rsid w:val="00E10478"/>
    <w:rsid w:val="00E10A26"/>
    <w:rsid w:val="00E11AF4"/>
    <w:rsid w:val="00E12005"/>
    <w:rsid w:val="00E13006"/>
    <w:rsid w:val="00E139BF"/>
    <w:rsid w:val="00E143A3"/>
    <w:rsid w:val="00E1462B"/>
    <w:rsid w:val="00E14DEE"/>
    <w:rsid w:val="00E15C6E"/>
    <w:rsid w:val="00E15EB9"/>
    <w:rsid w:val="00E168F6"/>
    <w:rsid w:val="00E17343"/>
    <w:rsid w:val="00E177A9"/>
    <w:rsid w:val="00E202EE"/>
    <w:rsid w:val="00E20AC2"/>
    <w:rsid w:val="00E23382"/>
    <w:rsid w:val="00E234CF"/>
    <w:rsid w:val="00E238FD"/>
    <w:rsid w:val="00E24593"/>
    <w:rsid w:val="00E2490E"/>
    <w:rsid w:val="00E24959"/>
    <w:rsid w:val="00E2522A"/>
    <w:rsid w:val="00E256E5"/>
    <w:rsid w:val="00E25A12"/>
    <w:rsid w:val="00E25E83"/>
    <w:rsid w:val="00E26FC8"/>
    <w:rsid w:val="00E27852"/>
    <w:rsid w:val="00E27E27"/>
    <w:rsid w:val="00E27FAF"/>
    <w:rsid w:val="00E304A4"/>
    <w:rsid w:val="00E31245"/>
    <w:rsid w:val="00E315D4"/>
    <w:rsid w:val="00E3189D"/>
    <w:rsid w:val="00E321A7"/>
    <w:rsid w:val="00E338F1"/>
    <w:rsid w:val="00E36731"/>
    <w:rsid w:val="00E37392"/>
    <w:rsid w:val="00E37A69"/>
    <w:rsid w:val="00E405A3"/>
    <w:rsid w:val="00E41BFC"/>
    <w:rsid w:val="00E43223"/>
    <w:rsid w:val="00E43A85"/>
    <w:rsid w:val="00E442EC"/>
    <w:rsid w:val="00E44534"/>
    <w:rsid w:val="00E44AB3"/>
    <w:rsid w:val="00E45793"/>
    <w:rsid w:val="00E45A3F"/>
    <w:rsid w:val="00E4696E"/>
    <w:rsid w:val="00E509F4"/>
    <w:rsid w:val="00E50AFC"/>
    <w:rsid w:val="00E513E0"/>
    <w:rsid w:val="00E52DE0"/>
    <w:rsid w:val="00E55E5C"/>
    <w:rsid w:val="00E56343"/>
    <w:rsid w:val="00E60152"/>
    <w:rsid w:val="00E60246"/>
    <w:rsid w:val="00E612E0"/>
    <w:rsid w:val="00E61447"/>
    <w:rsid w:val="00E61829"/>
    <w:rsid w:val="00E61A2E"/>
    <w:rsid w:val="00E61DEB"/>
    <w:rsid w:val="00E639F5"/>
    <w:rsid w:val="00E63A6F"/>
    <w:rsid w:val="00E63E1D"/>
    <w:rsid w:val="00E64D80"/>
    <w:rsid w:val="00E65193"/>
    <w:rsid w:val="00E65200"/>
    <w:rsid w:val="00E65581"/>
    <w:rsid w:val="00E65A86"/>
    <w:rsid w:val="00E67DE7"/>
    <w:rsid w:val="00E7068B"/>
    <w:rsid w:val="00E70A4F"/>
    <w:rsid w:val="00E70EB7"/>
    <w:rsid w:val="00E7127B"/>
    <w:rsid w:val="00E7222D"/>
    <w:rsid w:val="00E725B8"/>
    <w:rsid w:val="00E7317E"/>
    <w:rsid w:val="00E73303"/>
    <w:rsid w:val="00E73E7E"/>
    <w:rsid w:val="00E74CCD"/>
    <w:rsid w:val="00E750CD"/>
    <w:rsid w:val="00E7514E"/>
    <w:rsid w:val="00E758B4"/>
    <w:rsid w:val="00E75CC9"/>
    <w:rsid w:val="00E774BE"/>
    <w:rsid w:val="00E80E5C"/>
    <w:rsid w:val="00E80F95"/>
    <w:rsid w:val="00E81F68"/>
    <w:rsid w:val="00E8230C"/>
    <w:rsid w:val="00E8374C"/>
    <w:rsid w:val="00E84E1F"/>
    <w:rsid w:val="00E85FE8"/>
    <w:rsid w:val="00E8626F"/>
    <w:rsid w:val="00E868D9"/>
    <w:rsid w:val="00E87815"/>
    <w:rsid w:val="00E90357"/>
    <w:rsid w:val="00E90372"/>
    <w:rsid w:val="00E913C9"/>
    <w:rsid w:val="00E91A1F"/>
    <w:rsid w:val="00E92322"/>
    <w:rsid w:val="00E92606"/>
    <w:rsid w:val="00E9299F"/>
    <w:rsid w:val="00E93442"/>
    <w:rsid w:val="00E934BC"/>
    <w:rsid w:val="00E94104"/>
    <w:rsid w:val="00E9437E"/>
    <w:rsid w:val="00E95234"/>
    <w:rsid w:val="00E95F6F"/>
    <w:rsid w:val="00E96FD2"/>
    <w:rsid w:val="00E975E6"/>
    <w:rsid w:val="00E977B0"/>
    <w:rsid w:val="00EA0598"/>
    <w:rsid w:val="00EA1408"/>
    <w:rsid w:val="00EA16E0"/>
    <w:rsid w:val="00EA216C"/>
    <w:rsid w:val="00EA2887"/>
    <w:rsid w:val="00EA38D0"/>
    <w:rsid w:val="00EA46B4"/>
    <w:rsid w:val="00EA4947"/>
    <w:rsid w:val="00EA512E"/>
    <w:rsid w:val="00EA564D"/>
    <w:rsid w:val="00EA5FC1"/>
    <w:rsid w:val="00EA6C3D"/>
    <w:rsid w:val="00EA6CA5"/>
    <w:rsid w:val="00EA6CCE"/>
    <w:rsid w:val="00EA7009"/>
    <w:rsid w:val="00EA7117"/>
    <w:rsid w:val="00EB2BAB"/>
    <w:rsid w:val="00EB3225"/>
    <w:rsid w:val="00EB3D87"/>
    <w:rsid w:val="00EB3E64"/>
    <w:rsid w:val="00EB4C53"/>
    <w:rsid w:val="00EB5382"/>
    <w:rsid w:val="00EB548F"/>
    <w:rsid w:val="00EB550F"/>
    <w:rsid w:val="00EB60EF"/>
    <w:rsid w:val="00EC0504"/>
    <w:rsid w:val="00EC0791"/>
    <w:rsid w:val="00EC07A6"/>
    <w:rsid w:val="00EC1069"/>
    <w:rsid w:val="00EC10B9"/>
    <w:rsid w:val="00EC119C"/>
    <w:rsid w:val="00EC164E"/>
    <w:rsid w:val="00EC2AB6"/>
    <w:rsid w:val="00EC3109"/>
    <w:rsid w:val="00EC3431"/>
    <w:rsid w:val="00EC5136"/>
    <w:rsid w:val="00EC53C0"/>
    <w:rsid w:val="00EC54B7"/>
    <w:rsid w:val="00EC5AED"/>
    <w:rsid w:val="00EC6387"/>
    <w:rsid w:val="00EC6DC9"/>
    <w:rsid w:val="00EC6E14"/>
    <w:rsid w:val="00EC6F48"/>
    <w:rsid w:val="00EC7B4D"/>
    <w:rsid w:val="00ED07CF"/>
    <w:rsid w:val="00ED1B45"/>
    <w:rsid w:val="00ED236B"/>
    <w:rsid w:val="00ED2B51"/>
    <w:rsid w:val="00ED3697"/>
    <w:rsid w:val="00ED3ADE"/>
    <w:rsid w:val="00ED3C05"/>
    <w:rsid w:val="00ED3C07"/>
    <w:rsid w:val="00ED4D65"/>
    <w:rsid w:val="00ED73A1"/>
    <w:rsid w:val="00ED7403"/>
    <w:rsid w:val="00ED757A"/>
    <w:rsid w:val="00ED775E"/>
    <w:rsid w:val="00EE001C"/>
    <w:rsid w:val="00EE0349"/>
    <w:rsid w:val="00EE12BF"/>
    <w:rsid w:val="00EE15B6"/>
    <w:rsid w:val="00EE17AE"/>
    <w:rsid w:val="00EE26CB"/>
    <w:rsid w:val="00EE2C0C"/>
    <w:rsid w:val="00EE3912"/>
    <w:rsid w:val="00EE3CEE"/>
    <w:rsid w:val="00EE3E72"/>
    <w:rsid w:val="00EE41EC"/>
    <w:rsid w:val="00EE420C"/>
    <w:rsid w:val="00EE49C2"/>
    <w:rsid w:val="00EE4E72"/>
    <w:rsid w:val="00EE4ED0"/>
    <w:rsid w:val="00EE611B"/>
    <w:rsid w:val="00EE6DEC"/>
    <w:rsid w:val="00EE6E55"/>
    <w:rsid w:val="00EE76AD"/>
    <w:rsid w:val="00EE7D99"/>
    <w:rsid w:val="00EF03ED"/>
    <w:rsid w:val="00EF05C5"/>
    <w:rsid w:val="00EF05FD"/>
    <w:rsid w:val="00EF09D6"/>
    <w:rsid w:val="00EF0B40"/>
    <w:rsid w:val="00EF1054"/>
    <w:rsid w:val="00EF1316"/>
    <w:rsid w:val="00EF27E7"/>
    <w:rsid w:val="00EF35E0"/>
    <w:rsid w:val="00EF43B0"/>
    <w:rsid w:val="00EF43F0"/>
    <w:rsid w:val="00EF45FC"/>
    <w:rsid w:val="00EF6440"/>
    <w:rsid w:val="00EF6A61"/>
    <w:rsid w:val="00EF6D8B"/>
    <w:rsid w:val="00EF6F11"/>
    <w:rsid w:val="00EF7030"/>
    <w:rsid w:val="00EF7587"/>
    <w:rsid w:val="00EF7C3C"/>
    <w:rsid w:val="00F00549"/>
    <w:rsid w:val="00F00BBE"/>
    <w:rsid w:val="00F00BE1"/>
    <w:rsid w:val="00F0175C"/>
    <w:rsid w:val="00F01A83"/>
    <w:rsid w:val="00F02799"/>
    <w:rsid w:val="00F02A6F"/>
    <w:rsid w:val="00F03BD6"/>
    <w:rsid w:val="00F03C9F"/>
    <w:rsid w:val="00F03F79"/>
    <w:rsid w:val="00F040AC"/>
    <w:rsid w:val="00F04180"/>
    <w:rsid w:val="00F0587F"/>
    <w:rsid w:val="00F05C12"/>
    <w:rsid w:val="00F066D9"/>
    <w:rsid w:val="00F06708"/>
    <w:rsid w:val="00F0736A"/>
    <w:rsid w:val="00F0767A"/>
    <w:rsid w:val="00F07972"/>
    <w:rsid w:val="00F07990"/>
    <w:rsid w:val="00F079D3"/>
    <w:rsid w:val="00F103DD"/>
    <w:rsid w:val="00F106B0"/>
    <w:rsid w:val="00F1096C"/>
    <w:rsid w:val="00F117F1"/>
    <w:rsid w:val="00F11E97"/>
    <w:rsid w:val="00F12301"/>
    <w:rsid w:val="00F12880"/>
    <w:rsid w:val="00F12B85"/>
    <w:rsid w:val="00F13623"/>
    <w:rsid w:val="00F142A5"/>
    <w:rsid w:val="00F1550A"/>
    <w:rsid w:val="00F1634A"/>
    <w:rsid w:val="00F172FA"/>
    <w:rsid w:val="00F17D1A"/>
    <w:rsid w:val="00F20AB8"/>
    <w:rsid w:val="00F218A3"/>
    <w:rsid w:val="00F22011"/>
    <w:rsid w:val="00F220EB"/>
    <w:rsid w:val="00F23055"/>
    <w:rsid w:val="00F25E4B"/>
    <w:rsid w:val="00F25E85"/>
    <w:rsid w:val="00F25F1B"/>
    <w:rsid w:val="00F262CC"/>
    <w:rsid w:val="00F30B62"/>
    <w:rsid w:val="00F317E0"/>
    <w:rsid w:val="00F34617"/>
    <w:rsid w:val="00F349FB"/>
    <w:rsid w:val="00F34D29"/>
    <w:rsid w:val="00F35BE1"/>
    <w:rsid w:val="00F366AE"/>
    <w:rsid w:val="00F42083"/>
    <w:rsid w:val="00F42186"/>
    <w:rsid w:val="00F42951"/>
    <w:rsid w:val="00F42CBB"/>
    <w:rsid w:val="00F430E0"/>
    <w:rsid w:val="00F4325D"/>
    <w:rsid w:val="00F4408E"/>
    <w:rsid w:val="00F44A41"/>
    <w:rsid w:val="00F4616A"/>
    <w:rsid w:val="00F46A47"/>
    <w:rsid w:val="00F4714F"/>
    <w:rsid w:val="00F47F2E"/>
    <w:rsid w:val="00F5011A"/>
    <w:rsid w:val="00F5031B"/>
    <w:rsid w:val="00F50C25"/>
    <w:rsid w:val="00F51255"/>
    <w:rsid w:val="00F52533"/>
    <w:rsid w:val="00F5282A"/>
    <w:rsid w:val="00F52A19"/>
    <w:rsid w:val="00F52BA3"/>
    <w:rsid w:val="00F52D04"/>
    <w:rsid w:val="00F52ED5"/>
    <w:rsid w:val="00F54ED9"/>
    <w:rsid w:val="00F55284"/>
    <w:rsid w:val="00F55926"/>
    <w:rsid w:val="00F56833"/>
    <w:rsid w:val="00F56D18"/>
    <w:rsid w:val="00F5750F"/>
    <w:rsid w:val="00F60836"/>
    <w:rsid w:val="00F60B4A"/>
    <w:rsid w:val="00F60D74"/>
    <w:rsid w:val="00F61604"/>
    <w:rsid w:val="00F61B61"/>
    <w:rsid w:val="00F622FA"/>
    <w:rsid w:val="00F643FB"/>
    <w:rsid w:val="00F654B8"/>
    <w:rsid w:val="00F65C24"/>
    <w:rsid w:val="00F66BC7"/>
    <w:rsid w:val="00F67613"/>
    <w:rsid w:val="00F6774F"/>
    <w:rsid w:val="00F70CCC"/>
    <w:rsid w:val="00F71140"/>
    <w:rsid w:val="00F72389"/>
    <w:rsid w:val="00F73191"/>
    <w:rsid w:val="00F7362E"/>
    <w:rsid w:val="00F74A2E"/>
    <w:rsid w:val="00F74FF1"/>
    <w:rsid w:val="00F75495"/>
    <w:rsid w:val="00F7593E"/>
    <w:rsid w:val="00F8042A"/>
    <w:rsid w:val="00F80430"/>
    <w:rsid w:val="00F8046F"/>
    <w:rsid w:val="00F81F11"/>
    <w:rsid w:val="00F82938"/>
    <w:rsid w:val="00F829A6"/>
    <w:rsid w:val="00F82E51"/>
    <w:rsid w:val="00F830A9"/>
    <w:rsid w:val="00F8327C"/>
    <w:rsid w:val="00F83394"/>
    <w:rsid w:val="00F84A7C"/>
    <w:rsid w:val="00F857C8"/>
    <w:rsid w:val="00F86601"/>
    <w:rsid w:val="00F869D5"/>
    <w:rsid w:val="00F8779C"/>
    <w:rsid w:val="00F90A69"/>
    <w:rsid w:val="00F9187E"/>
    <w:rsid w:val="00F91A96"/>
    <w:rsid w:val="00F92CE0"/>
    <w:rsid w:val="00F92EDD"/>
    <w:rsid w:val="00F9343C"/>
    <w:rsid w:val="00F94DFE"/>
    <w:rsid w:val="00F95234"/>
    <w:rsid w:val="00F95530"/>
    <w:rsid w:val="00F95F21"/>
    <w:rsid w:val="00F9641E"/>
    <w:rsid w:val="00F9683E"/>
    <w:rsid w:val="00F97576"/>
    <w:rsid w:val="00F975A4"/>
    <w:rsid w:val="00FA17F9"/>
    <w:rsid w:val="00FA1DD1"/>
    <w:rsid w:val="00FA1DF1"/>
    <w:rsid w:val="00FA1F32"/>
    <w:rsid w:val="00FA202D"/>
    <w:rsid w:val="00FA2451"/>
    <w:rsid w:val="00FA309A"/>
    <w:rsid w:val="00FA3B53"/>
    <w:rsid w:val="00FA3E1E"/>
    <w:rsid w:val="00FA4B5C"/>
    <w:rsid w:val="00FA4CD0"/>
    <w:rsid w:val="00FA4FCF"/>
    <w:rsid w:val="00FA530F"/>
    <w:rsid w:val="00FA5331"/>
    <w:rsid w:val="00FA5359"/>
    <w:rsid w:val="00FA55FF"/>
    <w:rsid w:val="00FA6073"/>
    <w:rsid w:val="00FA6192"/>
    <w:rsid w:val="00FA7416"/>
    <w:rsid w:val="00FB0D2E"/>
    <w:rsid w:val="00FB0DF7"/>
    <w:rsid w:val="00FB1F74"/>
    <w:rsid w:val="00FB2AB7"/>
    <w:rsid w:val="00FB3896"/>
    <w:rsid w:val="00FB5739"/>
    <w:rsid w:val="00FB5983"/>
    <w:rsid w:val="00FB671B"/>
    <w:rsid w:val="00FB730D"/>
    <w:rsid w:val="00FB734D"/>
    <w:rsid w:val="00FC187C"/>
    <w:rsid w:val="00FC1B34"/>
    <w:rsid w:val="00FC1FF2"/>
    <w:rsid w:val="00FC2352"/>
    <w:rsid w:val="00FC2857"/>
    <w:rsid w:val="00FC44C8"/>
    <w:rsid w:val="00FC4B67"/>
    <w:rsid w:val="00FC506F"/>
    <w:rsid w:val="00FC68A2"/>
    <w:rsid w:val="00FC7796"/>
    <w:rsid w:val="00FC7FD7"/>
    <w:rsid w:val="00FD0308"/>
    <w:rsid w:val="00FD10FB"/>
    <w:rsid w:val="00FD13F1"/>
    <w:rsid w:val="00FD1D17"/>
    <w:rsid w:val="00FD2E1C"/>
    <w:rsid w:val="00FD3237"/>
    <w:rsid w:val="00FD367B"/>
    <w:rsid w:val="00FD445D"/>
    <w:rsid w:val="00FD46CC"/>
    <w:rsid w:val="00FD5694"/>
    <w:rsid w:val="00FD5F73"/>
    <w:rsid w:val="00FD70B9"/>
    <w:rsid w:val="00FD77DF"/>
    <w:rsid w:val="00FE0077"/>
    <w:rsid w:val="00FE0870"/>
    <w:rsid w:val="00FE08CE"/>
    <w:rsid w:val="00FE0AAB"/>
    <w:rsid w:val="00FE14F1"/>
    <w:rsid w:val="00FE16B8"/>
    <w:rsid w:val="00FE2038"/>
    <w:rsid w:val="00FE3B3A"/>
    <w:rsid w:val="00FE50E0"/>
    <w:rsid w:val="00FE6746"/>
    <w:rsid w:val="00FE6FF4"/>
    <w:rsid w:val="00FE7AA5"/>
    <w:rsid w:val="00FF017A"/>
    <w:rsid w:val="00FF09F7"/>
    <w:rsid w:val="00FF14EC"/>
    <w:rsid w:val="00FF1AAB"/>
    <w:rsid w:val="00FF460B"/>
    <w:rsid w:val="00FF4A00"/>
    <w:rsid w:val="00FF4D67"/>
    <w:rsid w:val="00FF4F02"/>
    <w:rsid w:val="00FF5A97"/>
    <w:rsid w:val="00FF6C5F"/>
    <w:rsid w:val="00FF6DCB"/>
    <w:rsid w:val="00FF72E2"/>
    <w:rsid w:val="01252596"/>
    <w:rsid w:val="0127005B"/>
    <w:rsid w:val="01853653"/>
    <w:rsid w:val="01875DDB"/>
    <w:rsid w:val="019C1747"/>
    <w:rsid w:val="01A3073B"/>
    <w:rsid w:val="01A42338"/>
    <w:rsid w:val="01D15662"/>
    <w:rsid w:val="01FB7405"/>
    <w:rsid w:val="022E5F86"/>
    <w:rsid w:val="025A30A1"/>
    <w:rsid w:val="02877ADB"/>
    <w:rsid w:val="02C34135"/>
    <w:rsid w:val="02DB02FD"/>
    <w:rsid w:val="02ED7EC0"/>
    <w:rsid w:val="034F8A89"/>
    <w:rsid w:val="03562E11"/>
    <w:rsid w:val="035B1C14"/>
    <w:rsid w:val="040C35C4"/>
    <w:rsid w:val="04185C5A"/>
    <w:rsid w:val="04726F35"/>
    <w:rsid w:val="04772312"/>
    <w:rsid w:val="048D4CCA"/>
    <w:rsid w:val="04A921A2"/>
    <w:rsid w:val="04AC0F3D"/>
    <w:rsid w:val="04B844FD"/>
    <w:rsid w:val="04E62E18"/>
    <w:rsid w:val="050A789A"/>
    <w:rsid w:val="05693656"/>
    <w:rsid w:val="05BE5B43"/>
    <w:rsid w:val="05DD5297"/>
    <w:rsid w:val="05E97064"/>
    <w:rsid w:val="05F95887"/>
    <w:rsid w:val="06434D48"/>
    <w:rsid w:val="06584CF4"/>
    <w:rsid w:val="06797E31"/>
    <w:rsid w:val="068121B9"/>
    <w:rsid w:val="06B45433"/>
    <w:rsid w:val="06F7548B"/>
    <w:rsid w:val="075F7AB0"/>
    <w:rsid w:val="07682834"/>
    <w:rsid w:val="0774527C"/>
    <w:rsid w:val="0776079D"/>
    <w:rsid w:val="07C02047"/>
    <w:rsid w:val="07C338E5"/>
    <w:rsid w:val="07DF4068"/>
    <w:rsid w:val="07E57FE6"/>
    <w:rsid w:val="07F47B89"/>
    <w:rsid w:val="08730DDD"/>
    <w:rsid w:val="0902528C"/>
    <w:rsid w:val="091A2F90"/>
    <w:rsid w:val="097109FA"/>
    <w:rsid w:val="098D4ADB"/>
    <w:rsid w:val="09ACAF99"/>
    <w:rsid w:val="09C75474"/>
    <w:rsid w:val="09FB3C12"/>
    <w:rsid w:val="0A026A65"/>
    <w:rsid w:val="0A397E8E"/>
    <w:rsid w:val="0A778E3D"/>
    <w:rsid w:val="0AA25A34"/>
    <w:rsid w:val="0AB9189F"/>
    <w:rsid w:val="0ACED0CA"/>
    <w:rsid w:val="0B054CAD"/>
    <w:rsid w:val="0B2D1784"/>
    <w:rsid w:val="0B4567BD"/>
    <w:rsid w:val="0BC65752"/>
    <w:rsid w:val="0BCB6624"/>
    <w:rsid w:val="0BCB720C"/>
    <w:rsid w:val="0C3B787D"/>
    <w:rsid w:val="0C432C2F"/>
    <w:rsid w:val="0C7358DA"/>
    <w:rsid w:val="0CC33E36"/>
    <w:rsid w:val="0CCE03D1"/>
    <w:rsid w:val="0D366907"/>
    <w:rsid w:val="0D446EB6"/>
    <w:rsid w:val="0D61347A"/>
    <w:rsid w:val="0D8853B5"/>
    <w:rsid w:val="0DAC1D86"/>
    <w:rsid w:val="0DD56B37"/>
    <w:rsid w:val="0DDE5BBE"/>
    <w:rsid w:val="0DEC750A"/>
    <w:rsid w:val="0DF30C3A"/>
    <w:rsid w:val="0E032C8D"/>
    <w:rsid w:val="0E6354DA"/>
    <w:rsid w:val="0EA61058"/>
    <w:rsid w:val="0EA6555D"/>
    <w:rsid w:val="0EF34AB0"/>
    <w:rsid w:val="0F1862C4"/>
    <w:rsid w:val="0FAC6263"/>
    <w:rsid w:val="0FBC0357"/>
    <w:rsid w:val="0FD93FE2"/>
    <w:rsid w:val="0FED4AAD"/>
    <w:rsid w:val="0FFFFBA3"/>
    <w:rsid w:val="10101691"/>
    <w:rsid w:val="101B7AB2"/>
    <w:rsid w:val="10846DA4"/>
    <w:rsid w:val="109E0A4B"/>
    <w:rsid w:val="10B14C22"/>
    <w:rsid w:val="10DE7762"/>
    <w:rsid w:val="111E7AB5"/>
    <w:rsid w:val="1122342A"/>
    <w:rsid w:val="1144354C"/>
    <w:rsid w:val="11727C89"/>
    <w:rsid w:val="117939A7"/>
    <w:rsid w:val="11995FD2"/>
    <w:rsid w:val="11BA4F3F"/>
    <w:rsid w:val="11BC20E5"/>
    <w:rsid w:val="11DC5BBB"/>
    <w:rsid w:val="11E903EC"/>
    <w:rsid w:val="11EB3D0B"/>
    <w:rsid w:val="11EC6D9F"/>
    <w:rsid w:val="11ED01E2"/>
    <w:rsid w:val="1200105F"/>
    <w:rsid w:val="12092BBC"/>
    <w:rsid w:val="12575356"/>
    <w:rsid w:val="127B38BB"/>
    <w:rsid w:val="12842A49"/>
    <w:rsid w:val="12BE0FEC"/>
    <w:rsid w:val="12DF7137"/>
    <w:rsid w:val="13143247"/>
    <w:rsid w:val="132A2CAA"/>
    <w:rsid w:val="136878BA"/>
    <w:rsid w:val="138122FB"/>
    <w:rsid w:val="138F41B7"/>
    <w:rsid w:val="138F574F"/>
    <w:rsid w:val="139D47F6"/>
    <w:rsid w:val="13BB48C5"/>
    <w:rsid w:val="13BB6627"/>
    <w:rsid w:val="13C7650B"/>
    <w:rsid w:val="13CB5D6C"/>
    <w:rsid w:val="13D23B69"/>
    <w:rsid w:val="13F75067"/>
    <w:rsid w:val="13FA41EA"/>
    <w:rsid w:val="1435044C"/>
    <w:rsid w:val="14900FF3"/>
    <w:rsid w:val="14BFEFEB"/>
    <w:rsid w:val="14C42A04"/>
    <w:rsid w:val="151529DB"/>
    <w:rsid w:val="153A78AA"/>
    <w:rsid w:val="15470307"/>
    <w:rsid w:val="15731373"/>
    <w:rsid w:val="158367AD"/>
    <w:rsid w:val="15913BF2"/>
    <w:rsid w:val="15BE7BD2"/>
    <w:rsid w:val="15E15F88"/>
    <w:rsid w:val="15F746EC"/>
    <w:rsid w:val="15FD0A54"/>
    <w:rsid w:val="1626060D"/>
    <w:rsid w:val="1650232C"/>
    <w:rsid w:val="16632783"/>
    <w:rsid w:val="168242D0"/>
    <w:rsid w:val="16840FCA"/>
    <w:rsid w:val="16892DFD"/>
    <w:rsid w:val="16974971"/>
    <w:rsid w:val="16BD61A1"/>
    <w:rsid w:val="16CA3D12"/>
    <w:rsid w:val="16D03928"/>
    <w:rsid w:val="16DF0259"/>
    <w:rsid w:val="17015611"/>
    <w:rsid w:val="170C63C0"/>
    <w:rsid w:val="171C1D97"/>
    <w:rsid w:val="17280BA1"/>
    <w:rsid w:val="17596CC9"/>
    <w:rsid w:val="1768DFCE"/>
    <w:rsid w:val="177AB474"/>
    <w:rsid w:val="177BE373"/>
    <w:rsid w:val="178C3CF3"/>
    <w:rsid w:val="17A13024"/>
    <w:rsid w:val="17D23CE0"/>
    <w:rsid w:val="17F31746"/>
    <w:rsid w:val="17F75848"/>
    <w:rsid w:val="183913F8"/>
    <w:rsid w:val="188405C4"/>
    <w:rsid w:val="188E5AA8"/>
    <w:rsid w:val="18A975D5"/>
    <w:rsid w:val="18CC632C"/>
    <w:rsid w:val="18FA190A"/>
    <w:rsid w:val="1954106F"/>
    <w:rsid w:val="19615DF7"/>
    <w:rsid w:val="196651CF"/>
    <w:rsid w:val="19A277FE"/>
    <w:rsid w:val="19E10F33"/>
    <w:rsid w:val="19EFCAEC"/>
    <w:rsid w:val="1A1764DA"/>
    <w:rsid w:val="1A513872"/>
    <w:rsid w:val="1A6D18F8"/>
    <w:rsid w:val="1A732E73"/>
    <w:rsid w:val="1AA502B7"/>
    <w:rsid w:val="1AAB7F76"/>
    <w:rsid w:val="1AB30AE7"/>
    <w:rsid w:val="1ADA3CB2"/>
    <w:rsid w:val="1AEB2EA1"/>
    <w:rsid w:val="1AF9A983"/>
    <w:rsid w:val="1B0836DE"/>
    <w:rsid w:val="1B54653B"/>
    <w:rsid w:val="1B570046"/>
    <w:rsid w:val="1B833CD3"/>
    <w:rsid w:val="1B886BE4"/>
    <w:rsid w:val="1B97627A"/>
    <w:rsid w:val="1B9A4493"/>
    <w:rsid w:val="1BA333BA"/>
    <w:rsid w:val="1BB326D4"/>
    <w:rsid w:val="1BB35766"/>
    <w:rsid w:val="1BB73089"/>
    <w:rsid w:val="1BE46E3C"/>
    <w:rsid w:val="1BEC4B29"/>
    <w:rsid w:val="1BFF40FA"/>
    <w:rsid w:val="1C0302FC"/>
    <w:rsid w:val="1C1E3E82"/>
    <w:rsid w:val="1C213F43"/>
    <w:rsid w:val="1C881643"/>
    <w:rsid w:val="1CE046C9"/>
    <w:rsid w:val="1CE935AE"/>
    <w:rsid w:val="1D097B94"/>
    <w:rsid w:val="1D102CD1"/>
    <w:rsid w:val="1D2C001B"/>
    <w:rsid w:val="1D4110DC"/>
    <w:rsid w:val="1D490673"/>
    <w:rsid w:val="1D552DD9"/>
    <w:rsid w:val="1D6C0928"/>
    <w:rsid w:val="1D9A259A"/>
    <w:rsid w:val="1D9FB8BE"/>
    <w:rsid w:val="1DAF05D6"/>
    <w:rsid w:val="1DF4614E"/>
    <w:rsid w:val="1E026A6D"/>
    <w:rsid w:val="1E1B0284"/>
    <w:rsid w:val="1E650DFA"/>
    <w:rsid w:val="1E6B7C58"/>
    <w:rsid w:val="1E763007"/>
    <w:rsid w:val="1EAD69C5"/>
    <w:rsid w:val="1EC21026"/>
    <w:rsid w:val="1F041421"/>
    <w:rsid w:val="1FC63B1B"/>
    <w:rsid w:val="1FDD7221"/>
    <w:rsid w:val="1FDF6135"/>
    <w:rsid w:val="1FDF6E5F"/>
    <w:rsid w:val="1FF57F5C"/>
    <w:rsid w:val="1FFB3093"/>
    <w:rsid w:val="1FFBDFF6"/>
    <w:rsid w:val="1FFEE88E"/>
    <w:rsid w:val="1FFFB6BC"/>
    <w:rsid w:val="20083391"/>
    <w:rsid w:val="201B3E66"/>
    <w:rsid w:val="203767C6"/>
    <w:rsid w:val="20814A1C"/>
    <w:rsid w:val="210C1A01"/>
    <w:rsid w:val="2129610F"/>
    <w:rsid w:val="21494A03"/>
    <w:rsid w:val="21756172"/>
    <w:rsid w:val="21827B08"/>
    <w:rsid w:val="21CD1DFE"/>
    <w:rsid w:val="21DE514B"/>
    <w:rsid w:val="21E67A1C"/>
    <w:rsid w:val="21EF21DE"/>
    <w:rsid w:val="225706F9"/>
    <w:rsid w:val="22791318"/>
    <w:rsid w:val="22924451"/>
    <w:rsid w:val="22D402FC"/>
    <w:rsid w:val="23190A27"/>
    <w:rsid w:val="231D1B70"/>
    <w:rsid w:val="2341520E"/>
    <w:rsid w:val="235C0202"/>
    <w:rsid w:val="236C1C3C"/>
    <w:rsid w:val="237C4C1C"/>
    <w:rsid w:val="23B20EC4"/>
    <w:rsid w:val="23CB6360"/>
    <w:rsid w:val="23FA2EE7"/>
    <w:rsid w:val="241E382B"/>
    <w:rsid w:val="24596400"/>
    <w:rsid w:val="24601D50"/>
    <w:rsid w:val="249473FB"/>
    <w:rsid w:val="24BD42ED"/>
    <w:rsid w:val="254774AC"/>
    <w:rsid w:val="25637566"/>
    <w:rsid w:val="256829D4"/>
    <w:rsid w:val="25753ECD"/>
    <w:rsid w:val="259B7A1F"/>
    <w:rsid w:val="25A441DF"/>
    <w:rsid w:val="25A44AA0"/>
    <w:rsid w:val="25C92B9A"/>
    <w:rsid w:val="261F068E"/>
    <w:rsid w:val="26393E58"/>
    <w:rsid w:val="263A327F"/>
    <w:rsid w:val="265E3DEC"/>
    <w:rsid w:val="267F6A8F"/>
    <w:rsid w:val="268867E9"/>
    <w:rsid w:val="26C052E8"/>
    <w:rsid w:val="26CC2AAD"/>
    <w:rsid w:val="27827A2C"/>
    <w:rsid w:val="27AC2CB0"/>
    <w:rsid w:val="27AE6476"/>
    <w:rsid w:val="280E20A4"/>
    <w:rsid w:val="287064F9"/>
    <w:rsid w:val="28772AFB"/>
    <w:rsid w:val="28AD43F2"/>
    <w:rsid w:val="28B3B712"/>
    <w:rsid w:val="28BD5F53"/>
    <w:rsid w:val="28CF13A2"/>
    <w:rsid w:val="28EE5003"/>
    <w:rsid w:val="294E705B"/>
    <w:rsid w:val="29557CEF"/>
    <w:rsid w:val="295D104C"/>
    <w:rsid w:val="299D4C62"/>
    <w:rsid w:val="2A1F430E"/>
    <w:rsid w:val="2A365B3B"/>
    <w:rsid w:val="2A9E0DE4"/>
    <w:rsid w:val="2AA360E1"/>
    <w:rsid w:val="2AA3C098"/>
    <w:rsid w:val="2AAE4234"/>
    <w:rsid w:val="2B1F15E7"/>
    <w:rsid w:val="2B285689"/>
    <w:rsid w:val="2B367DA6"/>
    <w:rsid w:val="2B42627C"/>
    <w:rsid w:val="2BAA762B"/>
    <w:rsid w:val="2BB05E97"/>
    <w:rsid w:val="2C513168"/>
    <w:rsid w:val="2C7726B2"/>
    <w:rsid w:val="2C9F3AAC"/>
    <w:rsid w:val="2CC73FC4"/>
    <w:rsid w:val="2CD61049"/>
    <w:rsid w:val="2CF402D6"/>
    <w:rsid w:val="2CFE2B46"/>
    <w:rsid w:val="2CFF0D37"/>
    <w:rsid w:val="2D0126B9"/>
    <w:rsid w:val="2D470BCC"/>
    <w:rsid w:val="2D6D7CCB"/>
    <w:rsid w:val="2D6FAAA5"/>
    <w:rsid w:val="2D79A66E"/>
    <w:rsid w:val="2D8B719C"/>
    <w:rsid w:val="2D967500"/>
    <w:rsid w:val="2DD582DC"/>
    <w:rsid w:val="2DD97E9D"/>
    <w:rsid w:val="2DDB69E3"/>
    <w:rsid w:val="2DFFBE4F"/>
    <w:rsid w:val="2E052A10"/>
    <w:rsid w:val="2E093237"/>
    <w:rsid w:val="2E187333"/>
    <w:rsid w:val="2E4E7EAF"/>
    <w:rsid w:val="2E784366"/>
    <w:rsid w:val="2EB858F6"/>
    <w:rsid w:val="2EE5452B"/>
    <w:rsid w:val="2EEC0315"/>
    <w:rsid w:val="2EED715E"/>
    <w:rsid w:val="2F0938EB"/>
    <w:rsid w:val="2F1D7D74"/>
    <w:rsid w:val="2F39F598"/>
    <w:rsid w:val="2F3E36CD"/>
    <w:rsid w:val="2F586AF2"/>
    <w:rsid w:val="2F5C3B54"/>
    <w:rsid w:val="2F7F5040"/>
    <w:rsid w:val="2F85425A"/>
    <w:rsid w:val="2FA774C5"/>
    <w:rsid w:val="2FB54C0D"/>
    <w:rsid w:val="2FB76C77"/>
    <w:rsid w:val="2FBEBBC3"/>
    <w:rsid w:val="2FBFB995"/>
    <w:rsid w:val="2FC6579C"/>
    <w:rsid w:val="2FEE3940"/>
    <w:rsid w:val="2FFD6DBD"/>
    <w:rsid w:val="2FFDDB18"/>
    <w:rsid w:val="30017878"/>
    <w:rsid w:val="3005580F"/>
    <w:rsid w:val="304548FE"/>
    <w:rsid w:val="30516C15"/>
    <w:rsid w:val="305546BC"/>
    <w:rsid w:val="30566D3E"/>
    <w:rsid w:val="305F601E"/>
    <w:rsid w:val="30707007"/>
    <w:rsid w:val="30E27A8B"/>
    <w:rsid w:val="311977F4"/>
    <w:rsid w:val="31883779"/>
    <w:rsid w:val="318D4498"/>
    <w:rsid w:val="31F00916"/>
    <w:rsid w:val="32014818"/>
    <w:rsid w:val="3211341A"/>
    <w:rsid w:val="321355A2"/>
    <w:rsid w:val="321421C8"/>
    <w:rsid w:val="322307BF"/>
    <w:rsid w:val="323A6B43"/>
    <w:rsid w:val="325D5B08"/>
    <w:rsid w:val="327E5781"/>
    <w:rsid w:val="32BC532F"/>
    <w:rsid w:val="32F07F7D"/>
    <w:rsid w:val="33017E02"/>
    <w:rsid w:val="331A0A10"/>
    <w:rsid w:val="331A2928"/>
    <w:rsid w:val="334676A8"/>
    <w:rsid w:val="336A0262"/>
    <w:rsid w:val="33E555DD"/>
    <w:rsid w:val="33FF9859"/>
    <w:rsid w:val="341A61F4"/>
    <w:rsid w:val="343D2BD3"/>
    <w:rsid w:val="34C259F3"/>
    <w:rsid w:val="34DE5679"/>
    <w:rsid w:val="34E726F7"/>
    <w:rsid w:val="34FA4206"/>
    <w:rsid w:val="35077AD7"/>
    <w:rsid w:val="356C0B3B"/>
    <w:rsid w:val="35753BC1"/>
    <w:rsid w:val="35BE2E72"/>
    <w:rsid w:val="35E30B2B"/>
    <w:rsid w:val="361D38FD"/>
    <w:rsid w:val="362C3C78"/>
    <w:rsid w:val="36315D3A"/>
    <w:rsid w:val="36381EFF"/>
    <w:rsid w:val="365CA251"/>
    <w:rsid w:val="366E74D3"/>
    <w:rsid w:val="36C7657B"/>
    <w:rsid w:val="36CC15BF"/>
    <w:rsid w:val="36F93C80"/>
    <w:rsid w:val="36FEDD01"/>
    <w:rsid w:val="37114C9C"/>
    <w:rsid w:val="371D62BE"/>
    <w:rsid w:val="376835F9"/>
    <w:rsid w:val="377D9C44"/>
    <w:rsid w:val="377F8B0E"/>
    <w:rsid w:val="377FDAE6"/>
    <w:rsid w:val="379231C8"/>
    <w:rsid w:val="3795CA70"/>
    <w:rsid w:val="379D444E"/>
    <w:rsid w:val="37BDF962"/>
    <w:rsid w:val="37BF9C25"/>
    <w:rsid w:val="37CC7CAB"/>
    <w:rsid w:val="37D40026"/>
    <w:rsid w:val="37FB8E92"/>
    <w:rsid w:val="38082ACA"/>
    <w:rsid w:val="385D6FF1"/>
    <w:rsid w:val="38A869B7"/>
    <w:rsid w:val="38AC7B91"/>
    <w:rsid w:val="38FDFD96"/>
    <w:rsid w:val="39464ED3"/>
    <w:rsid w:val="397E21DC"/>
    <w:rsid w:val="39857FA0"/>
    <w:rsid w:val="39B36522"/>
    <w:rsid w:val="39B60304"/>
    <w:rsid w:val="39EE5DE7"/>
    <w:rsid w:val="3AB86FEC"/>
    <w:rsid w:val="3ADFEF8E"/>
    <w:rsid w:val="3AE004B5"/>
    <w:rsid w:val="3AFD528E"/>
    <w:rsid w:val="3B396AF5"/>
    <w:rsid w:val="3B3A6205"/>
    <w:rsid w:val="3B3D27C7"/>
    <w:rsid w:val="3B3F453C"/>
    <w:rsid w:val="3B524141"/>
    <w:rsid w:val="3B524FBF"/>
    <w:rsid w:val="3B5E4783"/>
    <w:rsid w:val="3B5FAC48"/>
    <w:rsid w:val="3B7C7865"/>
    <w:rsid w:val="3B7D37B9"/>
    <w:rsid w:val="3B7D78DC"/>
    <w:rsid w:val="3B7EEC56"/>
    <w:rsid w:val="3B7F7A27"/>
    <w:rsid w:val="3B950068"/>
    <w:rsid w:val="3B9A2326"/>
    <w:rsid w:val="3BBCE281"/>
    <w:rsid w:val="3BCF4245"/>
    <w:rsid w:val="3BD17677"/>
    <w:rsid w:val="3BDE11CB"/>
    <w:rsid w:val="3BEDE8EF"/>
    <w:rsid w:val="3BF9BEA4"/>
    <w:rsid w:val="3BFBED8D"/>
    <w:rsid w:val="3BFF6BE4"/>
    <w:rsid w:val="3C025A83"/>
    <w:rsid w:val="3C0F7EFE"/>
    <w:rsid w:val="3C395948"/>
    <w:rsid w:val="3C3CBC23"/>
    <w:rsid w:val="3C4F6101"/>
    <w:rsid w:val="3CD20476"/>
    <w:rsid w:val="3D375BF2"/>
    <w:rsid w:val="3D5F2584"/>
    <w:rsid w:val="3D6573A8"/>
    <w:rsid w:val="3D7FD273"/>
    <w:rsid w:val="3D8373B3"/>
    <w:rsid w:val="3DB716FE"/>
    <w:rsid w:val="3DBB27A3"/>
    <w:rsid w:val="3DBF22F5"/>
    <w:rsid w:val="3DC4085D"/>
    <w:rsid w:val="3DDF06D2"/>
    <w:rsid w:val="3DDF6ADF"/>
    <w:rsid w:val="3DE218CD"/>
    <w:rsid w:val="3DE535AD"/>
    <w:rsid w:val="3DEB4A20"/>
    <w:rsid w:val="3DF46F01"/>
    <w:rsid w:val="3DF7295B"/>
    <w:rsid w:val="3DFA5986"/>
    <w:rsid w:val="3DFF1E24"/>
    <w:rsid w:val="3DFF241E"/>
    <w:rsid w:val="3E173A67"/>
    <w:rsid w:val="3E9D4A8A"/>
    <w:rsid w:val="3EB70541"/>
    <w:rsid w:val="3EBF6EDF"/>
    <w:rsid w:val="3EBFC3F7"/>
    <w:rsid w:val="3EC958C6"/>
    <w:rsid w:val="3EDF51B0"/>
    <w:rsid w:val="3EECE3AA"/>
    <w:rsid w:val="3EEF13C3"/>
    <w:rsid w:val="3EFBE249"/>
    <w:rsid w:val="3EFE713F"/>
    <w:rsid w:val="3F5144DE"/>
    <w:rsid w:val="3F5B62E9"/>
    <w:rsid w:val="3F5E7B73"/>
    <w:rsid w:val="3F6BEAA1"/>
    <w:rsid w:val="3F7396D6"/>
    <w:rsid w:val="3F7B0026"/>
    <w:rsid w:val="3F7FB7AB"/>
    <w:rsid w:val="3FAC2870"/>
    <w:rsid w:val="3FB62D48"/>
    <w:rsid w:val="3FBA3BA3"/>
    <w:rsid w:val="3FBE362D"/>
    <w:rsid w:val="3FBE5D23"/>
    <w:rsid w:val="3FCA1B56"/>
    <w:rsid w:val="3FCEFA1D"/>
    <w:rsid w:val="3FD45463"/>
    <w:rsid w:val="3FD6AE0E"/>
    <w:rsid w:val="3FDAEB8B"/>
    <w:rsid w:val="3FDD474A"/>
    <w:rsid w:val="3FEEB4EC"/>
    <w:rsid w:val="3FF441BA"/>
    <w:rsid w:val="3FF73C44"/>
    <w:rsid w:val="3FF99BAE"/>
    <w:rsid w:val="3FFB51E8"/>
    <w:rsid w:val="3FFEAE14"/>
    <w:rsid w:val="3FFF2B7C"/>
    <w:rsid w:val="3FFF3B86"/>
    <w:rsid w:val="3FFF3E76"/>
    <w:rsid w:val="400B187F"/>
    <w:rsid w:val="401A36B7"/>
    <w:rsid w:val="40302BBE"/>
    <w:rsid w:val="40422814"/>
    <w:rsid w:val="40546A8A"/>
    <w:rsid w:val="40845C79"/>
    <w:rsid w:val="40F710B2"/>
    <w:rsid w:val="41061713"/>
    <w:rsid w:val="41480657"/>
    <w:rsid w:val="41DE4D35"/>
    <w:rsid w:val="42A94EAA"/>
    <w:rsid w:val="42D533CC"/>
    <w:rsid w:val="42EE2006"/>
    <w:rsid w:val="42F21E76"/>
    <w:rsid w:val="430F4E6C"/>
    <w:rsid w:val="433D29BE"/>
    <w:rsid w:val="434857AB"/>
    <w:rsid w:val="434A6829"/>
    <w:rsid w:val="438D0328"/>
    <w:rsid w:val="43AD0B8A"/>
    <w:rsid w:val="43BA05BC"/>
    <w:rsid w:val="43E94AC7"/>
    <w:rsid w:val="441A7E0D"/>
    <w:rsid w:val="443C2D43"/>
    <w:rsid w:val="4456696C"/>
    <w:rsid w:val="445B44D7"/>
    <w:rsid w:val="44BE5227"/>
    <w:rsid w:val="44C8579D"/>
    <w:rsid w:val="44CA629E"/>
    <w:rsid w:val="44DB6D96"/>
    <w:rsid w:val="45146BA5"/>
    <w:rsid w:val="453227BC"/>
    <w:rsid w:val="454F77FB"/>
    <w:rsid w:val="455D266D"/>
    <w:rsid w:val="45682593"/>
    <w:rsid w:val="45AE54FD"/>
    <w:rsid w:val="45B5AF8D"/>
    <w:rsid w:val="45F80D1D"/>
    <w:rsid w:val="45FD60D6"/>
    <w:rsid w:val="46897329"/>
    <w:rsid w:val="46992FB4"/>
    <w:rsid w:val="46B67B95"/>
    <w:rsid w:val="46D95975"/>
    <w:rsid w:val="46F06BF5"/>
    <w:rsid w:val="471D35A9"/>
    <w:rsid w:val="47412E4C"/>
    <w:rsid w:val="477C2B8D"/>
    <w:rsid w:val="478107DF"/>
    <w:rsid w:val="47A33F4F"/>
    <w:rsid w:val="47AFAF4E"/>
    <w:rsid w:val="47BE5209"/>
    <w:rsid w:val="47DD3FBA"/>
    <w:rsid w:val="47FF8759"/>
    <w:rsid w:val="480673AC"/>
    <w:rsid w:val="48085325"/>
    <w:rsid w:val="480D7AAF"/>
    <w:rsid w:val="48210C25"/>
    <w:rsid w:val="48856531"/>
    <w:rsid w:val="48AA4D91"/>
    <w:rsid w:val="48D76B51"/>
    <w:rsid w:val="48EB4404"/>
    <w:rsid w:val="48F65F2A"/>
    <w:rsid w:val="491970F3"/>
    <w:rsid w:val="49695C11"/>
    <w:rsid w:val="499D6BD7"/>
    <w:rsid w:val="49A52845"/>
    <w:rsid w:val="4A6A7334"/>
    <w:rsid w:val="4A9D23DE"/>
    <w:rsid w:val="4AAA1B3A"/>
    <w:rsid w:val="4ABB33B1"/>
    <w:rsid w:val="4AD54A8E"/>
    <w:rsid w:val="4AF4B24C"/>
    <w:rsid w:val="4AFC4424"/>
    <w:rsid w:val="4B0E4466"/>
    <w:rsid w:val="4B267446"/>
    <w:rsid w:val="4B2A05FC"/>
    <w:rsid w:val="4B394B74"/>
    <w:rsid w:val="4B4010AE"/>
    <w:rsid w:val="4B564639"/>
    <w:rsid w:val="4B8E10E1"/>
    <w:rsid w:val="4BA17066"/>
    <w:rsid w:val="4BF3657C"/>
    <w:rsid w:val="4BFD1F54"/>
    <w:rsid w:val="4BFF7B64"/>
    <w:rsid w:val="4C0D0258"/>
    <w:rsid w:val="4C2A69C2"/>
    <w:rsid w:val="4C5155F5"/>
    <w:rsid w:val="4C6E6583"/>
    <w:rsid w:val="4CD227EC"/>
    <w:rsid w:val="4CE27936"/>
    <w:rsid w:val="4CEFE181"/>
    <w:rsid w:val="4CF32FA5"/>
    <w:rsid w:val="4D4F3090"/>
    <w:rsid w:val="4D7698E1"/>
    <w:rsid w:val="4D98637D"/>
    <w:rsid w:val="4D9E2924"/>
    <w:rsid w:val="4D9FA403"/>
    <w:rsid w:val="4DF61C53"/>
    <w:rsid w:val="4DFE7CD1"/>
    <w:rsid w:val="4E0A1EFF"/>
    <w:rsid w:val="4E67E532"/>
    <w:rsid w:val="4E6EA47F"/>
    <w:rsid w:val="4E7002C0"/>
    <w:rsid w:val="4E775E5C"/>
    <w:rsid w:val="4EAB13FC"/>
    <w:rsid w:val="4ED4757C"/>
    <w:rsid w:val="4EE92892"/>
    <w:rsid w:val="4EF134ED"/>
    <w:rsid w:val="4EFFB3AC"/>
    <w:rsid w:val="4F205BE9"/>
    <w:rsid w:val="4F482228"/>
    <w:rsid w:val="4F610152"/>
    <w:rsid w:val="4F77D366"/>
    <w:rsid w:val="4F7D57F9"/>
    <w:rsid w:val="4F815FEA"/>
    <w:rsid w:val="4FAA08E9"/>
    <w:rsid w:val="4FED047D"/>
    <w:rsid w:val="4FEE1EF8"/>
    <w:rsid w:val="4FF63F50"/>
    <w:rsid w:val="4FF66038"/>
    <w:rsid w:val="4FF726A7"/>
    <w:rsid w:val="500C278F"/>
    <w:rsid w:val="50672EE3"/>
    <w:rsid w:val="50B00528"/>
    <w:rsid w:val="50C652F5"/>
    <w:rsid w:val="512422D2"/>
    <w:rsid w:val="512E7235"/>
    <w:rsid w:val="513B2E22"/>
    <w:rsid w:val="517E4740"/>
    <w:rsid w:val="51927BEB"/>
    <w:rsid w:val="51931BE7"/>
    <w:rsid w:val="51983B3E"/>
    <w:rsid w:val="51FED7AB"/>
    <w:rsid w:val="52083E65"/>
    <w:rsid w:val="52161C23"/>
    <w:rsid w:val="521A1E4F"/>
    <w:rsid w:val="524D69D3"/>
    <w:rsid w:val="52F71670"/>
    <w:rsid w:val="52FA0D65"/>
    <w:rsid w:val="53073492"/>
    <w:rsid w:val="53130947"/>
    <w:rsid w:val="53176930"/>
    <w:rsid w:val="532272D6"/>
    <w:rsid w:val="532C0A2A"/>
    <w:rsid w:val="538B5963"/>
    <w:rsid w:val="538E3B96"/>
    <w:rsid w:val="53BE0740"/>
    <w:rsid w:val="53EB7956"/>
    <w:rsid w:val="540E44E5"/>
    <w:rsid w:val="54340223"/>
    <w:rsid w:val="546F7BE8"/>
    <w:rsid w:val="54B075F9"/>
    <w:rsid w:val="54D2CEE5"/>
    <w:rsid w:val="54ED7680"/>
    <w:rsid w:val="54F27C2E"/>
    <w:rsid w:val="54F52FFA"/>
    <w:rsid w:val="55023BBD"/>
    <w:rsid w:val="5523184A"/>
    <w:rsid w:val="5537DBB1"/>
    <w:rsid w:val="5572737D"/>
    <w:rsid w:val="5577D4E8"/>
    <w:rsid w:val="558C253D"/>
    <w:rsid w:val="55B460B6"/>
    <w:rsid w:val="55DE0531"/>
    <w:rsid w:val="55EB5754"/>
    <w:rsid w:val="55EC2E7A"/>
    <w:rsid w:val="55F3E386"/>
    <w:rsid w:val="55FD54ED"/>
    <w:rsid w:val="55FE3C7B"/>
    <w:rsid w:val="56226E25"/>
    <w:rsid w:val="565328D9"/>
    <w:rsid w:val="566059BE"/>
    <w:rsid w:val="567F64F2"/>
    <w:rsid w:val="56D21AB9"/>
    <w:rsid w:val="56FDBC53"/>
    <w:rsid w:val="56FE711B"/>
    <w:rsid w:val="56FF65EB"/>
    <w:rsid w:val="56FFCA1E"/>
    <w:rsid w:val="57396B47"/>
    <w:rsid w:val="573F1B4A"/>
    <w:rsid w:val="57407733"/>
    <w:rsid w:val="576C2731"/>
    <w:rsid w:val="57842563"/>
    <w:rsid w:val="57B147E9"/>
    <w:rsid w:val="57BA7017"/>
    <w:rsid w:val="57EA7A84"/>
    <w:rsid w:val="57F490DD"/>
    <w:rsid w:val="57FB0949"/>
    <w:rsid w:val="57FBC4B0"/>
    <w:rsid w:val="5838665C"/>
    <w:rsid w:val="583E6166"/>
    <w:rsid w:val="5849451B"/>
    <w:rsid w:val="585B3B38"/>
    <w:rsid w:val="5867622F"/>
    <w:rsid w:val="58722BDF"/>
    <w:rsid w:val="58C06A9A"/>
    <w:rsid w:val="58D75F64"/>
    <w:rsid w:val="591A3A1F"/>
    <w:rsid w:val="591B7FFB"/>
    <w:rsid w:val="592A1BED"/>
    <w:rsid w:val="596D0588"/>
    <w:rsid w:val="59A940EA"/>
    <w:rsid w:val="59EA7E2A"/>
    <w:rsid w:val="59F760A3"/>
    <w:rsid w:val="5A495822"/>
    <w:rsid w:val="5A6910BD"/>
    <w:rsid w:val="5AAE539F"/>
    <w:rsid w:val="5ACA692A"/>
    <w:rsid w:val="5AE32FF8"/>
    <w:rsid w:val="5AF56690"/>
    <w:rsid w:val="5B101B12"/>
    <w:rsid w:val="5B204CD4"/>
    <w:rsid w:val="5B297DD4"/>
    <w:rsid w:val="5B2B4256"/>
    <w:rsid w:val="5B4D17D9"/>
    <w:rsid w:val="5B9D67A9"/>
    <w:rsid w:val="5BBA3107"/>
    <w:rsid w:val="5BBF7AE0"/>
    <w:rsid w:val="5BD42115"/>
    <w:rsid w:val="5BD462C2"/>
    <w:rsid w:val="5BD91F04"/>
    <w:rsid w:val="5BDA0EA9"/>
    <w:rsid w:val="5BDB3021"/>
    <w:rsid w:val="5BDE5667"/>
    <w:rsid w:val="5BDF47FD"/>
    <w:rsid w:val="5BF136F2"/>
    <w:rsid w:val="5BF37103"/>
    <w:rsid w:val="5BF4A75B"/>
    <w:rsid w:val="5BF5F75B"/>
    <w:rsid w:val="5C1E76CA"/>
    <w:rsid w:val="5C314B42"/>
    <w:rsid w:val="5C7D0093"/>
    <w:rsid w:val="5CDE4B4A"/>
    <w:rsid w:val="5CF79DA4"/>
    <w:rsid w:val="5D0450D7"/>
    <w:rsid w:val="5D216010"/>
    <w:rsid w:val="5D2234B9"/>
    <w:rsid w:val="5D3D4BC6"/>
    <w:rsid w:val="5D473476"/>
    <w:rsid w:val="5D48349C"/>
    <w:rsid w:val="5D7E3CDC"/>
    <w:rsid w:val="5D7FD809"/>
    <w:rsid w:val="5D8D0573"/>
    <w:rsid w:val="5D970A22"/>
    <w:rsid w:val="5DAD14A7"/>
    <w:rsid w:val="5DBF1CC2"/>
    <w:rsid w:val="5DDB3A74"/>
    <w:rsid w:val="5DDD2180"/>
    <w:rsid w:val="5DE76799"/>
    <w:rsid w:val="5DE84681"/>
    <w:rsid w:val="5DED1418"/>
    <w:rsid w:val="5DFD8D79"/>
    <w:rsid w:val="5E1F39E6"/>
    <w:rsid w:val="5E437782"/>
    <w:rsid w:val="5E4A3961"/>
    <w:rsid w:val="5E4A533B"/>
    <w:rsid w:val="5E4E6BDA"/>
    <w:rsid w:val="5E4F4700"/>
    <w:rsid w:val="5E5A59C7"/>
    <w:rsid w:val="5E6130C1"/>
    <w:rsid w:val="5E6C60A9"/>
    <w:rsid w:val="5E7FA2C3"/>
    <w:rsid w:val="5EB822A5"/>
    <w:rsid w:val="5EBC5C38"/>
    <w:rsid w:val="5EBDAE95"/>
    <w:rsid w:val="5ED7DF78"/>
    <w:rsid w:val="5EDF2841"/>
    <w:rsid w:val="5EE41897"/>
    <w:rsid w:val="5EE7F987"/>
    <w:rsid w:val="5EE81E42"/>
    <w:rsid w:val="5EF57DD6"/>
    <w:rsid w:val="5EFA7CCD"/>
    <w:rsid w:val="5EFAC032"/>
    <w:rsid w:val="5EFB8C32"/>
    <w:rsid w:val="5F03069E"/>
    <w:rsid w:val="5F24ECAB"/>
    <w:rsid w:val="5F2C4920"/>
    <w:rsid w:val="5F2F1088"/>
    <w:rsid w:val="5F2F390B"/>
    <w:rsid w:val="5F3DA690"/>
    <w:rsid w:val="5F570A14"/>
    <w:rsid w:val="5F5DF5F6"/>
    <w:rsid w:val="5F5EC6A3"/>
    <w:rsid w:val="5F5FFDEE"/>
    <w:rsid w:val="5F66666A"/>
    <w:rsid w:val="5F6E6FF0"/>
    <w:rsid w:val="5F7EC581"/>
    <w:rsid w:val="5F7FDAE6"/>
    <w:rsid w:val="5F887EC9"/>
    <w:rsid w:val="5F9F08BC"/>
    <w:rsid w:val="5FAA898E"/>
    <w:rsid w:val="5FB82C78"/>
    <w:rsid w:val="5FBD47DA"/>
    <w:rsid w:val="5FBFF465"/>
    <w:rsid w:val="5FD6B6AB"/>
    <w:rsid w:val="5FD7FF45"/>
    <w:rsid w:val="5FDC0A38"/>
    <w:rsid w:val="5FDE2A59"/>
    <w:rsid w:val="5FEA8877"/>
    <w:rsid w:val="5FEF282F"/>
    <w:rsid w:val="5FF7263B"/>
    <w:rsid w:val="5FF78E53"/>
    <w:rsid w:val="5FF7C34C"/>
    <w:rsid w:val="5FF93B4A"/>
    <w:rsid w:val="5FFBE472"/>
    <w:rsid w:val="5FFDD86A"/>
    <w:rsid w:val="5FFDF425"/>
    <w:rsid w:val="5FFE7614"/>
    <w:rsid w:val="5FFF5A1C"/>
    <w:rsid w:val="5FFF89AB"/>
    <w:rsid w:val="5FFFC034"/>
    <w:rsid w:val="5FFFE5CF"/>
    <w:rsid w:val="5FFFF717"/>
    <w:rsid w:val="60145B1D"/>
    <w:rsid w:val="60281FC7"/>
    <w:rsid w:val="6057594E"/>
    <w:rsid w:val="606C3DEF"/>
    <w:rsid w:val="607122DF"/>
    <w:rsid w:val="608166B4"/>
    <w:rsid w:val="60DB3244"/>
    <w:rsid w:val="60F218E9"/>
    <w:rsid w:val="611D535C"/>
    <w:rsid w:val="6143368E"/>
    <w:rsid w:val="61811CD1"/>
    <w:rsid w:val="61862B65"/>
    <w:rsid w:val="61926DDD"/>
    <w:rsid w:val="61940A6C"/>
    <w:rsid w:val="619743F4"/>
    <w:rsid w:val="619C5EAE"/>
    <w:rsid w:val="61D94D87"/>
    <w:rsid w:val="62224451"/>
    <w:rsid w:val="62541B9D"/>
    <w:rsid w:val="6299419B"/>
    <w:rsid w:val="62AF7E63"/>
    <w:rsid w:val="62CA1DD2"/>
    <w:rsid w:val="63052056"/>
    <w:rsid w:val="637760E0"/>
    <w:rsid w:val="63BB2D6B"/>
    <w:rsid w:val="63BD0AD6"/>
    <w:rsid w:val="63BFD95A"/>
    <w:rsid w:val="63D43DC4"/>
    <w:rsid w:val="63FA6EBC"/>
    <w:rsid w:val="63FB05E2"/>
    <w:rsid w:val="63FECF33"/>
    <w:rsid w:val="640D3028"/>
    <w:rsid w:val="644B5969"/>
    <w:rsid w:val="646D1D84"/>
    <w:rsid w:val="64871F5D"/>
    <w:rsid w:val="64920AF5"/>
    <w:rsid w:val="650E4A9B"/>
    <w:rsid w:val="653741F8"/>
    <w:rsid w:val="65777EDA"/>
    <w:rsid w:val="65783375"/>
    <w:rsid w:val="658B780C"/>
    <w:rsid w:val="660858BB"/>
    <w:rsid w:val="662A1698"/>
    <w:rsid w:val="66374AE3"/>
    <w:rsid w:val="664C027A"/>
    <w:rsid w:val="665162CB"/>
    <w:rsid w:val="667B52EE"/>
    <w:rsid w:val="66897B34"/>
    <w:rsid w:val="66A52686"/>
    <w:rsid w:val="66BEE2C3"/>
    <w:rsid w:val="66FE60BB"/>
    <w:rsid w:val="66FFFE5E"/>
    <w:rsid w:val="671E07B6"/>
    <w:rsid w:val="67431752"/>
    <w:rsid w:val="675E1AD5"/>
    <w:rsid w:val="67736E2A"/>
    <w:rsid w:val="678A66AD"/>
    <w:rsid w:val="67BF95E6"/>
    <w:rsid w:val="67E265E5"/>
    <w:rsid w:val="67E91721"/>
    <w:rsid w:val="67EEFC8A"/>
    <w:rsid w:val="67FBE24A"/>
    <w:rsid w:val="67FE7675"/>
    <w:rsid w:val="67FFE273"/>
    <w:rsid w:val="681662CF"/>
    <w:rsid w:val="684B5F38"/>
    <w:rsid w:val="685319AE"/>
    <w:rsid w:val="68695C7B"/>
    <w:rsid w:val="689A48D2"/>
    <w:rsid w:val="690F6D30"/>
    <w:rsid w:val="6928081E"/>
    <w:rsid w:val="693F0E71"/>
    <w:rsid w:val="694462AA"/>
    <w:rsid w:val="699D472B"/>
    <w:rsid w:val="69BEF369"/>
    <w:rsid w:val="69DFBEAE"/>
    <w:rsid w:val="69E8E84C"/>
    <w:rsid w:val="69FEDCF8"/>
    <w:rsid w:val="69FF232F"/>
    <w:rsid w:val="69FF2652"/>
    <w:rsid w:val="6A0A6E71"/>
    <w:rsid w:val="6A574AD0"/>
    <w:rsid w:val="6AB9F2B8"/>
    <w:rsid w:val="6ABF5BA0"/>
    <w:rsid w:val="6AFDB806"/>
    <w:rsid w:val="6B1F259D"/>
    <w:rsid w:val="6B3FFBB3"/>
    <w:rsid w:val="6B503469"/>
    <w:rsid w:val="6B511AB7"/>
    <w:rsid w:val="6B6B485F"/>
    <w:rsid w:val="6B7E35E5"/>
    <w:rsid w:val="6B8F4396"/>
    <w:rsid w:val="6BC72434"/>
    <w:rsid w:val="6BD526E8"/>
    <w:rsid w:val="6BD5F11D"/>
    <w:rsid w:val="6BDD591A"/>
    <w:rsid w:val="6BE7206F"/>
    <w:rsid w:val="6BF5BFF0"/>
    <w:rsid w:val="6BFF9306"/>
    <w:rsid w:val="6BFFF768"/>
    <w:rsid w:val="6C201C51"/>
    <w:rsid w:val="6C2151E6"/>
    <w:rsid w:val="6C247CB6"/>
    <w:rsid w:val="6C3C196C"/>
    <w:rsid w:val="6C485E67"/>
    <w:rsid w:val="6C6C46CF"/>
    <w:rsid w:val="6C6E2540"/>
    <w:rsid w:val="6C7F3B18"/>
    <w:rsid w:val="6CDF87AC"/>
    <w:rsid w:val="6CF3CB20"/>
    <w:rsid w:val="6CF50405"/>
    <w:rsid w:val="6CFBEA79"/>
    <w:rsid w:val="6D2E4892"/>
    <w:rsid w:val="6D6F36B7"/>
    <w:rsid w:val="6D79022C"/>
    <w:rsid w:val="6D8F6D5A"/>
    <w:rsid w:val="6DB27761"/>
    <w:rsid w:val="6DB353F4"/>
    <w:rsid w:val="6DB5EC70"/>
    <w:rsid w:val="6DB78C1A"/>
    <w:rsid w:val="6DC01141"/>
    <w:rsid w:val="6DCBD3DA"/>
    <w:rsid w:val="6DCE26CE"/>
    <w:rsid w:val="6DFBD974"/>
    <w:rsid w:val="6DFF30CB"/>
    <w:rsid w:val="6DFF941F"/>
    <w:rsid w:val="6DFFCE0A"/>
    <w:rsid w:val="6DFFF83F"/>
    <w:rsid w:val="6E1F2923"/>
    <w:rsid w:val="6E3C504F"/>
    <w:rsid w:val="6E3F9C22"/>
    <w:rsid w:val="6E455F22"/>
    <w:rsid w:val="6E5378F4"/>
    <w:rsid w:val="6E79DFDD"/>
    <w:rsid w:val="6E7A30D3"/>
    <w:rsid w:val="6E836A43"/>
    <w:rsid w:val="6EA951BA"/>
    <w:rsid w:val="6EAF4285"/>
    <w:rsid w:val="6ED994BC"/>
    <w:rsid w:val="6EDB3AA6"/>
    <w:rsid w:val="6EF07A6B"/>
    <w:rsid w:val="6EF34B65"/>
    <w:rsid w:val="6EF5542C"/>
    <w:rsid w:val="6EF848AB"/>
    <w:rsid w:val="6F07C70B"/>
    <w:rsid w:val="6F0F655A"/>
    <w:rsid w:val="6F199356"/>
    <w:rsid w:val="6F33227C"/>
    <w:rsid w:val="6F36311B"/>
    <w:rsid w:val="6F457B85"/>
    <w:rsid w:val="6F5778B8"/>
    <w:rsid w:val="6F5B7FE7"/>
    <w:rsid w:val="6F6786E1"/>
    <w:rsid w:val="6F6F39B4"/>
    <w:rsid w:val="6F73E478"/>
    <w:rsid w:val="6F7709A7"/>
    <w:rsid w:val="6F795A80"/>
    <w:rsid w:val="6F7EF97D"/>
    <w:rsid w:val="6FA924CF"/>
    <w:rsid w:val="6FAF6FFB"/>
    <w:rsid w:val="6FB6C3CF"/>
    <w:rsid w:val="6FBB27F8"/>
    <w:rsid w:val="6FBDE505"/>
    <w:rsid w:val="6FBEF13A"/>
    <w:rsid w:val="6FCFC140"/>
    <w:rsid w:val="6FD6CF3A"/>
    <w:rsid w:val="6FDE1294"/>
    <w:rsid w:val="6FDEB9C0"/>
    <w:rsid w:val="6FDF843A"/>
    <w:rsid w:val="6FE3339F"/>
    <w:rsid w:val="6FEB89A5"/>
    <w:rsid w:val="6FEDB4CC"/>
    <w:rsid w:val="6FF5EC55"/>
    <w:rsid w:val="6FF78E7E"/>
    <w:rsid w:val="6FFB8B11"/>
    <w:rsid w:val="6FFBAEF4"/>
    <w:rsid w:val="6FFCD997"/>
    <w:rsid w:val="6FFD7725"/>
    <w:rsid w:val="6FFDA66A"/>
    <w:rsid w:val="6FFF438D"/>
    <w:rsid w:val="6FFFB896"/>
    <w:rsid w:val="7013218D"/>
    <w:rsid w:val="7018044F"/>
    <w:rsid w:val="70540C83"/>
    <w:rsid w:val="705D189A"/>
    <w:rsid w:val="70732E07"/>
    <w:rsid w:val="70A0068F"/>
    <w:rsid w:val="713B764E"/>
    <w:rsid w:val="714FDA45"/>
    <w:rsid w:val="71751657"/>
    <w:rsid w:val="71B07BB5"/>
    <w:rsid w:val="71C07997"/>
    <w:rsid w:val="71C10319"/>
    <w:rsid w:val="71F341B6"/>
    <w:rsid w:val="71F70FE1"/>
    <w:rsid w:val="72014410"/>
    <w:rsid w:val="7207686C"/>
    <w:rsid w:val="722C7282"/>
    <w:rsid w:val="723A6A52"/>
    <w:rsid w:val="72693E35"/>
    <w:rsid w:val="726C71D7"/>
    <w:rsid w:val="72717225"/>
    <w:rsid w:val="72A2709C"/>
    <w:rsid w:val="72A45CF3"/>
    <w:rsid w:val="72DA4A88"/>
    <w:rsid w:val="72E968F5"/>
    <w:rsid w:val="72FFCB7D"/>
    <w:rsid w:val="73244502"/>
    <w:rsid w:val="7327021A"/>
    <w:rsid w:val="733E6DC5"/>
    <w:rsid w:val="735D58FC"/>
    <w:rsid w:val="735E3884"/>
    <w:rsid w:val="737E91DE"/>
    <w:rsid w:val="73820487"/>
    <w:rsid w:val="738549F4"/>
    <w:rsid w:val="73873217"/>
    <w:rsid w:val="73B608E1"/>
    <w:rsid w:val="73D5FC23"/>
    <w:rsid w:val="73DFC3AD"/>
    <w:rsid w:val="73E3DD51"/>
    <w:rsid w:val="73F14F82"/>
    <w:rsid w:val="73F99AED"/>
    <w:rsid w:val="73FB5805"/>
    <w:rsid w:val="73FD4326"/>
    <w:rsid w:val="73FF9AFF"/>
    <w:rsid w:val="7408247A"/>
    <w:rsid w:val="7410464C"/>
    <w:rsid w:val="74185482"/>
    <w:rsid w:val="74486682"/>
    <w:rsid w:val="7460720F"/>
    <w:rsid w:val="746F6E80"/>
    <w:rsid w:val="74725095"/>
    <w:rsid w:val="748F1B04"/>
    <w:rsid w:val="749C0FFC"/>
    <w:rsid w:val="74A80E7D"/>
    <w:rsid w:val="74B3733F"/>
    <w:rsid w:val="74DDA954"/>
    <w:rsid w:val="74F3E8D8"/>
    <w:rsid w:val="74FFA1E9"/>
    <w:rsid w:val="7507175F"/>
    <w:rsid w:val="75315C5B"/>
    <w:rsid w:val="753D38EF"/>
    <w:rsid w:val="75545D7A"/>
    <w:rsid w:val="75660D6A"/>
    <w:rsid w:val="7567FAFC"/>
    <w:rsid w:val="757DE146"/>
    <w:rsid w:val="757DE2E6"/>
    <w:rsid w:val="75A500D8"/>
    <w:rsid w:val="75B869B5"/>
    <w:rsid w:val="75BB1F68"/>
    <w:rsid w:val="75DF7A36"/>
    <w:rsid w:val="75ED5D32"/>
    <w:rsid w:val="75F7072A"/>
    <w:rsid w:val="75F785DD"/>
    <w:rsid w:val="75FB4214"/>
    <w:rsid w:val="75FF20B4"/>
    <w:rsid w:val="763B4941"/>
    <w:rsid w:val="766E3D32"/>
    <w:rsid w:val="767470AF"/>
    <w:rsid w:val="76781DCD"/>
    <w:rsid w:val="767CCF85"/>
    <w:rsid w:val="767D6EE9"/>
    <w:rsid w:val="7690C78A"/>
    <w:rsid w:val="769D2954"/>
    <w:rsid w:val="76B567C7"/>
    <w:rsid w:val="76CF056F"/>
    <w:rsid w:val="76D60C35"/>
    <w:rsid w:val="76EAFF0B"/>
    <w:rsid w:val="76F7D9B9"/>
    <w:rsid w:val="76FF7C57"/>
    <w:rsid w:val="76FFB4E7"/>
    <w:rsid w:val="76FFD8E5"/>
    <w:rsid w:val="770C13BE"/>
    <w:rsid w:val="771742C4"/>
    <w:rsid w:val="772C33D8"/>
    <w:rsid w:val="772FA6CC"/>
    <w:rsid w:val="773FECD5"/>
    <w:rsid w:val="775F64E2"/>
    <w:rsid w:val="777BBD71"/>
    <w:rsid w:val="777D3C78"/>
    <w:rsid w:val="778B00FF"/>
    <w:rsid w:val="779F1359"/>
    <w:rsid w:val="77A2461B"/>
    <w:rsid w:val="77B07637"/>
    <w:rsid w:val="77BC400B"/>
    <w:rsid w:val="77BF1686"/>
    <w:rsid w:val="77C9B6DA"/>
    <w:rsid w:val="77DA93EF"/>
    <w:rsid w:val="77DC4956"/>
    <w:rsid w:val="77E333CC"/>
    <w:rsid w:val="77E9F98E"/>
    <w:rsid w:val="77ED6D6E"/>
    <w:rsid w:val="77F36426"/>
    <w:rsid w:val="77F7CB7E"/>
    <w:rsid w:val="77FF2807"/>
    <w:rsid w:val="77FF3B29"/>
    <w:rsid w:val="77FF700A"/>
    <w:rsid w:val="782E2FE8"/>
    <w:rsid w:val="78315E04"/>
    <w:rsid w:val="78BF5278"/>
    <w:rsid w:val="78D7107C"/>
    <w:rsid w:val="79214C4B"/>
    <w:rsid w:val="79426EE3"/>
    <w:rsid w:val="794DD20F"/>
    <w:rsid w:val="795FE03F"/>
    <w:rsid w:val="797645F9"/>
    <w:rsid w:val="797B4D4D"/>
    <w:rsid w:val="797FE969"/>
    <w:rsid w:val="79A65B3A"/>
    <w:rsid w:val="79B5A1AC"/>
    <w:rsid w:val="79BB65B8"/>
    <w:rsid w:val="79C600CE"/>
    <w:rsid w:val="79D12F79"/>
    <w:rsid w:val="79E027A0"/>
    <w:rsid w:val="79E72331"/>
    <w:rsid w:val="79EF7E64"/>
    <w:rsid w:val="79FD2E96"/>
    <w:rsid w:val="79FD6DB2"/>
    <w:rsid w:val="79FDEF54"/>
    <w:rsid w:val="7A0D5743"/>
    <w:rsid w:val="7A2E6143"/>
    <w:rsid w:val="7A342CD0"/>
    <w:rsid w:val="7A3839E0"/>
    <w:rsid w:val="7A666C01"/>
    <w:rsid w:val="7A8263DF"/>
    <w:rsid w:val="7A83640D"/>
    <w:rsid w:val="7AB54386"/>
    <w:rsid w:val="7ABD8E2C"/>
    <w:rsid w:val="7ABECD3C"/>
    <w:rsid w:val="7AD9391D"/>
    <w:rsid w:val="7ADD5C3D"/>
    <w:rsid w:val="7AE851B3"/>
    <w:rsid w:val="7AEA15E0"/>
    <w:rsid w:val="7AEE333B"/>
    <w:rsid w:val="7AFA39A7"/>
    <w:rsid w:val="7B154CC5"/>
    <w:rsid w:val="7B190B4F"/>
    <w:rsid w:val="7B252618"/>
    <w:rsid w:val="7B2E3BC3"/>
    <w:rsid w:val="7B3C37D6"/>
    <w:rsid w:val="7B4F5ABD"/>
    <w:rsid w:val="7B5D1DCB"/>
    <w:rsid w:val="7B662C5C"/>
    <w:rsid w:val="7B670CC4"/>
    <w:rsid w:val="7B738959"/>
    <w:rsid w:val="7B7B88B6"/>
    <w:rsid w:val="7B7BD5D9"/>
    <w:rsid w:val="7B7F1844"/>
    <w:rsid w:val="7B8A484B"/>
    <w:rsid w:val="7B9330A9"/>
    <w:rsid w:val="7B937F02"/>
    <w:rsid w:val="7B9E21B6"/>
    <w:rsid w:val="7BAF96B6"/>
    <w:rsid w:val="7BB6825D"/>
    <w:rsid w:val="7BB759DE"/>
    <w:rsid w:val="7BB808A9"/>
    <w:rsid w:val="7BB9DD5A"/>
    <w:rsid w:val="7BBDCAE7"/>
    <w:rsid w:val="7BC16022"/>
    <w:rsid w:val="7BC92CCF"/>
    <w:rsid w:val="7BCF340A"/>
    <w:rsid w:val="7BD5DD86"/>
    <w:rsid w:val="7BD73257"/>
    <w:rsid w:val="7BDB9D16"/>
    <w:rsid w:val="7BE75E8A"/>
    <w:rsid w:val="7BEC8033"/>
    <w:rsid w:val="7BECA1DB"/>
    <w:rsid w:val="7BF7CCEA"/>
    <w:rsid w:val="7BF7E293"/>
    <w:rsid w:val="7BF9A78F"/>
    <w:rsid w:val="7BFB4B1C"/>
    <w:rsid w:val="7BFC6861"/>
    <w:rsid w:val="7BFE7E05"/>
    <w:rsid w:val="7BFF16E1"/>
    <w:rsid w:val="7BFF2D58"/>
    <w:rsid w:val="7BFFD9A5"/>
    <w:rsid w:val="7C4D7A9B"/>
    <w:rsid w:val="7C5551C5"/>
    <w:rsid w:val="7C572CA5"/>
    <w:rsid w:val="7C5E385C"/>
    <w:rsid w:val="7C8327D1"/>
    <w:rsid w:val="7C836308"/>
    <w:rsid w:val="7CA3E458"/>
    <w:rsid w:val="7CB15B8C"/>
    <w:rsid w:val="7CD74CBE"/>
    <w:rsid w:val="7CE54755"/>
    <w:rsid w:val="7CE83D0A"/>
    <w:rsid w:val="7CF46926"/>
    <w:rsid w:val="7CFB027A"/>
    <w:rsid w:val="7CFF88A5"/>
    <w:rsid w:val="7D47CE00"/>
    <w:rsid w:val="7D497990"/>
    <w:rsid w:val="7D53C3B8"/>
    <w:rsid w:val="7D644BDF"/>
    <w:rsid w:val="7D7CD6F4"/>
    <w:rsid w:val="7D7F75E4"/>
    <w:rsid w:val="7D816CA8"/>
    <w:rsid w:val="7DB15D24"/>
    <w:rsid w:val="7DBF0E30"/>
    <w:rsid w:val="7DBF1A34"/>
    <w:rsid w:val="7DC72E79"/>
    <w:rsid w:val="7DD60CB2"/>
    <w:rsid w:val="7DD71D12"/>
    <w:rsid w:val="7DDBBB90"/>
    <w:rsid w:val="7DE30A9F"/>
    <w:rsid w:val="7DEC117D"/>
    <w:rsid w:val="7DED19E8"/>
    <w:rsid w:val="7DEE1679"/>
    <w:rsid w:val="7DEF3F09"/>
    <w:rsid w:val="7DEFECB2"/>
    <w:rsid w:val="7DF74D9A"/>
    <w:rsid w:val="7DF7B7D2"/>
    <w:rsid w:val="7DF9E083"/>
    <w:rsid w:val="7DFA1CC9"/>
    <w:rsid w:val="7DFB4EC2"/>
    <w:rsid w:val="7DFB8D10"/>
    <w:rsid w:val="7DFE3577"/>
    <w:rsid w:val="7DFE9C97"/>
    <w:rsid w:val="7DFEF001"/>
    <w:rsid w:val="7DFEFB66"/>
    <w:rsid w:val="7DFFADD0"/>
    <w:rsid w:val="7DFFF849"/>
    <w:rsid w:val="7E1A6C6A"/>
    <w:rsid w:val="7E294ECA"/>
    <w:rsid w:val="7E2ED722"/>
    <w:rsid w:val="7E5F4D06"/>
    <w:rsid w:val="7E5FBDDF"/>
    <w:rsid w:val="7E7B0DFE"/>
    <w:rsid w:val="7E7B259B"/>
    <w:rsid w:val="7E9564D6"/>
    <w:rsid w:val="7E970F93"/>
    <w:rsid w:val="7E9C03D8"/>
    <w:rsid w:val="7EB91991"/>
    <w:rsid w:val="7EBF37F2"/>
    <w:rsid w:val="7ECFA93E"/>
    <w:rsid w:val="7ED40249"/>
    <w:rsid w:val="7EDFFA4B"/>
    <w:rsid w:val="7EE22707"/>
    <w:rsid w:val="7EEC5501"/>
    <w:rsid w:val="7EED248D"/>
    <w:rsid w:val="7EEDA7E2"/>
    <w:rsid w:val="7EF78CA3"/>
    <w:rsid w:val="7EFA566B"/>
    <w:rsid w:val="7EFD166A"/>
    <w:rsid w:val="7EFD2FE0"/>
    <w:rsid w:val="7EFE025B"/>
    <w:rsid w:val="7EFF108A"/>
    <w:rsid w:val="7F16CBD9"/>
    <w:rsid w:val="7F264BB1"/>
    <w:rsid w:val="7F3C32A3"/>
    <w:rsid w:val="7F6364A4"/>
    <w:rsid w:val="7F738582"/>
    <w:rsid w:val="7F7556C8"/>
    <w:rsid w:val="7F766E1E"/>
    <w:rsid w:val="7F7735BB"/>
    <w:rsid w:val="7F779E12"/>
    <w:rsid w:val="7F7B73BD"/>
    <w:rsid w:val="7F7D58EC"/>
    <w:rsid w:val="7F7D684E"/>
    <w:rsid w:val="7F7DCBE2"/>
    <w:rsid w:val="7F7EEFC2"/>
    <w:rsid w:val="7F7F15B3"/>
    <w:rsid w:val="7F7F4638"/>
    <w:rsid w:val="7F7F55A1"/>
    <w:rsid w:val="7F7F72F6"/>
    <w:rsid w:val="7F7FCE2E"/>
    <w:rsid w:val="7F7FE429"/>
    <w:rsid w:val="7F873E66"/>
    <w:rsid w:val="7F8B740D"/>
    <w:rsid w:val="7F9B4E48"/>
    <w:rsid w:val="7F9BE0C6"/>
    <w:rsid w:val="7F9E1C40"/>
    <w:rsid w:val="7F9F33FD"/>
    <w:rsid w:val="7FAAE8B4"/>
    <w:rsid w:val="7FAEF1AF"/>
    <w:rsid w:val="7FAF54FB"/>
    <w:rsid w:val="7FB2C244"/>
    <w:rsid w:val="7FB573EF"/>
    <w:rsid w:val="7FB57733"/>
    <w:rsid w:val="7FB67934"/>
    <w:rsid w:val="7FB72039"/>
    <w:rsid w:val="7FB7D6A5"/>
    <w:rsid w:val="7FBB0CE1"/>
    <w:rsid w:val="7FBD432D"/>
    <w:rsid w:val="7FBD5E72"/>
    <w:rsid w:val="7FBE65EC"/>
    <w:rsid w:val="7FC03989"/>
    <w:rsid w:val="7FD5E740"/>
    <w:rsid w:val="7FD7DF33"/>
    <w:rsid w:val="7FDA196C"/>
    <w:rsid w:val="7FDF2218"/>
    <w:rsid w:val="7FDF5F46"/>
    <w:rsid w:val="7FE0C8C1"/>
    <w:rsid w:val="7FE7B181"/>
    <w:rsid w:val="7FEF19DD"/>
    <w:rsid w:val="7FEF2FC4"/>
    <w:rsid w:val="7FF266CC"/>
    <w:rsid w:val="7FF2A8C0"/>
    <w:rsid w:val="7FF365EB"/>
    <w:rsid w:val="7FF5821B"/>
    <w:rsid w:val="7FF717E4"/>
    <w:rsid w:val="7FF766D1"/>
    <w:rsid w:val="7FF786BD"/>
    <w:rsid w:val="7FFBD54C"/>
    <w:rsid w:val="7FFBF444"/>
    <w:rsid w:val="7FFC09DA"/>
    <w:rsid w:val="7FFC1EF8"/>
    <w:rsid w:val="7FFCFF0B"/>
    <w:rsid w:val="7FFDADF6"/>
    <w:rsid w:val="7FFDBB2C"/>
    <w:rsid w:val="7FFDCA7F"/>
    <w:rsid w:val="7FFE3FDD"/>
    <w:rsid w:val="7FFF5A23"/>
    <w:rsid w:val="7FFF62AA"/>
    <w:rsid w:val="7FFF7155"/>
    <w:rsid w:val="7FFF879D"/>
    <w:rsid w:val="7FFFA120"/>
    <w:rsid w:val="7FFFC86B"/>
    <w:rsid w:val="7FFFF5E7"/>
    <w:rsid w:val="83F3C8F9"/>
    <w:rsid w:val="846604FD"/>
    <w:rsid w:val="87CFF862"/>
    <w:rsid w:val="87FD5E73"/>
    <w:rsid w:val="8BF79B22"/>
    <w:rsid w:val="8DBE3401"/>
    <w:rsid w:val="8F6EB75A"/>
    <w:rsid w:val="8FDD050E"/>
    <w:rsid w:val="8FDF68BA"/>
    <w:rsid w:val="8FFD4F14"/>
    <w:rsid w:val="91BD7851"/>
    <w:rsid w:val="94BFEC68"/>
    <w:rsid w:val="95BDD083"/>
    <w:rsid w:val="96FC8EF6"/>
    <w:rsid w:val="96FDA5C8"/>
    <w:rsid w:val="977F8DC6"/>
    <w:rsid w:val="979FC160"/>
    <w:rsid w:val="97BF6BE4"/>
    <w:rsid w:val="985709A7"/>
    <w:rsid w:val="98F7A0D6"/>
    <w:rsid w:val="99EF73E3"/>
    <w:rsid w:val="9AAF3C1B"/>
    <w:rsid w:val="9AFCFA5C"/>
    <w:rsid w:val="9D4B5CFF"/>
    <w:rsid w:val="9D92176E"/>
    <w:rsid w:val="9DCDB2A2"/>
    <w:rsid w:val="9DEB93A3"/>
    <w:rsid w:val="9DF54764"/>
    <w:rsid w:val="9DF59707"/>
    <w:rsid w:val="9DFF8FBE"/>
    <w:rsid w:val="9EFDCBE3"/>
    <w:rsid w:val="9F5F8C42"/>
    <w:rsid w:val="9F7B0972"/>
    <w:rsid w:val="9F7F69E3"/>
    <w:rsid w:val="9FA2DE20"/>
    <w:rsid w:val="9FABCDE7"/>
    <w:rsid w:val="9FD1DAE9"/>
    <w:rsid w:val="9FE753DC"/>
    <w:rsid w:val="9FF626FF"/>
    <w:rsid w:val="9FFE7FB8"/>
    <w:rsid w:val="9FFFFA2B"/>
    <w:rsid w:val="A2E35BD6"/>
    <w:rsid w:val="A3BBAD60"/>
    <w:rsid w:val="A51DC0AD"/>
    <w:rsid w:val="A79BF41B"/>
    <w:rsid w:val="A7BB5909"/>
    <w:rsid w:val="A7F70D30"/>
    <w:rsid w:val="A7FD9ACD"/>
    <w:rsid w:val="A7FF9EBF"/>
    <w:rsid w:val="AB751E6F"/>
    <w:rsid w:val="AB874F17"/>
    <w:rsid w:val="ABA64312"/>
    <w:rsid w:val="ABF73A43"/>
    <w:rsid w:val="ABF7FE90"/>
    <w:rsid w:val="AD5F5AE9"/>
    <w:rsid w:val="AD9FCFC6"/>
    <w:rsid w:val="AE77E665"/>
    <w:rsid w:val="AEDF58B3"/>
    <w:rsid w:val="AEED9AB4"/>
    <w:rsid w:val="AF0D481D"/>
    <w:rsid w:val="AF5FD3FE"/>
    <w:rsid w:val="AF6B729E"/>
    <w:rsid w:val="AF6ED479"/>
    <w:rsid w:val="AFB3BD11"/>
    <w:rsid w:val="AFB70D3E"/>
    <w:rsid w:val="AFBB0704"/>
    <w:rsid w:val="AFD71BDD"/>
    <w:rsid w:val="AFDF5BAA"/>
    <w:rsid w:val="AFEF109F"/>
    <w:rsid w:val="AFFCE4B8"/>
    <w:rsid w:val="AFFE9EC7"/>
    <w:rsid w:val="B3432370"/>
    <w:rsid w:val="B34E79AE"/>
    <w:rsid w:val="B37B707C"/>
    <w:rsid w:val="B39EDE51"/>
    <w:rsid w:val="B3FE2713"/>
    <w:rsid w:val="B3FFBD7C"/>
    <w:rsid w:val="B55FD8B6"/>
    <w:rsid w:val="B5FFEA4C"/>
    <w:rsid w:val="B62E22D5"/>
    <w:rsid w:val="B6DBA173"/>
    <w:rsid w:val="B6E70532"/>
    <w:rsid w:val="B6FF8916"/>
    <w:rsid w:val="B764C04B"/>
    <w:rsid w:val="B7676CA2"/>
    <w:rsid w:val="B778C532"/>
    <w:rsid w:val="B7AD536D"/>
    <w:rsid w:val="B7AF494D"/>
    <w:rsid w:val="B7D32145"/>
    <w:rsid w:val="B8AF813A"/>
    <w:rsid w:val="B8EC25D8"/>
    <w:rsid w:val="B9B678DB"/>
    <w:rsid w:val="BA7B23C6"/>
    <w:rsid w:val="BB2F8EE5"/>
    <w:rsid w:val="BB5F82C5"/>
    <w:rsid w:val="BB7F8787"/>
    <w:rsid w:val="BBBBD8C4"/>
    <w:rsid w:val="BBBD4A9E"/>
    <w:rsid w:val="BBDD811D"/>
    <w:rsid w:val="BBF0B622"/>
    <w:rsid w:val="BBF76DD7"/>
    <w:rsid w:val="BBF9A447"/>
    <w:rsid w:val="BBFB505F"/>
    <w:rsid w:val="BC5F5E0E"/>
    <w:rsid w:val="BCBD607A"/>
    <w:rsid w:val="BD0FC408"/>
    <w:rsid w:val="BD3DE113"/>
    <w:rsid w:val="BD77912E"/>
    <w:rsid w:val="BD7B0B7C"/>
    <w:rsid w:val="BD9EDCB3"/>
    <w:rsid w:val="BDBFAAA2"/>
    <w:rsid w:val="BDDB770D"/>
    <w:rsid w:val="BDEFA9FE"/>
    <w:rsid w:val="BDF38CE1"/>
    <w:rsid w:val="BDFFE31B"/>
    <w:rsid w:val="BE77DF02"/>
    <w:rsid w:val="BEB6B8B9"/>
    <w:rsid w:val="BEB77D83"/>
    <w:rsid w:val="BEBF285C"/>
    <w:rsid w:val="BECF68A0"/>
    <w:rsid w:val="BEEBB480"/>
    <w:rsid w:val="BEF9489D"/>
    <w:rsid w:val="BEFD858C"/>
    <w:rsid w:val="BEFF6711"/>
    <w:rsid w:val="BF3E0E09"/>
    <w:rsid w:val="BF3EA0A3"/>
    <w:rsid w:val="BF6F35AC"/>
    <w:rsid w:val="BF7E974E"/>
    <w:rsid w:val="BF7F4225"/>
    <w:rsid w:val="BF963822"/>
    <w:rsid w:val="BF9B5B55"/>
    <w:rsid w:val="BFA3C9A8"/>
    <w:rsid w:val="BFAF6920"/>
    <w:rsid w:val="BFB7FED3"/>
    <w:rsid w:val="BFBF63EC"/>
    <w:rsid w:val="BFBFDBFC"/>
    <w:rsid w:val="BFDF71A6"/>
    <w:rsid w:val="BFE911B1"/>
    <w:rsid w:val="BFEBF24A"/>
    <w:rsid w:val="BFEFF8BE"/>
    <w:rsid w:val="BFF79CED"/>
    <w:rsid w:val="BFF7C6F9"/>
    <w:rsid w:val="BFFB482E"/>
    <w:rsid w:val="BFFB77D2"/>
    <w:rsid w:val="BFFB9DB0"/>
    <w:rsid w:val="BFFC593A"/>
    <w:rsid w:val="BFFDA2A7"/>
    <w:rsid w:val="BFFEA5CF"/>
    <w:rsid w:val="BFFFAACB"/>
    <w:rsid w:val="BFFFD01A"/>
    <w:rsid w:val="C799151F"/>
    <w:rsid w:val="C7CD9073"/>
    <w:rsid w:val="CBEF6CC1"/>
    <w:rsid w:val="CCEEDB92"/>
    <w:rsid w:val="CCFDD4A1"/>
    <w:rsid w:val="CDBDBD14"/>
    <w:rsid w:val="CF897E7B"/>
    <w:rsid w:val="CFEFE909"/>
    <w:rsid w:val="CFF7EC3E"/>
    <w:rsid w:val="CFFDD84C"/>
    <w:rsid w:val="CFFE2243"/>
    <w:rsid w:val="CFFE729E"/>
    <w:rsid w:val="CFFF7263"/>
    <w:rsid w:val="D37FC3D6"/>
    <w:rsid w:val="D39BE2D4"/>
    <w:rsid w:val="D3EF6F6D"/>
    <w:rsid w:val="D5EE22E9"/>
    <w:rsid w:val="D5F183E0"/>
    <w:rsid w:val="D5FA8277"/>
    <w:rsid w:val="D7A77B5E"/>
    <w:rsid w:val="D7C789D0"/>
    <w:rsid w:val="D7F7D873"/>
    <w:rsid w:val="D7FB773E"/>
    <w:rsid w:val="D7FF89F9"/>
    <w:rsid w:val="D7FF9446"/>
    <w:rsid w:val="DA7F5792"/>
    <w:rsid w:val="DA7FABC9"/>
    <w:rsid w:val="DABF3274"/>
    <w:rsid w:val="DB5748EF"/>
    <w:rsid w:val="DBBEFB8E"/>
    <w:rsid w:val="DBFF3C87"/>
    <w:rsid w:val="DBFF79F6"/>
    <w:rsid w:val="DBFFA739"/>
    <w:rsid w:val="DC5F2D99"/>
    <w:rsid w:val="DD2FC8B1"/>
    <w:rsid w:val="DDB60FE1"/>
    <w:rsid w:val="DDCFF6B5"/>
    <w:rsid w:val="DDDFAA14"/>
    <w:rsid w:val="DDDFB5B4"/>
    <w:rsid w:val="DDEF945C"/>
    <w:rsid w:val="DDFB7E9A"/>
    <w:rsid w:val="DDFDD667"/>
    <w:rsid w:val="DDFFD6A2"/>
    <w:rsid w:val="DECD28A2"/>
    <w:rsid w:val="DEEB9764"/>
    <w:rsid w:val="DF4E4A60"/>
    <w:rsid w:val="DF579B5B"/>
    <w:rsid w:val="DF5F856A"/>
    <w:rsid w:val="DF73F514"/>
    <w:rsid w:val="DF790A48"/>
    <w:rsid w:val="DF7C15DA"/>
    <w:rsid w:val="DF7F44F8"/>
    <w:rsid w:val="DFB12812"/>
    <w:rsid w:val="DFB70A84"/>
    <w:rsid w:val="DFBEE698"/>
    <w:rsid w:val="DFCE278B"/>
    <w:rsid w:val="DFDFCBFF"/>
    <w:rsid w:val="DFEF371A"/>
    <w:rsid w:val="DFEF78DA"/>
    <w:rsid w:val="DFEFD79F"/>
    <w:rsid w:val="DFF7E4AA"/>
    <w:rsid w:val="DFF7E9E8"/>
    <w:rsid w:val="DFFF1717"/>
    <w:rsid w:val="DFFFF43E"/>
    <w:rsid w:val="E3ADE2B8"/>
    <w:rsid w:val="E4EF1981"/>
    <w:rsid w:val="E4FF4749"/>
    <w:rsid w:val="E5BF5D17"/>
    <w:rsid w:val="E5F53642"/>
    <w:rsid w:val="E6FB1870"/>
    <w:rsid w:val="E6FD3B6A"/>
    <w:rsid w:val="E7277C5B"/>
    <w:rsid w:val="E797374B"/>
    <w:rsid w:val="E79B7E04"/>
    <w:rsid w:val="E7D77B14"/>
    <w:rsid w:val="E7D8582B"/>
    <w:rsid w:val="E7FDE6B1"/>
    <w:rsid w:val="E7FDF649"/>
    <w:rsid w:val="E9F71EFB"/>
    <w:rsid w:val="EA2FB236"/>
    <w:rsid w:val="EAEE04C3"/>
    <w:rsid w:val="EAEFFBB5"/>
    <w:rsid w:val="EAFF5EB7"/>
    <w:rsid w:val="EB3EDB2C"/>
    <w:rsid w:val="EBA39ADD"/>
    <w:rsid w:val="EBBF3D36"/>
    <w:rsid w:val="ECAB9CB0"/>
    <w:rsid w:val="ED7A9644"/>
    <w:rsid w:val="ED7AB3D3"/>
    <w:rsid w:val="EDB7A49C"/>
    <w:rsid w:val="EDBFCFE0"/>
    <w:rsid w:val="EDEB9E5E"/>
    <w:rsid w:val="EDFF53FA"/>
    <w:rsid w:val="EDFF8E08"/>
    <w:rsid w:val="EDFFCC3B"/>
    <w:rsid w:val="EE5F4CE7"/>
    <w:rsid w:val="EED6DD44"/>
    <w:rsid w:val="EEF5B584"/>
    <w:rsid w:val="EEF75DA0"/>
    <w:rsid w:val="EEFB4514"/>
    <w:rsid w:val="EEFE032D"/>
    <w:rsid w:val="EF3B32AC"/>
    <w:rsid w:val="EF3F4DBE"/>
    <w:rsid w:val="EF6E7521"/>
    <w:rsid w:val="EF765989"/>
    <w:rsid w:val="EF7BB71B"/>
    <w:rsid w:val="EF7E084C"/>
    <w:rsid w:val="EF7F027B"/>
    <w:rsid w:val="EF7FB0CC"/>
    <w:rsid w:val="EFAB6214"/>
    <w:rsid w:val="EFC70E64"/>
    <w:rsid w:val="EFCDB57D"/>
    <w:rsid w:val="EFD551AF"/>
    <w:rsid w:val="EFDD854F"/>
    <w:rsid w:val="EFDFA0D7"/>
    <w:rsid w:val="EFDFF1F5"/>
    <w:rsid w:val="EFE2A4AE"/>
    <w:rsid w:val="EFE576FF"/>
    <w:rsid w:val="EFE9E3B1"/>
    <w:rsid w:val="EFEF5F8B"/>
    <w:rsid w:val="EFEFCA5D"/>
    <w:rsid w:val="EFF509FC"/>
    <w:rsid w:val="EFF6CF3D"/>
    <w:rsid w:val="EFF6DD56"/>
    <w:rsid w:val="EFF9D5C9"/>
    <w:rsid w:val="EFFB6A4D"/>
    <w:rsid w:val="EFFDEC39"/>
    <w:rsid w:val="EFFF0583"/>
    <w:rsid w:val="F07F4CAD"/>
    <w:rsid w:val="F0DF3C10"/>
    <w:rsid w:val="F1BD78B5"/>
    <w:rsid w:val="F1BD7F47"/>
    <w:rsid w:val="F1BF1313"/>
    <w:rsid w:val="F1FB09CD"/>
    <w:rsid w:val="F2E2207B"/>
    <w:rsid w:val="F38D895D"/>
    <w:rsid w:val="F3AAE6A7"/>
    <w:rsid w:val="F3AF88B1"/>
    <w:rsid w:val="F3E997CE"/>
    <w:rsid w:val="F3FB2501"/>
    <w:rsid w:val="F4ABC5E4"/>
    <w:rsid w:val="F4FFFC43"/>
    <w:rsid w:val="F5575274"/>
    <w:rsid w:val="F59D440A"/>
    <w:rsid w:val="F5BFC8DC"/>
    <w:rsid w:val="F5D7E238"/>
    <w:rsid w:val="F5EEAD1B"/>
    <w:rsid w:val="F5FCF2FD"/>
    <w:rsid w:val="F5FFF212"/>
    <w:rsid w:val="F662323D"/>
    <w:rsid w:val="F6C5F06B"/>
    <w:rsid w:val="F6FB8979"/>
    <w:rsid w:val="F6FE35C6"/>
    <w:rsid w:val="F6FFBF24"/>
    <w:rsid w:val="F72B45A1"/>
    <w:rsid w:val="F738F39B"/>
    <w:rsid w:val="F74D35E2"/>
    <w:rsid w:val="F76E0DAB"/>
    <w:rsid w:val="F77609D3"/>
    <w:rsid w:val="F77B8C65"/>
    <w:rsid w:val="F7AB1128"/>
    <w:rsid w:val="F7BB9E51"/>
    <w:rsid w:val="F7BF8242"/>
    <w:rsid w:val="F7D60834"/>
    <w:rsid w:val="F7EAFEA3"/>
    <w:rsid w:val="F7EE92B6"/>
    <w:rsid w:val="F7F76CE7"/>
    <w:rsid w:val="F7F7BB23"/>
    <w:rsid w:val="F7FA7AD2"/>
    <w:rsid w:val="F7FE4E21"/>
    <w:rsid w:val="F7FEDA9C"/>
    <w:rsid w:val="F7FEFB8B"/>
    <w:rsid w:val="F7FF04FD"/>
    <w:rsid w:val="F7FF4701"/>
    <w:rsid w:val="F87FC048"/>
    <w:rsid w:val="F8F74EB0"/>
    <w:rsid w:val="F8FF3C05"/>
    <w:rsid w:val="F9910B30"/>
    <w:rsid w:val="F9AEE531"/>
    <w:rsid w:val="F9BE7A84"/>
    <w:rsid w:val="F9CF8CB2"/>
    <w:rsid w:val="F9DD9959"/>
    <w:rsid w:val="F9DF73CB"/>
    <w:rsid w:val="F9E4A92C"/>
    <w:rsid w:val="F9E73FA4"/>
    <w:rsid w:val="F9EE14AA"/>
    <w:rsid w:val="F9F919B4"/>
    <w:rsid w:val="F9FD8356"/>
    <w:rsid w:val="F9FF46E0"/>
    <w:rsid w:val="F9FF66B2"/>
    <w:rsid w:val="F9FF8892"/>
    <w:rsid w:val="FA5DA317"/>
    <w:rsid w:val="FABFDB49"/>
    <w:rsid w:val="FAFC06FD"/>
    <w:rsid w:val="FAFFA97D"/>
    <w:rsid w:val="FB3BD7B7"/>
    <w:rsid w:val="FB5719B6"/>
    <w:rsid w:val="FB6B5AD9"/>
    <w:rsid w:val="FB6E079A"/>
    <w:rsid w:val="FB6F741B"/>
    <w:rsid w:val="FB7DAD4E"/>
    <w:rsid w:val="FB7E255A"/>
    <w:rsid w:val="FB87F376"/>
    <w:rsid w:val="FBA97A7F"/>
    <w:rsid w:val="FBBF8C02"/>
    <w:rsid w:val="FBD966CA"/>
    <w:rsid w:val="FBDF00E9"/>
    <w:rsid w:val="FBDF06DD"/>
    <w:rsid w:val="FBDFB4F2"/>
    <w:rsid w:val="FBE50D46"/>
    <w:rsid w:val="FBECB71A"/>
    <w:rsid w:val="FBED6288"/>
    <w:rsid w:val="FBEFC76E"/>
    <w:rsid w:val="FBF32615"/>
    <w:rsid w:val="FBF45F3A"/>
    <w:rsid w:val="FBF97CAF"/>
    <w:rsid w:val="FBF9FFC7"/>
    <w:rsid w:val="FBFA91C9"/>
    <w:rsid w:val="FBFC07CC"/>
    <w:rsid w:val="FBFCF046"/>
    <w:rsid w:val="FBFEFE18"/>
    <w:rsid w:val="FBFF555B"/>
    <w:rsid w:val="FBFFD807"/>
    <w:rsid w:val="FBFFF0AD"/>
    <w:rsid w:val="FC236C25"/>
    <w:rsid w:val="FC3F22FA"/>
    <w:rsid w:val="FC3FD0EA"/>
    <w:rsid w:val="FC67A56D"/>
    <w:rsid w:val="FC72A3F7"/>
    <w:rsid w:val="FC7BC966"/>
    <w:rsid w:val="FC7F2ECD"/>
    <w:rsid w:val="FCBDC590"/>
    <w:rsid w:val="FCBFDF6F"/>
    <w:rsid w:val="FCDF3B3D"/>
    <w:rsid w:val="FD2FBAE7"/>
    <w:rsid w:val="FD34EA1F"/>
    <w:rsid w:val="FD3EBD00"/>
    <w:rsid w:val="FD5DFF20"/>
    <w:rsid w:val="FD5F8316"/>
    <w:rsid w:val="FD6FCFEF"/>
    <w:rsid w:val="FD750340"/>
    <w:rsid w:val="FD7DE47C"/>
    <w:rsid w:val="FD7E1FB2"/>
    <w:rsid w:val="FD7E75E6"/>
    <w:rsid w:val="FD9D9F5F"/>
    <w:rsid w:val="FDABA8D4"/>
    <w:rsid w:val="FDB74E64"/>
    <w:rsid w:val="FDBF986E"/>
    <w:rsid w:val="FDD597C6"/>
    <w:rsid w:val="FDDD37EC"/>
    <w:rsid w:val="FDE77861"/>
    <w:rsid w:val="FDEA9D4F"/>
    <w:rsid w:val="FDEF0592"/>
    <w:rsid w:val="FDEF2799"/>
    <w:rsid w:val="FDEF7C6E"/>
    <w:rsid w:val="FDF68F40"/>
    <w:rsid w:val="FDF73F80"/>
    <w:rsid w:val="FDFA27BF"/>
    <w:rsid w:val="FDFAB1BB"/>
    <w:rsid w:val="FDFD9298"/>
    <w:rsid w:val="FDFDFFF8"/>
    <w:rsid w:val="FDFE57E6"/>
    <w:rsid w:val="FDFED9D1"/>
    <w:rsid w:val="FDFF7D7D"/>
    <w:rsid w:val="FE0FBF11"/>
    <w:rsid w:val="FE3FEBFE"/>
    <w:rsid w:val="FE56B50C"/>
    <w:rsid w:val="FE5F4BF7"/>
    <w:rsid w:val="FE734873"/>
    <w:rsid w:val="FE7D9C00"/>
    <w:rsid w:val="FE7EE391"/>
    <w:rsid w:val="FE9F0C73"/>
    <w:rsid w:val="FE9F93F1"/>
    <w:rsid w:val="FEAD8567"/>
    <w:rsid w:val="FEBE26AB"/>
    <w:rsid w:val="FEDF3D95"/>
    <w:rsid w:val="FEDF760E"/>
    <w:rsid w:val="FEDFB165"/>
    <w:rsid w:val="FEEE18B3"/>
    <w:rsid w:val="FEEEB679"/>
    <w:rsid w:val="FEF70FE3"/>
    <w:rsid w:val="FEFA3A80"/>
    <w:rsid w:val="FEFB23F7"/>
    <w:rsid w:val="FEFB3887"/>
    <w:rsid w:val="FEFB8201"/>
    <w:rsid w:val="FEFBF2F9"/>
    <w:rsid w:val="FEFE6618"/>
    <w:rsid w:val="FEFEA031"/>
    <w:rsid w:val="FEFF330C"/>
    <w:rsid w:val="FEFF7234"/>
    <w:rsid w:val="FEFF88E8"/>
    <w:rsid w:val="FEFFDDCD"/>
    <w:rsid w:val="FEFFE5B6"/>
    <w:rsid w:val="FEFFF605"/>
    <w:rsid w:val="FF1F2F28"/>
    <w:rsid w:val="FF1FD685"/>
    <w:rsid w:val="FF27FD6E"/>
    <w:rsid w:val="FF4B381B"/>
    <w:rsid w:val="FF4E9A92"/>
    <w:rsid w:val="FF4FF638"/>
    <w:rsid w:val="FF5EFC60"/>
    <w:rsid w:val="FF5F53B6"/>
    <w:rsid w:val="FF5FFB33"/>
    <w:rsid w:val="FF6AE68C"/>
    <w:rsid w:val="FF6FAF44"/>
    <w:rsid w:val="FF7235AC"/>
    <w:rsid w:val="FF737C1B"/>
    <w:rsid w:val="FF758101"/>
    <w:rsid w:val="FF76A452"/>
    <w:rsid w:val="FF7B9955"/>
    <w:rsid w:val="FF7D3714"/>
    <w:rsid w:val="FF7D5C4D"/>
    <w:rsid w:val="FF7DF9A3"/>
    <w:rsid w:val="FF7E26DF"/>
    <w:rsid w:val="FF7F1568"/>
    <w:rsid w:val="FF7F60E3"/>
    <w:rsid w:val="FF7F7454"/>
    <w:rsid w:val="FF7FE477"/>
    <w:rsid w:val="FF7FF063"/>
    <w:rsid w:val="FF9B8E49"/>
    <w:rsid w:val="FF9FD2FF"/>
    <w:rsid w:val="FFAAF93C"/>
    <w:rsid w:val="FFAE6D42"/>
    <w:rsid w:val="FFAF2E53"/>
    <w:rsid w:val="FFB5A9A6"/>
    <w:rsid w:val="FFB702B0"/>
    <w:rsid w:val="FFB712E4"/>
    <w:rsid w:val="FFB9DD31"/>
    <w:rsid w:val="FFBB4109"/>
    <w:rsid w:val="FFBBADDF"/>
    <w:rsid w:val="FFBF6F11"/>
    <w:rsid w:val="FFBFB526"/>
    <w:rsid w:val="FFBFFB01"/>
    <w:rsid w:val="FFC45106"/>
    <w:rsid w:val="FFC6F2AA"/>
    <w:rsid w:val="FFCD28AF"/>
    <w:rsid w:val="FFCF15D1"/>
    <w:rsid w:val="FFCF854B"/>
    <w:rsid w:val="FFCF907A"/>
    <w:rsid w:val="FFD907B8"/>
    <w:rsid w:val="FFDBBA43"/>
    <w:rsid w:val="FFDCFC11"/>
    <w:rsid w:val="FFDE270D"/>
    <w:rsid w:val="FFDF669A"/>
    <w:rsid w:val="FFE70A1B"/>
    <w:rsid w:val="FFEE2ACA"/>
    <w:rsid w:val="FFEED24F"/>
    <w:rsid w:val="FFEF2073"/>
    <w:rsid w:val="FFEF43B4"/>
    <w:rsid w:val="FFEFFB32"/>
    <w:rsid w:val="FFF16BFF"/>
    <w:rsid w:val="FFF36FB1"/>
    <w:rsid w:val="FFF3CA99"/>
    <w:rsid w:val="FFF61602"/>
    <w:rsid w:val="FFF72210"/>
    <w:rsid w:val="FFF73D4A"/>
    <w:rsid w:val="FFF7821D"/>
    <w:rsid w:val="FFF79FA8"/>
    <w:rsid w:val="FFF7C019"/>
    <w:rsid w:val="FFF7EE8E"/>
    <w:rsid w:val="FFFD5713"/>
    <w:rsid w:val="FFFD7529"/>
    <w:rsid w:val="FFFDD0C4"/>
    <w:rsid w:val="FFFE6269"/>
    <w:rsid w:val="FFFEF228"/>
    <w:rsid w:val="FFFF2A2E"/>
    <w:rsid w:val="FFFF41F5"/>
    <w:rsid w:val="FFFF4AA0"/>
    <w:rsid w:val="FFFF621A"/>
    <w:rsid w:val="FFFF7695"/>
    <w:rsid w:val="FFFF8639"/>
    <w:rsid w:val="FFFFC395"/>
    <w:rsid w:val="FFFFCFA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qFormat="1" w:unhideWhenUsed="0"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51"/>
    <w:autoRedefine/>
    <w:qFormat/>
    <w:uiPriority w:val="99"/>
    <w:pPr>
      <w:keepNext/>
      <w:keepLines/>
      <w:spacing w:line="360" w:lineRule="auto"/>
      <w:outlineLvl w:val="0"/>
    </w:pPr>
    <w:rPr>
      <w:rFonts w:eastAsia="黑体"/>
      <w:b/>
      <w:bCs/>
      <w:kern w:val="44"/>
      <w:sz w:val="44"/>
      <w:szCs w:val="44"/>
      <w:lang w:val="zh-CN"/>
    </w:rPr>
  </w:style>
  <w:style w:type="paragraph" w:styleId="4">
    <w:name w:val="heading 2"/>
    <w:basedOn w:val="1"/>
    <w:next w:val="1"/>
    <w:link w:val="52"/>
    <w:autoRedefine/>
    <w:qFormat/>
    <w:uiPriority w:val="99"/>
    <w:pPr>
      <w:keepNext/>
      <w:keepLines/>
      <w:spacing w:before="60" w:after="60" w:line="413" w:lineRule="auto"/>
      <w:outlineLvl w:val="1"/>
    </w:pPr>
    <w:rPr>
      <w:rFonts w:ascii="Arial" w:hAnsi="Arial" w:eastAsia="黑体"/>
      <w:b/>
      <w:bCs/>
      <w:sz w:val="32"/>
      <w:szCs w:val="32"/>
      <w:lang w:val="zh-CN"/>
    </w:rPr>
  </w:style>
  <w:style w:type="paragraph" w:styleId="5">
    <w:name w:val="heading 3"/>
    <w:basedOn w:val="1"/>
    <w:next w:val="1"/>
    <w:link w:val="53"/>
    <w:autoRedefine/>
    <w:qFormat/>
    <w:uiPriority w:val="99"/>
    <w:pPr>
      <w:keepNext/>
      <w:keepLines/>
      <w:spacing w:line="360" w:lineRule="auto"/>
      <w:outlineLvl w:val="2"/>
    </w:pPr>
    <w:rPr>
      <w:rFonts w:eastAsia="黑体"/>
      <w:b/>
      <w:bCs/>
      <w:sz w:val="32"/>
      <w:szCs w:val="32"/>
      <w:lang w:val="zh-CN"/>
    </w:rPr>
  </w:style>
  <w:style w:type="paragraph" w:styleId="6">
    <w:name w:val="heading 4"/>
    <w:basedOn w:val="1"/>
    <w:next w:val="1"/>
    <w:link w:val="54"/>
    <w:autoRedefine/>
    <w:qFormat/>
    <w:uiPriority w:val="99"/>
    <w:pPr>
      <w:keepNext/>
      <w:keepLines/>
      <w:spacing w:line="360" w:lineRule="auto"/>
      <w:outlineLvl w:val="3"/>
    </w:pPr>
    <w:rPr>
      <w:rFonts w:ascii="Arial" w:hAnsi="Arial"/>
      <w:b/>
      <w:bCs/>
      <w:sz w:val="28"/>
      <w:szCs w:val="28"/>
    </w:rPr>
  </w:style>
  <w:style w:type="paragraph" w:styleId="7">
    <w:name w:val="heading 5"/>
    <w:basedOn w:val="1"/>
    <w:next w:val="1"/>
    <w:link w:val="55"/>
    <w:autoRedefine/>
    <w:qFormat/>
    <w:uiPriority w:val="99"/>
    <w:pPr>
      <w:keepNext/>
      <w:keepLines/>
      <w:spacing w:before="280" w:after="290" w:line="376" w:lineRule="auto"/>
      <w:outlineLvl w:val="4"/>
    </w:pPr>
    <w:rPr>
      <w:b/>
      <w:bCs/>
      <w:sz w:val="28"/>
      <w:szCs w:val="28"/>
    </w:rPr>
  </w:style>
  <w:style w:type="paragraph" w:styleId="8">
    <w:name w:val="heading 6"/>
    <w:basedOn w:val="1"/>
    <w:next w:val="1"/>
    <w:link w:val="56"/>
    <w:autoRedefine/>
    <w:qFormat/>
    <w:uiPriority w:val="9"/>
    <w:pPr>
      <w:keepNext/>
      <w:keepLines/>
      <w:spacing w:before="240" w:after="64" w:line="317" w:lineRule="auto"/>
      <w:outlineLvl w:val="5"/>
    </w:pPr>
    <w:rPr>
      <w:rFonts w:ascii="Cambria" w:hAnsi="Cambria"/>
      <w:b/>
      <w:bCs/>
      <w:kern w:val="0"/>
      <w:sz w:val="24"/>
      <w:szCs w:val="24"/>
    </w:rPr>
  </w:style>
  <w:style w:type="paragraph" w:styleId="9">
    <w:name w:val="heading 7"/>
    <w:basedOn w:val="1"/>
    <w:next w:val="1"/>
    <w:link w:val="57"/>
    <w:autoRedefine/>
    <w:qFormat/>
    <w:uiPriority w:val="9"/>
    <w:pPr>
      <w:keepNext/>
      <w:keepLines/>
      <w:spacing w:before="240" w:after="64" w:line="317" w:lineRule="auto"/>
      <w:outlineLvl w:val="6"/>
    </w:pPr>
    <w:rPr>
      <w:b/>
      <w:bCs/>
      <w:kern w:val="0"/>
      <w:sz w:val="24"/>
      <w:szCs w:val="24"/>
    </w:rPr>
  </w:style>
  <w:style w:type="paragraph" w:styleId="10">
    <w:name w:val="heading 8"/>
    <w:basedOn w:val="1"/>
    <w:next w:val="1"/>
    <w:link w:val="58"/>
    <w:autoRedefine/>
    <w:qFormat/>
    <w:uiPriority w:val="9"/>
    <w:pPr>
      <w:keepNext/>
      <w:keepLines/>
      <w:spacing w:before="240" w:after="64" w:line="317" w:lineRule="auto"/>
      <w:outlineLvl w:val="7"/>
    </w:pPr>
    <w:rPr>
      <w:rFonts w:ascii="Cambria" w:hAnsi="Cambria"/>
      <w:kern w:val="0"/>
      <w:sz w:val="24"/>
      <w:szCs w:val="24"/>
    </w:rPr>
  </w:style>
  <w:style w:type="paragraph" w:styleId="11">
    <w:name w:val="heading 9"/>
    <w:basedOn w:val="1"/>
    <w:next w:val="1"/>
    <w:link w:val="59"/>
    <w:autoRedefine/>
    <w:qFormat/>
    <w:uiPriority w:val="9"/>
    <w:pPr>
      <w:keepNext/>
      <w:keepLines/>
      <w:spacing w:before="240" w:after="64" w:line="317" w:lineRule="auto"/>
      <w:outlineLvl w:val="8"/>
    </w:pPr>
    <w:rPr>
      <w:rFonts w:ascii="Cambria" w:hAnsi="Cambria"/>
      <w:kern w:val="0"/>
      <w:sz w:val="20"/>
    </w:rPr>
  </w:style>
  <w:style w:type="character" w:default="1" w:styleId="43">
    <w:name w:val="Default Paragraph Font"/>
    <w:autoRedefine/>
    <w:semiHidden/>
    <w:qFormat/>
    <w:uiPriority w:val="99"/>
  </w:style>
  <w:style w:type="table" w:default="1" w:styleId="41">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customStyle="1" w:styleId="2">
    <w:name w:val="正文1"/>
    <w:basedOn w:val="1"/>
    <w:autoRedefine/>
    <w:qFormat/>
    <w:uiPriority w:val="0"/>
    <w:pPr>
      <w:spacing w:line="360" w:lineRule="auto"/>
      <w:ind w:firstLine="200" w:firstLineChars="200"/>
      <w:jc w:val="left"/>
    </w:pPr>
    <w:rPr>
      <w:rFonts w:ascii="Times New Roman)" w:hAnsi="Times New Roman)" w:eastAsia="宋体正文"/>
      <w:color w:val="000000"/>
      <w:kern w:val="0"/>
      <w:sz w:val="24"/>
      <w:lang w:eastAsia="en-US" w:bidi="en-US"/>
    </w:rPr>
  </w:style>
  <w:style w:type="paragraph" w:styleId="12">
    <w:name w:val="toc 7"/>
    <w:basedOn w:val="1"/>
    <w:next w:val="1"/>
    <w:qFormat/>
    <w:uiPriority w:val="39"/>
    <w:pPr>
      <w:ind w:left="2520" w:leftChars="1200"/>
    </w:pPr>
    <w:rPr>
      <w:rFonts w:ascii="Calibri" w:hAnsi="Calibri" w:cs="Calibri"/>
    </w:rPr>
  </w:style>
  <w:style w:type="paragraph" w:styleId="13">
    <w:name w:val="Normal Indent"/>
    <w:basedOn w:val="1"/>
    <w:link w:val="60"/>
    <w:autoRedefine/>
    <w:qFormat/>
    <w:uiPriority w:val="99"/>
    <w:pPr>
      <w:widowControl/>
      <w:ind w:firstLine="420"/>
      <w:jc w:val="left"/>
    </w:pPr>
    <w:rPr>
      <w:sz w:val="20"/>
      <w:szCs w:val="20"/>
    </w:rPr>
  </w:style>
  <w:style w:type="paragraph" w:styleId="14">
    <w:name w:val="caption"/>
    <w:basedOn w:val="1"/>
    <w:next w:val="1"/>
    <w:autoRedefine/>
    <w:qFormat/>
    <w:uiPriority w:val="99"/>
    <w:rPr>
      <w:rFonts w:ascii="Cambria" w:hAnsi="Cambria" w:eastAsia="黑体" w:cs="Cambria"/>
      <w:sz w:val="20"/>
      <w:szCs w:val="20"/>
    </w:rPr>
  </w:style>
  <w:style w:type="paragraph" w:styleId="15">
    <w:name w:val="Document Map"/>
    <w:basedOn w:val="1"/>
    <w:link w:val="61"/>
    <w:autoRedefine/>
    <w:semiHidden/>
    <w:qFormat/>
    <w:uiPriority w:val="99"/>
    <w:pPr>
      <w:shd w:val="clear" w:color="auto" w:fill="000080"/>
    </w:pPr>
    <w:rPr>
      <w:sz w:val="24"/>
      <w:szCs w:val="24"/>
      <w:shd w:val="clear" w:color="auto" w:fill="000080"/>
    </w:rPr>
  </w:style>
  <w:style w:type="paragraph" w:styleId="16">
    <w:name w:val="annotation text"/>
    <w:basedOn w:val="1"/>
    <w:link w:val="62"/>
    <w:qFormat/>
    <w:uiPriority w:val="0"/>
    <w:pPr>
      <w:jc w:val="left"/>
    </w:pPr>
    <w:rPr>
      <w:sz w:val="24"/>
      <w:szCs w:val="24"/>
    </w:rPr>
  </w:style>
  <w:style w:type="paragraph" w:styleId="17">
    <w:name w:val="Body Text"/>
    <w:basedOn w:val="1"/>
    <w:link w:val="63"/>
    <w:qFormat/>
    <w:uiPriority w:val="99"/>
    <w:pPr>
      <w:adjustRightInd w:val="0"/>
      <w:spacing w:after="60" w:line="360" w:lineRule="atLeast"/>
      <w:ind w:left="72" w:leftChars="30" w:right="30" w:rightChars="30"/>
      <w:jc w:val="center"/>
      <w:textAlignment w:val="baseline"/>
    </w:pPr>
    <w:rPr>
      <w:sz w:val="22"/>
      <w:szCs w:val="22"/>
    </w:rPr>
  </w:style>
  <w:style w:type="paragraph" w:styleId="18">
    <w:name w:val="Body Text Indent"/>
    <w:basedOn w:val="1"/>
    <w:link w:val="64"/>
    <w:qFormat/>
    <w:uiPriority w:val="99"/>
    <w:pPr>
      <w:spacing w:before="240" w:line="360" w:lineRule="auto"/>
      <w:ind w:firstLine="552" w:firstLineChars="263"/>
    </w:pPr>
    <w:rPr>
      <w:rFonts w:ascii="宋体"/>
    </w:rPr>
  </w:style>
  <w:style w:type="paragraph" w:styleId="19">
    <w:name w:val="index 4"/>
    <w:basedOn w:val="1"/>
    <w:next w:val="1"/>
    <w:autoRedefine/>
    <w:semiHidden/>
    <w:qFormat/>
    <w:uiPriority w:val="99"/>
    <w:pPr>
      <w:ind w:left="600" w:leftChars="600"/>
    </w:pPr>
  </w:style>
  <w:style w:type="paragraph" w:styleId="20">
    <w:name w:val="toc 5"/>
    <w:basedOn w:val="1"/>
    <w:next w:val="1"/>
    <w:autoRedefine/>
    <w:qFormat/>
    <w:uiPriority w:val="39"/>
    <w:pPr>
      <w:ind w:left="1680" w:leftChars="800"/>
    </w:pPr>
    <w:rPr>
      <w:rFonts w:ascii="Calibri" w:hAnsi="Calibri" w:cs="Calibri"/>
    </w:rPr>
  </w:style>
  <w:style w:type="paragraph" w:styleId="21">
    <w:name w:val="toc 3"/>
    <w:basedOn w:val="1"/>
    <w:next w:val="1"/>
    <w:qFormat/>
    <w:uiPriority w:val="39"/>
    <w:pPr>
      <w:ind w:left="840" w:leftChars="400"/>
    </w:pPr>
  </w:style>
  <w:style w:type="paragraph" w:styleId="22">
    <w:name w:val="Plain Text"/>
    <w:basedOn w:val="1"/>
    <w:link w:val="65"/>
    <w:autoRedefine/>
    <w:qFormat/>
    <w:uiPriority w:val="0"/>
    <w:rPr>
      <w:rFonts w:ascii="宋体" w:hAnsi="Courier New"/>
      <w:sz w:val="24"/>
      <w:szCs w:val="24"/>
    </w:rPr>
  </w:style>
  <w:style w:type="paragraph" w:styleId="23">
    <w:name w:val="toc 8"/>
    <w:basedOn w:val="1"/>
    <w:next w:val="1"/>
    <w:autoRedefine/>
    <w:qFormat/>
    <w:uiPriority w:val="39"/>
    <w:pPr>
      <w:ind w:left="2940" w:leftChars="1400"/>
    </w:pPr>
    <w:rPr>
      <w:rFonts w:ascii="Calibri" w:hAnsi="Calibri" w:cs="Calibri"/>
    </w:rPr>
  </w:style>
  <w:style w:type="paragraph" w:styleId="24">
    <w:name w:val="Date"/>
    <w:basedOn w:val="1"/>
    <w:next w:val="1"/>
    <w:link w:val="66"/>
    <w:autoRedefine/>
    <w:qFormat/>
    <w:uiPriority w:val="99"/>
    <w:pPr>
      <w:ind w:left="100" w:leftChars="2500"/>
    </w:pPr>
    <w:rPr>
      <w:sz w:val="24"/>
      <w:szCs w:val="24"/>
    </w:rPr>
  </w:style>
  <w:style w:type="paragraph" w:styleId="25">
    <w:name w:val="Body Text Indent 2"/>
    <w:basedOn w:val="1"/>
    <w:link w:val="67"/>
    <w:autoRedefine/>
    <w:qFormat/>
    <w:uiPriority w:val="99"/>
    <w:pPr>
      <w:spacing w:after="120" w:line="480" w:lineRule="auto"/>
      <w:ind w:left="420" w:leftChars="200"/>
    </w:pPr>
    <w:rPr>
      <w:sz w:val="24"/>
      <w:szCs w:val="24"/>
    </w:rPr>
  </w:style>
  <w:style w:type="paragraph" w:styleId="26">
    <w:name w:val="Balloon Text"/>
    <w:basedOn w:val="1"/>
    <w:link w:val="68"/>
    <w:autoRedefine/>
    <w:semiHidden/>
    <w:qFormat/>
    <w:uiPriority w:val="99"/>
    <w:rPr>
      <w:sz w:val="18"/>
      <w:szCs w:val="18"/>
    </w:rPr>
  </w:style>
  <w:style w:type="paragraph" w:styleId="27">
    <w:name w:val="footer"/>
    <w:basedOn w:val="1"/>
    <w:link w:val="69"/>
    <w:autoRedefine/>
    <w:qFormat/>
    <w:uiPriority w:val="99"/>
    <w:pPr>
      <w:tabs>
        <w:tab w:val="center" w:pos="4153"/>
        <w:tab w:val="right" w:pos="8306"/>
      </w:tabs>
      <w:snapToGrid w:val="0"/>
      <w:jc w:val="left"/>
    </w:pPr>
    <w:rPr>
      <w:sz w:val="18"/>
      <w:szCs w:val="18"/>
    </w:rPr>
  </w:style>
  <w:style w:type="paragraph" w:styleId="28">
    <w:name w:val="header"/>
    <w:basedOn w:val="1"/>
    <w:link w:val="74"/>
    <w:autoRedefine/>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spacing w:before="60" w:line="400" w:lineRule="exact"/>
    </w:pPr>
    <w:rPr>
      <w:rFonts w:eastAsia="黑体"/>
    </w:rPr>
  </w:style>
  <w:style w:type="paragraph" w:styleId="30">
    <w:name w:val="toc 4"/>
    <w:basedOn w:val="1"/>
    <w:next w:val="1"/>
    <w:autoRedefine/>
    <w:qFormat/>
    <w:uiPriority w:val="39"/>
    <w:pPr>
      <w:ind w:left="1260" w:leftChars="600"/>
    </w:pPr>
    <w:rPr>
      <w:rFonts w:ascii="Calibri" w:hAnsi="Calibri" w:cs="Calibri"/>
    </w:rPr>
  </w:style>
  <w:style w:type="paragraph" w:styleId="31">
    <w:name w:val="Subtitle"/>
    <w:basedOn w:val="1"/>
    <w:next w:val="1"/>
    <w:link w:val="70"/>
    <w:qFormat/>
    <w:uiPriority w:val="11"/>
    <w:pPr>
      <w:spacing w:before="240" w:after="60" w:line="312" w:lineRule="auto"/>
      <w:jc w:val="center"/>
      <w:outlineLvl w:val="1"/>
    </w:pPr>
    <w:rPr>
      <w:rFonts w:ascii="Cambria" w:hAnsi="Cambria"/>
      <w:b/>
      <w:bCs/>
      <w:kern w:val="28"/>
      <w:sz w:val="32"/>
      <w:szCs w:val="32"/>
    </w:rPr>
  </w:style>
  <w:style w:type="paragraph" w:styleId="32">
    <w:name w:val="footnote text"/>
    <w:basedOn w:val="1"/>
    <w:link w:val="71"/>
    <w:semiHidden/>
    <w:qFormat/>
    <w:uiPriority w:val="99"/>
    <w:pPr>
      <w:adjustRightInd w:val="0"/>
      <w:spacing w:line="312" w:lineRule="atLeast"/>
      <w:jc w:val="left"/>
      <w:textAlignment w:val="baseline"/>
    </w:pPr>
    <w:rPr>
      <w:kern w:val="0"/>
      <w:sz w:val="18"/>
      <w:szCs w:val="18"/>
    </w:rPr>
  </w:style>
  <w:style w:type="paragraph" w:styleId="33">
    <w:name w:val="toc 6"/>
    <w:basedOn w:val="1"/>
    <w:next w:val="1"/>
    <w:autoRedefine/>
    <w:qFormat/>
    <w:uiPriority w:val="39"/>
    <w:pPr>
      <w:ind w:left="2100" w:leftChars="1000"/>
    </w:pPr>
    <w:rPr>
      <w:rFonts w:ascii="Calibri" w:hAnsi="Calibri" w:cs="Calibri"/>
    </w:rPr>
  </w:style>
  <w:style w:type="paragraph" w:styleId="34">
    <w:name w:val="toc 2"/>
    <w:basedOn w:val="1"/>
    <w:next w:val="1"/>
    <w:qFormat/>
    <w:uiPriority w:val="39"/>
    <w:pPr>
      <w:ind w:left="420" w:leftChars="200"/>
    </w:pPr>
    <w:rPr>
      <w:rFonts w:ascii="Calibri" w:hAnsi="Calibri" w:cs="Calibri"/>
    </w:rPr>
  </w:style>
  <w:style w:type="paragraph" w:styleId="35">
    <w:name w:val="toc 9"/>
    <w:basedOn w:val="1"/>
    <w:next w:val="1"/>
    <w:autoRedefine/>
    <w:qFormat/>
    <w:uiPriority w:val="39"/>
    <w:pPr>
      <w:ind w:left="3360" w:leftChars="1600"/>
    </w:pPr>
    <w:rPr>
      <w:rFonts w:ascii="Calibri" w:hAnsi="Calibri" w:cs="Calibri"/>
    </w:rPr>
  </w:style>
  <w:style w:type="paragraph" w:styleId="36">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7">
    <w:name w:val="Normal (Web)"/>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styleId="38">
    <w:name w:val="Title"/>
    <w:basedOn w:val="1"/>
    <w:next w:val="1"/>
    <w:link w:val="72"/>
    <w:autoRedefine/>
    <w:qFormat/>
    <w:uiPriority w:val="99"/>
    <w:pPr>
      <w:spacing w:before="240" w:after="60"/>
      <w:jc w:val="center"/>
      <w:outlineLvl w:val="0"/>
    </w:pPr>
    <w:rPr>
      <w:rFonts w:ascii="Cambria" w:hAnsi="Cambria"/>
      <w:b/>
      <w:bCs/>
      <w:sz w:val="32"/>
      <w:szCs w:val="32"/>
    </w:rPr>
  </w:style>
  <w:style w:type="paragraph" w:styleId="39">
    <w:name w:val="annotation subject"/>
    <w:basedOn w:val="16"/>
    <w:next w:val="16"/>
    <w:link w:val="73"/>
    <w:autoRedefine/>
    <w:semiHidden/>
    <w:qFormat/>
    <w:uiPriority w:val="99"/>
    <w:rPr>
      <w:b/>
      <w:bCs/>
    </w:rPr>
  </w:style>
  <w:style w:type="paragraph" w:styleId="40">
    <w:name w:val="Body Text First Indent"/>
    <w:basedOn w:val="17"/>
    <w:autoRedefine/>
    <w:qFormat/>
    <w:uiPriority w:val="0"/>
    <w:pPr>
      <w:widowControl w:val="0"/>
      <w:spacing w:before="0" w:after="120"/>
      <w:ind w:left="0" w:right="0" w:firstLine="420" w:firstLineChars="100"/>
      <w:jc w:val="both"/>
    </w:pPr>
    <w:rPr>
      <w:rFonts w:ascii="Times New Roman" w:hAnsi="Times New Roman" w:eastAsia="宋体" w:cs="Times New Roman"/>
      <w:kern w:val="2"/>
      <w:sz w:val="21"/>
      <w:szCs w:val="24"/>
      <w:lang w:val="en-US" w:eastAsia="zh-CN" w:bidi="ar-SA"/>
    </w:rPr>
  </w:style>
  <w:style w:type="table" w:styleId="42">
    <w:name w:val="Table Grid"/>
    <w:basedOn w:val="4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autoRedefine/>
    <w:qFormat/>
    <w:uiPriority w:val="22"/>
    <w:rPr>
      <w:b/>
      <w:bCs/>
    </w:rPr>
  </w:style>
  <w:style w:type="character" w:styleId="45">
    <w:name w:val="page number"/>
    <w:autoRedefine/>
    <w:qFormat/>
    <w:uiPriority w:val="99"/>
  </w:style>
  <w:style w:type="character" w:styleId="46">
    <w:name w:val="FollowedHyperlink"/>
    <w:autoRedefine/>
    <w:qFormat/>
    <w:uiPriority w:val="99"/>
    <w:rPr>
      <w:color w:val="800080"/>
      <w:u w:val="single"/>
    </w:rPr>
  </w:style>
  <w:style w:type="character" w:styleId="47">
    <w:name w:val="Emphasis"/>
    <w:autoRedefine/>
    <w:qFormat/>
    <w:uiPriority w:val="99"/>
    <w:rPr>
      <w:i/>
      <w:iCs/>
    </w:rPr>
  </w:style>
  <w:style w:type="character" w:styleId="48">
    <w:name w:val="Hyperlink"/>
    <w:basedOn w:val="43"/>
    <w:autoRedefine/>
    <w:qFormat/>
    <w:uiPriority w:val="99"/>
    <w:rPr>
      <w:color w:val="0000FF"/>
      <w:u w:val="single"/>
    </w:rPr>
  </w:style>
  <w:style w:type="character" w:styleId="49">
    <w:name w:val="annotation reference"/>
    <w:autoRedefine/>
    <w:qFormat/>
    <w:uiPriority w:val="0"/>
    <w:rPr>
      <w:sz w:val="21"/>
      <w:szCs w:val="21"/>
    </w:rPr>
  </w:style>
  <w:style w:type="character" w:customStyle="1" w:styleId="50">
    <w:name w:val="页眉 Char"/>
    <w:basedOn w:val="43"/>
    <w:link w:val="28"/>
    <w:autoRedefine/>
    <w:qFormat/>
    <w:uiPriority w:val="0"/>
    <w:rPr>
      <w:rFonts w:hint="default" w:ascii="Calibri" w:hAnsi="Calibri" w:cs="Calibri"/>
      <w:kern w:val="2"/>
      <w:sz w:val="18"/>
      <w:szCs w:val="18"/>
    </w:rPr>
  </w:style>
  <w:style w:type="character" w:customStyle="1" w:styleId="51">
    <w:name w:val="标题 1 字符"/>
    <w:link w:val="3"/>
    <w:autoRedefine/>
    <w:qFormat/>
    <w:locked/>
    <w:uiPriority w:val="99"/>
    <w:rPr>
      <w:rFonts w:eastAsia="黑体"/>
      <w:b/>
      <w:bCs/>
      <w:kern w:val="44"/>
      <w:sz w:val="44"/>
      <w:szCs w:val="44"/>
      <w:lang w:val="zh-CN" w:eastAsia="zh-CN"/>
    </w:rPr>
  </w:style>
  <w:style w:type="character" w:customStyle="1" w:styleId="52">
    <w:name w:val="标题 2 字符"/>
    <w:link w:val="4"/>
    <w:autoRedefine/>
    <w:qFormat/>
    <w:locked/>
    <w:uiPriority w:val="99"/>
    <w:rPr>
      <w:rFonts w:ascii="Arial" w:hAnsi="Arial" w:eastAsia="黑体" w:cs="Arial"/>
      <w:b/>
      <w:bCs/>
      <w:kern w:val="2"/>
      <w:sz w:val="32"/>
      <w:szCs w:val="32"/>
      <w:lang w:val="zh-CN" w:eastAsia="zh-CN"/>
    </w:rPr>
  </w:style>
  <w:style w:type="character" w:customStyle="1" w:styleId="53">
    <w:name w:val="标题 3 字符"/>
    <w:link w:val="5"/>
    <w:autoRedefine/>
    <w:qFormat/>
    <w:locked/>
    <w:uiPriority w:val="99"/>
    <w:rPr>
      <w:rFonts w:eastAsia="黑体"/>
      <w:b/>
      <w:bCs/>
      <w:kern w:val="2"/>
      <w:sz w:val="32"/>
      <w:szCs w:val="32"/>
      <w:lang w:val="zh-CN" w:eastAsia="zh-CN"/>
    </w:rPr>
  </w:style>
  <w:style w:type="character" w:customStyle="1" w:styleId="54">
    <w:name w:val="标题 4 字符"/>
    <w:link w:val="6"/>
    <w:autoRedefine/>
    <w:qFormat/>
    <w:locked/>
    <w:uiPriority w:val="99"/>
    <w:rPr>
      <w:rFonts w:ascii="Arial" w:hAnsi="Arial" w:eastAsia="宋体" w:cs="Arial"/>
      <w:b/>
      <w:bCs/>
      <w:kern w:val="2"/>
      <w:sz w:val="28"/>
      <w:szCs w:val="28"/>
      <w:lang w:val="en-US" w:eastAsia="zh-CN"/>
    </w:rPr>
  </w:style>
  <w:style w:type="character" w:customStyle="1" w:styleId="55">
    <w:name w:val="标题 5 字符"/>
    <w:link w:val="7"/>
    <w:autoRedefine/>
    <w:qFormat/>
    <w:locked/>
    <w:uiPriority w:val="99"/>
    <w:rPr>
      <w:rFonts w:eastAsia="宋体"/>
      <w:b/>
      <w:bCs/>
      <w:kern w:val="2"/>
      <w:sz w:val="28"/>
      <w:szCs w:val="28"/>
      <w:lang w:val="en-US" w:eastAsia="zh-CN"/>
    </w:rPr>
  </w:style>
  <w:style w:type="character" w:customStyle="1" w:styleId="56">
    <w:name w:val="标题 6 字符"/>
    <w:link w:val="8"/>
    <w:autoRedefine/>
    <w:semiHidden/>
    <w:qFormat/>
    <w:uiPriority w:val="9"/>
    <w:rPr>
      <w:rFonts w:ascii="Cambria" w:hAnsi="Cambria" w:eastAsia="宋体" w:cs="Times New Roman"/>
      <w:b/>
      <w:bCs/>
      <w:sz w:val="24"/>
      <w:szCs w:val="24"/>
    </w:rPr>
  </w:style>
  <w:style w:type="character" w:customStyle="1" w:styleId="57">
    <w:name w:val="标题 7 字符"/>
    <w:link w:val="9"/>
    <w:autoRedefine/>
    <w:semiHidden/>
    <w:qFormat/>
    <w:uiPriority w:val="9"/>
    <w:rPr>
      <w:b/>
      <w:bCs/>
      <w:sz w:val="24"/>
      <w:szCs w:val="24"/>
    </w:rPr>
  </w:style>
  <w:style w:type="character" w:customStyle="1" w:styleId="58">
    <w:name w:val="标题 8 字符"/>
    <w:link w:val="10"/>
    <w:autoRedefine/>
    <w:semiHidden/>
    <w:qFormat/>
    <w:uiPriority w:val="9"/>
    <w:rPr>
      <w:rFonts w:ascii="Cambria" w:hAnsi="Cambria" w:eastAsia="宋体" w:cs="Times New Roman"/>
      <w:sz w:val="24"/>
      <w:szCs w:val="24"/>
    </w:rPr>
  </w:style>
  <w:style w:type="character" w:customStyle="1" w:styleId="59">
    <w:name w:val="标题 9 字符"/>
    <w:link w:val="11"/>
    <w:autoRedefine/>
    <w:semiHidden/>
    <w:qFormat/>
    <w:uiPriority w:val="9"/>
    <w:rPr>
      <w:rFonts w:ascii="Cambria" w:hAnsi="Cambria" w:eastAsia="宋体" w:cs="Times New Roman"/>
      <w:szCs w:val="21"/>
    </w:rPr>
  </w:style>
  <w:style w:type="character" w:customStyle="1" w:styleId="60">
    <w:name w:val="正文缩进 Char"/>
    <w:link w:val="13"/>
    <w:autoRedefine/>
    <w:qFormat/>
    <w:uiPriority w:val="99"/>
    <w:rPr>
      <w:sz w:val="20"/>
      <w:szCs w:val="20"/>
    </w:rPr>
  </w:style>
  <w:style w:type="character" w:customStyle="1" w:styleId="61">
    <w:name w:val="文档结构图 字符"/>
    <w:link w:val="15"/>
    <w:autoRedefine/>
    <w:qFormat/>
    <w:locked/>
    <w:uiPriority w:val="99"/>
    <w:rPr>
      <w:kern w:val="2"/>
      <w:sz w:val="24"/>
      <w:szCs w:val="24"/>
      <w:shd w:val="clear" w:color="auto" w:fill="000080"/>
    </w:rPr>
  </w:style>
  <w:style w:type="character" w:customStyle="1" w:styleId="62">
    <w:name w:val="批注文字 字符"/>
    <w:link w:val="16"/>
    <w:autoRedefine/>
    <w:qFormat/>
    <w:locked/>
    <w:uiPriority w:val="0"/>
    <w:rPr>
      <w:rFonts w:eastAsia="宋体"/>
      <w:kern w:val="2"/>
      <w:sz w:val="24"/>
      <w:szCs w:val="24"/>
      <w:lang w:val="en-US" w:eastAsia="zh-CN"/>
    </w:rPr>
  </w:style>
  <w:style w:type="character" w:customStyle="1" w:styleId="63">
    <w:name w:val="正文文本 字符"/>
    <w:link w:val="17"/>
    <w:autoRedefine/>
    <w:qFormat/>
    <w:locked/>
    <w:uiPriority w:val="99"/>
    <w:rPr>
      <w:rFonts w:eastAsia="宋体"/>
      <w:kern w:val="2"/>
      <w:sz w:val="22"/>
      <w:szCs w:val="22"/>
      <w:lang w:val="en-US" w:eastAsia="zh-CN"/>
    </w:rPr>
  </w:style>
  <w:style w:type="character" w:customStyle="1" w:styleId="64">
    <w:name w:val="正文文本缩进 字符"/>
    <w:link w:val="18"/>
    <w:autoRedefine/>
    <w:qFormat/>
    <w:locked/>
    <w:uiPriority w:val="99"/>
    <w:rPr>
      <w:rFonts w:ascii="宋体" w:eastAsia="宋体" w:cs="宋体"/>
      <w:kern w:val="2"/>
      <w:sz w:val="21"/>
      <w:szCs w:val="21"/>
    </w:rPr>
  </w:style>
  <w:style w:type="character" w:customStyle="1" w:styleId="65">
    <w:name w:val="纯文本 字符"/>
    <w:link w:val="22"/>
    <w:autoRedefine/>
    <w:qFormat/>
    <w:locked/>
    <w:uiPriority w:val="0"/>
    <w:rPr>
      <w:rFonts w:ascii="宋体" w:hAnsi="Courier New" w:eastAsia="宋体" w:cs="宋体"/>
      <w:kern w:val="2"/>
      <w:sz w:val="24"/>
      <w:szCs w:val="24"/>
      <w:lang w:val="en-US" w:eastAsia="zh-CN"/>
    </w:rPr>
  </w:style>
  <w:style w:type="character" w:customStyle="1" w:styleId="66">
    <w:name w:val="日期 字符"/>
    <w:link w:val="24"/>
    <w:autoRedefine/>
    <w:qFormat/>
    <w:locked/>
    <w:uiPriority w:val="99"/>
    <w:rPr>
      <w:kern w:val="2"/>
      <w:sz w:val="24"/>
      <w:szCs w:val="24"/>
    </w:rPr>
  </w:style>
  <w:style w:type="character" w:customStyle="1" w:styleId="67">
    <w:name w:val="正文文本缩进 2 字符"/>
    <w:link w:val="25"/>
    <w:autoRedefine/>
    <w:qFormat/>
    <w:locked/>
    <w:uiPriority w:val="99"/>
    <w:rPr>
      <w:kern w:val="2"/>
      <w:sz w:val="24"/>
      <w:szCs w:val="24"/>
    </w:rPr>
  </w:style>
  <w:style w:type="character" w:customStyle="1" w:styleId="68">
    <w:name w:val="批注框文本 字符"/>
    <w:link w:val="26"/>
    <w:autoRedefine/>
    <w:qFormat/>
    <w:locked/>
    <w:uiPriority w:val="99"/>
    <w:rPr>
      <w:kern w:val="2"/>
      <w:sz w:val="18"/>
      <w:szCs w:val="18"/>
    </w:rPr>
  </w:style>
  <w:style w:type="character" w:customStyle="1" w:styleId="69">
    <w:name w:val="页脚 字符"/>
    <w:link w:val="27"/>
    <w:autoRedefine/>
    <w:qFormat/>
    <w:locked/>
    <w:uiPriority w:val="99"/>
    <w:rPr>
      <w:kern w:val="2"/>
      <w:sz w:val="18"/>
      <w:szCs w:val="18"/>
    </w:rPr>
  </w:style>
  <w:style w:type="character" w:customStyle="1" w:styleId="70">
    <w:name w:val="副标题 字符"/>
    <w:link w:val="31"/>
    <w:autoRedefine/>
    <w:qFormat/>
    <w:uiPriority w:val="11"/>
    <w:rPr>
      <w:rFonts w:ascii="Cambria" w:hAnsi="Cambria" w:cs="Times New Roman"/>
      <w:b/>
      <w:bCs/>
      <w:kern w:val="28"/>
      <w:sz w:val="32"/>
      <w:szCs w:val="32"/>
    </w:rPr>
  </w:style>
  <w:style w:type="character" w:customStyle="1" w:styleId="71">
    <w:name w:val="脚注文本 字符"/>
    <w:link w:val="32"/>
    <w:autoRedefine/>
    <w:qFormat/>
    <w:locked/>
    <w:uiPriority w:val="99"/>
    <w:rPr>
      <w:sz w:val="18"/>
      <w:szCs w:val="18"/>
    </w:rPr>
  </w:style>
  <w:style w:type="character" w:customStyle="1" w:styleId="72">
    <w:name w:val="标题 字符"/>
    <w:link w:val="38"/>
    <w:autoRedefine/>
    <w:qFormat/>
    <w:locked/>
    <w:uiPriority w:val="99"/>
    <w:rPr>
      <w:rFonts w:ascii="Cambria" w:hAnsi="Cambria" w:cs="Cambria"/>
      <w:b/>
      <w:bCs/>
      <w:kern w:val="2"/>
      <w:sz w:val="32"/>
      <w:szCs w:val="32"/>
    </w:rPr>
  </w:style>
  <w:style w:type="character" w:customStyle="1" w:styleId="73">
    <w:name w:val="批注主题 字符"/>
    <w:link w:val="39"/>
    <w:autoRedefine/>
    <w:qFormat/>
    <w:locked/>
    <w:uiPriority w:val="99"/>
    <w:rPr>
      <w:b/>
      <w:bCs/>
      <w:kern w:val="2"/>
      <w:sz w:val="24"/>
      <w:szCs w:val="24"/>
    </w:rPr>
  </w:style>
  <w:style w:type="character" w:customStyle="1" w:styleId="74">
    <w:name w:val="页眉 字符"/>
    <w:link w:val="28"/>
    <w:autoRedefine/>
    <w:qFormat/>
    <w:locked/>
    <w:uiPriority w:val="99"/>
    <w:rPr>
      <w:kern w:val="2"/>
      <w:sz w:val="18"/>
      <w:szCs w:val="18"/>
    </w:rPr>
  </w:style>
  <w:style w:type="character" w:customStyle="1" w:styleId="75">
    <w:name w:val="明显强调1"/>
    <w:autoRedefine/>
    <w:qFormat/>
    <w:uiPriority w:val="99"/>
    <w:rPr>
      <w:b/>
      <w:bCs/>
      <w:i/>
      <w:iCs/>
      <w:color w:val="4F81BD"/>
    </w:rPr>
  </w:style>
  <w:style w:type="character" w:customStyle="1" w:styleId="76">
    <w:name w:val="Comment Text Char"/>
    <w:autoRedefine/>
    <w:qFormat/>
    <w:uiPriority w:val="99"/>
    <w:rPr>
      <w:sz w:val="24"/>
      <w:szCs w:val="24"/>
    </w:rPr>
  </w:style>
  <w:style w:type="character" w:customStyle="1" w:styleId="77">
    <w:name w:val="Comment Text Char1"/>
    <w:autoRedefine/>
    <w:qFormat/>
    <w:uiPriority w:val="99"/>
    <w:rPr>
      <w:sz w:val="24"/>
      <w:szCs w:val="24"/>
    </w:rPr>
  </w:style>
  <w:style w:type="character" w:customStyle="1" w:styleId="78">
    <w:name w:val="Footer Char"/>
    <w:autoRedefine/>
    <w:qFormat/>
    <w:uiPriority w:val="99"/>
    <w:rPr>
      <w:rFonts w:eastAsia="宋体"/>
      <w:kern w:val="2"/>
      <w:sz w:val="18"/>
      <w:szCs w:val="18"/>
      <w:lang w:val="en-US" w:eastAsia="zh-CN"/>
    </w:rPr>
  </w:style>
  <w:style w:type="character" w:customStyle="1" w:styleId="79">
    <w:name w:val="批注文字 Char1"/>
    <w:autoRedefine/>
    <w:qFormat/>
    <w:uiPriority w:val="99"/>
    <w:rPr>
      <w:rFonts w:ascii="Times New Roman" w:hAnsi="Times New Roman" w:eastAsia="宋体" w:cs="Times New Roman"/>
      <w:sz w:val="24"/>
      <w:szCs w:val="24"/>
    </w:rPr>
  </w:style>
  <w:style w:type="character" w:customStyle="1" w:styleId="80">
    <w:name w:val="书籍标题1"/>
    <w:autoRedefine/>
    <w:qFormat/>
    <w:uiPriority w:val="99"/>
    <w:rPr>
      <w:b/>
      <w:bCs/>
      <w:smallCaps/>
      <w:spacing w:val="5"/>
    </w:rPr>
  </w:style>
  <w:style w:type="character" w:customStyle="1" w:styleId="81">
    <w:name w:val="Heading 1 Char"/>
    <w:autoRedefine/>
    <w:qFormat/>
    <w:uiPriority w:val="99"/>
    <w:rPr>
      <w:rFonts w:eastAsia="宋体"/>
      <w:b/>
      <w:bCs/>
      <w:kern w:val="44"/>
      <w:sz w:val="44"/>
      <w:szCs w:val="44"/>
      <w:lang w:val="en-US" w:eastAsia="zh-CN"/>
    </w:rPr>
  </w:style>
  <w:style w:type="character" w:customStyle="1" w:styleId="82">
    <w:name w:val="标题 Char2"/>
    <w:autoRedefine/>
    <w:qFormat/>
    <w:uiPriority w:val="99"/>
    <w:rPr>
      <w:rFonts w:ascii="Cambria" w:hAnsi="Cambria" w:eastAsia="宋体" w:cs="Cambria"/>
      <w:b/>
      <w:bCs/>
      <w:sz w:val="32"/>
      <w:szCs w:val="32"/>
    </w:rPr>
  </w:style>
  <w:style w:type="character" w:customStyle="1" w:styleId="83">
    <w:name w:val="正文文本 Char1"/>
    <w:autoRedefine/>
    <w:qFormat/>
    <w:uiPriority w:val="99"/>
    <w:rPr>
      <w:kern w:val="2"/>
      <w:sz w:val="22"/>
      <w:szCs w:val="22"/>
    </w:rPr>
  </w:style>
  <w:style w:type="character" w:customStyle="1" w:styleId="84">
    <w:name w:val="标题4 Char Char"/>
    <w:link w:val="85"/>
    <w:autoRedefine/>
    <w:qFormat/>
    <w:locked/>
    <w:uiPriority w:val="99"/>
    <w:rPr>
      <w:rFonts w:ascii="Arial" w:hAnsi="Arial" w:cs="Arial"/>
      <w:b/>
      <w:bCs/>
      <w:sz w:val="32"/>
      <w:szCs w:val="32"/>
    </w:rPr>
  </w:style>
  <w:style w:type="paragraph" w:customStyle="1" w:styleId="85">
    <w:name w:val="标题4"/>
    <w:basedOn w:val="4"/>
    <w:next w:val="19"/>
    <w:link w:val="84"/>
    <w:autoRedefine/>
    <w:qFormat/>
    <w:uiPriority w:val="99"/>
    <w:rPr>
      <w:rFonts w:eastAsia="宋体"/>
      <w:kern w:val="0"/>
    </w:rPr>
  </w:style>
  <w:style w:type="character" w:customStyle="1" w:styleId="86">
    <w:name w:val="Char Char19"/>
    <w:autoRedefine/>
    <w:qFormat/>
    <w:uiPriority w:val="99"/>
    <w:rPr>
      <w:rFonts w:ascii="Arial" w:hAnsi="Arial" w:eastAsia="宋体" w:cs="Arial"/>
      <w:b/>
      <w:bCs/>
      <w:sz w:val="28"/>
      <w:szCs w:val="28"/>
    </w:rPr>
  </w:style>
  <w:style w:type="character" w:customStyle="1" w:styleId="87">
    <w:name w:val="Body Text Indent Char"/>
    <w:autoRedefine/>
    <w:qFormat/>
    <w:uiPriority w:val="99"/>
    <w:rPr>
      <w:rFonts w:ascii="宋体" w:hAnsi="宋体" w:eastAsia="宋体" w:cs="宋体"/>
      <w:kern w:val="2"/>
      <w:sz w:val="21"/>
      <w:szCs w:val="21"/>
      <w:lang w:val="en-US" w:eastAsia="zh-CN"/>
    </w:rPr>
  </w:style>
  <w:style w:type="character" w:customStyle="1" w:styleId="88">
    <w:name w:val="Heading 3 Char1"/>
    <w:autoRedefine/>
    <w:qFormat/>
    <w:uiPriority w:val="99"/>
    <w:rPr>
      <w:rFonts w:eastAsia="宋体"/>
      <w:b/>
      <w:bCs/>
      <w:kern w:val="2"/>
      <w:sz w:val="32"/>
      <w:szCs w:val="32"/>
      <w:lang w:val="en-US" w:eastAsia="zh-CN"/>
    </w:rPr>
  </w:style>
  <w:style w:type="character" w:customStyle="1" w:styleId="89">
    <w:name w:val="textcontents"/>
    <w:autoRedefine/>
    <w:qFormat/>
    <w:uiPriority w:val="99"/>
  </w:style>
  <w:style w:type="character" w:customStyle="1" w:styleId="90">
    <w:name w:val="Body Text Indent 2 Char"/>
    <w:autoRedefine/>
    <w:qFormat/>
    <w:uiPriority w:val="99"/>
    <w:rPr>
      <w:rFonts w:eastAsia="宋体"/>
      <w:kern w:val="2"/>
      <w:sz w:val="24"/>
      <w:szCs w:val="24"/>
      <w:lang w:val="en-US" w:eastAsia="zh-CN"/>
    </w:rPr>
  </w:style>
  <w:style w:type="character" w:customStyle="1" w:styleId="91">
    <w:name w:val="Char Char22"/>
    <w:autoRedefine/>
    <w:qFormat/>
    <w:uiPriority w:val="99"/>
    <w:rPr>
      <w:rFonts w:ascii="Times New Roman" w:hAnsi="Times New Roman" w:eastAsia="宋体" w:cs="Times New Roman"/>
      <w:b/>
      <w:bCs/>
      <w:kern w:val="44"/>
      <w:sz w:val="44"/>
      <w:szCs w:val="44"/>
    </w:rPr>
  </w:style>
  <w:style w:type="character" w:customStyle="1" w:styleId="92">
    <w:name w:val="批注文字 Char Char"/>
    <w:autoRedefine/>
    <w:qFormat/>
    <w:uiPriority w:val="99"/>
    <w:rPr>
      <w:rFonts w:ascii="宋体" w:hAnsi="Times New Roman" w:eastAsia="宋体" w:cs="宋体"/>
      <w:sz w:val="20"/>
      <w:szCs w:val="20"/>
    </w:rPr>
  </w:style>
  <w:style w:type="character" w:customStyle="1" w:styleId="93">
    <w:name w:val="不明显强调1"/>
    <w:autoRedefine/>
    <w:qFormat/>
    <w:uiPriority w:val="99"/>
    <w:rPr>
      <w:i/>
      <w:iCs/>
      <w:color w:val="808080"/>
    </w:rPr>
  </w:style>
  <w:style w:type="character" w:customStyle="1" w:styleId="94">
    <w:name w:val="批注框文本 Char1"/>
    <w:autoRedefine/>
    <w:qFormat/>
    <w:uiPriority w:val="99"/>
    <w:rPr>
      <w:rFonts w:ascii="Times New Roman" w:hAnsi="Times New Roman" w:eastAsia="宋体" w:cs="Times New Roman"/>
      <w:sz w:val="18"/>
      <w:szCs w:val="18"/>
    </w:rPr>
  </w:style>
  <w:style w:type="character" w:customStyle="1" w:styleId="95">
    <w:name w:val="日期 Char1"/>
    <w:autoRedefine/>
    <w:qFormat/>
    <w:uiPriority w:val="99"/>
    <w:rPr>
      <w:rFonts w:ascii="Times New Roman" w:hAnsi="Times New Roman" w:eastAsia="宋体" w:cs="Times New Roman"/>
      <w:sz w:val="24"/>
      <w:szCs w:val="24"/>
    </w:rPr>
  </w:style>
  <w:style w:type="character" w:customStyle="1" w:styleId="96">
    <w:name w:val="明显参考1"/>
    <w:autoRedefine/>
    <w:qFormat/>
    <w:uiPriority w:val="99"/>
    <w:rPr>
      <w:b/>
      <w:bCs/>
      <w:smallCaps/>
      <w:color w:val="auto"/>
      <w:spacing w:val="5"/>
      <w:u w:val="single"/>
    </w:rPr>
  </w:style>
  <w:style w:type="character" w:customStyle="1" w:styleId="97">
    <w:name w:val="Char Char181"/>
    <w:autoRedefine/>
    <w:qFormat/>
    <w:uiPriority w:val="99"/>
    <w:rPr>
      <w:b/>
      <w:bCs/>
      <w:kern w:val="44"/>
      <w:sz w:val="44"/>
      <w:szCs w:val="44"/>
    </w:rPr>
  </w:style>
  <w:style w:type="character" w:customStyle="1" w:styleId="98">
    <w:name w:val="批注文字 Char"/>
    <w:autoRedefine/>
    <w:qFormat/>
    <w:uiPriority w:val="99"/>
    <w:rPr>
      <w:kern w:val="2"/>
      <w:sz w:val="24"/>
      <w:szCs w:val="24"/>
    </w:rPr>
  </w:style>
  <w:style w:type="character" w:customStyle="1" w:styleId="99">
    <w:name w:val="Char Char9"/>
    <w:autoRedefine/>
    <w:qFormat/>
    <w:uiPriority w:val="99"/>
    <w:rPr>
      <w:rFonts w:eastAsia="宋体"/>
      <w:b/>
      <w:bCs/>
      <w:kern w:val="44"/>
      <w:sz w:val="44"/>
      <w:szCs w:val="44"/>
      <w:lang w:val="en-US" w:eastAsia="zh-CN"/>
    </w:rPr>
  </w:style>
  <w:style w:type="character" w:customStyle="1" w:styleId="100">
    <w:name w:val="Title Char"/>
    <w:autoRedefine/>
    <w:qFormat/>
    <w:uiPriority w:val="99"/>
    <w:rPr>
      <w:rFonts w:ascii="Cambria" w:hAnsi="Cambria" w:cs="Cambria"/>
      <w:b/>
      <w:bCs/>
      <w:sz w:val="32"/>
      <w:szCs w:val="32"/>
    </w:rPr>
  </w:style>
  <w:style w:type="character" w:customStyle="1" w:styleId="101">
    <w:name w:val="Comment Subject Char"/>
    <w:autoRedefine/>
    <w:qFormat/>
    <w:uiPriority w:val="99"/>
    <w:rPr>
      <w:b/>
      <w:bCs/>
      <w:sz w:val="24"/>
      <w:szCs w:val="24"/>
    </w:rPr>
  </w:style>
  <w:style w:type="character" w:customStyle="1" w:styleId="102">
    <w:name w:val="Balloon Text Char"/>
    <w:autoRedefine/>
    <w:qFormat/>
    <w:uiPriority w:val="99"/>
    <w:rPr>
      <w:sz w:val="18"/>
      <w:szCs w:val="18"/>
    </w:rPr>
  </w:style>
  <w:style w:type="character" w:customStyle="1" w:styleId="103">
    <w:name w:val="Heading 2 Char"/>
    <w:autoRedefine/>
    <w:qFormat/>
    <w:uiPriority w:val="99"/>
    <w:rPr>
      <w:rFonts w:ascii="Arial" w:hAnsi="Arial" w:eastAsia="黑体" w:cs="Arial"/>
      <w:b/>
      <w:bCs/>
      <w:kern w:val="2"/>
      <w:sz w:val="32"/>
      <w:szCs w:val="32"/>
      <w:lang w:val="en-US" w:eastAsia="zh-CN"/>
    </w:rPr>
  </w:style>
  <w:style w:type="character" w:customStyle="1" w:styleId="104">
    <w:name w:val="Char Char6"/>
    <w:autoRedefine/>
    <w:qFormat/>
    <w:uiPriority w:val="99"/>
    <w:rPr>
      <w:rFonts w:eastAsia="宋体"/>
      <w:b/>
      <w:bCs/>
      <w:kern w:val="44"/>
      <w:sz w:val="44"/>
      <w:szCs w:val="44"/>
      <w:lang w:val="en-US" w:eastAsia="zh-CN"/>
    </w:rPr>
  </w:style>
  <w:style w:type="character" w:customStyle="1" w:styleId="105">
    <w:name w:val="不明显参考1"/>
    <w:autoRedefine/>
    <w:qFormat/>
    <w:uiPriority w:val="99"/>
    <w:rPr>
      <w:smallCaps/>
      <w:color w:val="auto"/>
      <w:u w:val="single"/>
    </w:rPr>
  </w:style>
  <w:style w:type="character" w:customStyle="1" w:styleId="106">
    <w:name w:val="Char Char18"/>
    <w:autoRedefine/>
    <w:qFormat/>
    <w:uiPriority w:val="99"/>
    <w:rPr>
      <w:rFonts w:ascii="Times New Roman" w:hAnsi="Times New Roman" w:eastAsia="宋体" w:cs="Times New Roman"/>
      <w:b/>
      <w:bCs/>
      <w:sz w:val="28"/>
      <w:szCs w:val="28"/>
    </w:rPr>
  </w:style>
  <w:style w:type="character" w:customStyle="1" w:styleId="107">
    <w:name w:val="标题5 Char Char"/>
    <w:link w:val="108"/>
    <w:autoRedefine/>
    <w:qFormat/>
    <w:locked/>
    <w:uiPriority w:val="99"/>
    <w:rPr>
      <w:rFonts w:ascii="Arial" w:hAnsi="Arial" w:cs="Arial"/>
      <w:b/>
      <w:bCs/>
      <w:sz w:val="32"/>
      <w:szCs w:val="32"/>
    </w:rPr>
  </w:style>
  <w:style w:type="paragraph" w:customStyle="1" w:styleId="108">
    <w:name w:val="标题5"/>
    <w:basedOn w:val="5"/>
    <w:link w:val="107"/>
    <w:autoRedefine/>
    <w:qFormat/>
    <w:uiPriority w:val="99"/>
    <w:pPr>
      <w:spacing w:before="260" w:after="260" w:line="413" w:lineRule="auto"/>
    </w:pPr>
    <w:rPr>
      <w:rFonts w:ascii="Arial" w:hAnsi="Arial" w:eastAsia="宋体"/>
      <w:kern w:val="0"/>
    </w:rPr>
  </w:style>
  <w:style w:type="character" w:customStyle="1" w:styleId="109">
    <w:name w:val="Char Char20"/>
    <w:autoRedefine/>
    <w:qFormat/>
    <w:uiPriority w:val="99"/>
    <w:rPr>
      <w:rFonts w:ascii="Times New Roman" w:hAnsi="Times New Roman" w:eastAsia="宋体" w:cs="Times New Roman"/>
      <w:b/>
      <w:bCs/>
      <w:sz w:val="32"/>
      <w:szCs w:val="32"/>
    </w:rPr>
  </w:style>
  <w:style w:type="character" w:customStyle="1" w:styleId="110">
    <w:name w:val="Footnote Text Char"/>
    <w:autoRedefine/>
    <w:qFormat/>
    <w:uiPriority w:val="99"/>
    <w:rPr>
      <w:rFonts w:eastAsia="宋体"/>
      <w:sz w:val="18"/>
      <w:szCs w:val="18"/>
      <w:lang w:val="en-US" w:eastAsia="zh-CN"/>
    </w:rPr>
  </w:style>
  <w:style w:type="character" w:customStyle="1" w:styleId="111">
    <w:name w:val="Heading 5 Char"/>
    <w:autoRedefine/>
    <w:qFormat/>
    <w:uiPriority w:val="99"/>
    <w:rPr>
      <w:rFonts w:eastAsia="宋体"/>
      <w:b/>
      <w:bCs/>
      <w:kern w:val="2"/>
      <w:sz w:val="28"/>
      <w:szCs w:val="28"/>
      <w:lang w:val="en-US" w:eastAsia="zh-CN"/>
    </w:rPr>
  </w:style>
  <w:style w:type="character" w:customStyle="1" w:styleId="112">
    <w:name w:val="Document Map Char"/>
    <w:autoRedefine/>
    <w:qFormat/>
    <w:uiPriority w:val="99"/>
    <w:rPr>
      <w:rFonts w:eastAsia="宋体"/>
      <w:kern w:val="2"/>
      <w:sz w:val="24"/>
      <w:szCs w:val="24"/>
      <w:lang w:val="en-US" w:eastAsia="zh-CN"/>
    </w:rPr>
  </w:style>
  <w:style w:type="character" w:customStyle="1" w:styleId="113">
    <w:name w:val="纯文本 Char1"/>
    <w:autoRedefine/>
    <w:qFormat/>
    <w:uiPriority w:val="99"/>
    <w:rPr>
      <w:rFonts w:ascii="宋体" w:hAnsi="Courier New" w:eastAsia="宋体" w:cs="宋体"/>
      <w:sz w:val="21"/>
      <w:szCs w:val="21"/>
    </w:rPr>
  </w:style>
  <w:style w:type="character" w:customStyle="1" w:styleId="114">
    <w:name w:val="Char Char23"/>
    <w:autoRedefine/>
    <w:qFormat/>
    <w:uiPriority w:val="99"/>
    <w:rPr>
      <w:rFonts w:eastAsia="宋体"/>
      <w:b/>
      <w:bCs/>
      <w:kern w:val="44"/>
      <w:sz w:val="44"/>
      <w:szCs w:val="44"/>
      <w:lang w:val="en-US" w:eastAsia="zh-CN"/>
    </w:rPr>
  </w:style>
  <w:style w:type="character" w:customStyle="1" w:styleId="115">
    <w:name w:val="Date Char"/>
    <w:autoRedefine/>
    <w:qFormat/>
    <w:uiPriority w:val="99"/>
    <w:rPr>
      <w:rFonts w:eastAsia="宋体"/>
      <w:kern w:val="2"/>
      <w:sz w:val="24"/>
      <w:szCs w:val="24"/>
      <w:lang w:val="en-US" w:eastAsia="zh-CN"/>
    </w:rPr>
  </w:style>
  <w:style w:type="character" w:customStyle="1" w:styleId="116">
    <w:name w:val="Header Char"/>
    <w:autoRedefine/>
    <w:qFormat/>
    <w:uiPriority w:val="99"/>
    <w:rPr>
      <w:rFonts w:eastAsia="宋体"/>
      <w:kern w:val="2"/>
      <w:sz w:val="18"/>
      <w:szCs w:val="18"/>
      <w:lang w:val="en-US" w:eastAsia="zh-CN"/>
    </w:rPr>
  </w:style>
  <w:style w:type="character" w:customStyle="1" w:styleId="117">
    <w:name w:val="Char Char91"/>
    <w:qFormat/>
    <w:uiPriority w:val="99"/>
    <w:rPr>
      <w:rFonts w:eastAsia="宋体"/>
      <w:b/>
      <w:bCs/>
      <w:kern w:val="44"/>
      <w:sz w:val="44"/>
      <w:szCs w:val="44"/>
      <w:lang w:val="en-US" w:eastAsia="zh-CN"/>
    </w:rPr>
  </w:style>
  <w:style w:type="character" w:customStyle="1" w:styleId="118">
    <w:name w:val="明显引用 Char"/>
    <w:link w:val="119"/>
    <w:autoRedefine/>
    <w:qFormat/>
    <w:locked/>
    <w:uiPriority w:val="99"/>
    <w:rPr>
      <w:b/>
      <w:bCs/>
      <w:i/>
      <w:iCs/>
      <w:color w:val="4F81BD"/>
    </w:rPr>
  </w:style>
  <w:style w:type="paragraph" w:customStyle="1" w:styleId="119">
    <w:name w:val="明显引用1"/>
    <w:basedOn w:val="1"/>
    <w:next w:val="1"/>
    <w:link w:val="118"/>
    <w:autoRedefine/>
    <w:qFormat/>
    <w:uiPriority w:val="99"/>
    <w:pPr>
      <w:pBdr>
        <w:bottom w:val="single" w:color="4F81BD" w:sz="4" w:space="4"/>
      </w:pBdr>
      <w:spacing w:before="200" w:after="280"/>
      <w:ind w:left="936" w:right="936"/>
    </w:pPr>
    <w:rPr>
      <w:b/>
      <w:bCs/>
      <w:i/>
      <w:iCs/>
      <w:color w:val="4F81BD"/>
      <w:kern w:val="0"/>
      <w:sz w:val="20"/>
      <w:szCs w:val="20"/>
    </w:rPr>
  </w:style>
  <w:style w:type="character" w:customStyle="1" w:styleId="120">
    <w:name w:val="文档结构图 Char1"/>
    <w:autoRedefine/>
    <w:qFormat/>
    <w:uiPriority w:val="99"/>
    <w:rPr>
      <w:rFonts w:ascii="宋体" w:hAnsi="Times New Roman" w:eastAsia="宋体" w:cs="宋体"/>
      <w:sz w:val="18"/>
      <w:szCs w:val="18"/>
    </w:rPr>
  </w:style>
  <w:style w:type="character" w:customStyle="1" w:styleId="121">
    <w:name w:val="明显引用 Char1"/>
    <w:autoRedefine/>
    <w:qFormat/>
    <w:uiPriority w:val="99"/>
    <w:rPr>
      <w:rFonts w:ascii="Times New Roman" w:hAnsi="Times New Roman" w:eastAsia="宋体" w:cs="Times New Roman"/>
      <w:b/>
      <w:bCs/>
      <w:i/>
      <w:iCs/>
      <w:color w:val="4F81BD"/>
      <w:sz w:val="24"/>
      <w:szCs w:val="24"/>
    </w:rPr>
  </w:style>
  <w:style w:type="character" w:customStyle="1" w:styleId="122">
    <w:name w:val="Plain Text Char"/>
    <w:qFormat/>
    <w:uiPriority w:val="99"/>
    <w:rPr>
      <w:rFonts w:ascii="宋体" w:hAnsi="Courier New" w:eastAsia="宋体" w:cs="宋体"/>
      <w:sz w:val="24"/>
      <w:szCs w:val="24"/>
    </w:rPr>
  </w:style>
  <w:style w:type="character" w:customStyle="1" w:styleId="123">
    <w:name w:val="Char Char24"/>
    <w:autoRedefine/>
    <w:qFormat/>
    <w:uiPriority w:val="99"/>
    <w:rPr>
      <w:rFonts w:eastAsia="宋体"/>
      <w:b/>
      <w:bCs/>
      <w:kern w:val="44"/>
      <w:sz w:val="44"/>
      <w:szCs w:val="44"/>
      <w:lang w:val="en-US" w:eastAsia="zh-CN"/>
    </w:rPr>
  </w:style>
  <w:style w:type="character" w:customStyle="1" w:styleId="124">
    <w:name w:val="引用 Char"/>
    <w:link w:val="125"/>
    <w:autoRedefine/>
    <w:qFormat/>
    <w:locked/>
    <w:uiPriority w:val="99"/>
    <w:rPr>
      <w:i/>
      <w:iCs/>
      <w:color w:val="000000"/>
    </w:rPr>
  </w:style>
  <w:style w:type="paragraph" w:customStyle="1" w:styleId="125">
    <w:name w:val="引用1"/>
    <w:basedOn w:val="1"/>
    <w:next w:val="1"/>
    <w:link w:val="124"/>
    <w:autoRedefine/>
    <w:qFormat/>
    <w:uiPriority w:val="99"/>
    <w:rPr>
      <w:i/>
      <w:iCs/>
      <w:color w:val="000000"/>
      <w:kern w:val="0"/>
      <w:sz w:val="20"/>
      <w:szCs w:val="20"/>
    </w:rPr>
  </w:style>
  <w:style w:type="character" w:customStyle="1" w:styleId="126">
    <w:name w:val="Heading 3 Char"/>
    <w:autoRedefine/>
    <w:qFormat/>
    <w:uiPriority w:val="99"/>
    <w:rPr>
      <w:b/>
      <w:bCs/>
      <w:kern w:val="2"/>
      <w:sz w:val="32"/>
      <w:szCs w:val="32"/>
    </w:rPr>
  </w:style>
  <w:style w:type="character" w:customStyle="1" w:styleId="127">
    <w:name w:val="Heading 4 Char"/>
    <w:autoRedefine/>
    <w:qFormat/>
    <w:uiPriority w:val="99"/>
    <w:rPr>
      <w:rFonts w:ascii="Arial" w:hAnsi="Arial" w:eastAsia="宋体" w:cs="Arial"/>
      <w:b/>
      <w:bCs/>
      <w:kern w:val="2"/>
      <w:sz w:val="28"/>
      <w:szCs w:val="28"/>
      <w:lang w:val="en-US" w:eastAsia="zh-CN"/>
    </w:rPr>
  </w:style>
  <w:style w:type="character" w:customStyle="1" w:styleId="128">
    <w:name w:val="标题 Char1"/>
    <w:autoRedefine/>
    <w:qFormat/>
    <w:uiPriority w:val="99"/>
    <w:rPr>
      <w:rFonts w:ascii="Cambria" w:hAnsi="Cambria" w:eastAsia="宋体" w:cs="Cambria"/>
      <w:b/>
      <w:bCs/>
      <w:sz w:val="32"/>
      <w:szCs w:val="32"/>
    </w:rPr>
  </w:style>
  <w:style w:type="character" w:customStyle="1" w:styleId="129">
    <w:name w:val="Char Char21"/>
    <w:autoRedefine/>
    <w:qFormat/>
    <w:uiPriority w:val="99"/>
    <w:rPr>
      <w:rFonts w:ascii="Arial" w:hAnsi="Arial" w:eastAsia="黑体" w:cs="Arial"/>
      <w:b/>
      <w:bCs/>
      <w:sz w:val="32"/>
      <w:szCs w:val="32"/>
    </w:rPr>
  </w:style>
  <w:style w:type="character" w:customStyle="1" w:styleId="130">
    <w:name w:val="引用 Char1"/>
    <w:autoRedefine/>
    <w:qFormat/>
    <w:uiPriority w:val="99"/>
    <w:rPr>
      <w:rFonts w:ascii="Times New Roman" w:hAnsi="Times New Roman" w:eastAsia="宋体" w:cs="Times New Roman"/>
      <w:i/>
      <w:iCs/>
      <w:color w:val="000000"/>
      <w:sz w:val="24"/>
      <w:szCs w:val="24"/>
    </w:rPr>
  </w:style>
  <w:style w:type="character" w:customStyle="1" w:styleId="131">
    <w:name w:val="批注主题 Char1"/>
    <w:autoRedefine/>
    <w:qFormat/>
    <w:uiPriority w:val="99"/>
    <w:rPr>
      <w:rFonts w:ascii="Times New Roman" w:hAnsi="Times New Roman" w:eastAsia="宋体" w:cs="Times New Roman"/>
      <w:b/>
      <w:bCs/>
      <w:sz w:val="24"/>
      <w:szCs w:val="24"/>
    </w:rPr>
  </w:style>
  <w:style w:type="paragraph" w:customStyle="1" w:styleId="132">
    <w:name w:val="样式 标题 3 + (中文) 黑体 小四 非加粗 段前: 7.8 磅 段后: 0 磅 行距: 固定值 20 磅"/>
    <w:basedOn w:val="5"/>
    <w:autoRedefine/>
    <w:qFormat/>
    <w:uiPriority w:val="99"/>
    <w:pPr>
      <w:spacing w:line="400" w:lineRule="exact"/>
    </w:pPr>
    <w:rPr>
      <w:b w:val="0"/>
      <w:bCs w:val="0"/>
    </w:rPr>
  </w:style>
  <w:style w:type="paragraph" w:customStyle="1" w:styleId="133">
    <w:name w:val="1"/>
    <w:basedOn w:val="1"/>
    <w:next w:val="1"/>
    <w:autoRedefine/>
    <w:qFormat/>
    <w:uiPriority w:val="99"/>
  </w:style>
  <w:style w:type="paragraph" w:customStyle="1" w:styleId="134">
    <w:name w:val="flNote"/>
    <w:basedOn w:val="1"/>
    <w:autoRedefine/>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customStyle="1" w:styleId="135">
    <w:name w:val="列出段落1"/>
    <w:basedOn w:val="1"/>
    <w:autoRedefine/>
    <w:qFormat/>
    <w:uiPriority w:val="99"/>
    <w:pPr>
      <w:ind w:firstLine="420" w:firstLineChars="200"/>
    </w:pPr>
    <w:rPr>
      <w:rFonts w:ascii="Calibri" w:hAnsi="Calibri" w:cs="Calibri"/>
    </w:rPr>
  </w:style>
  <w:style w:type="paragraph" w:customStyle="1" w:styleId="136">
    <w:name w:val="无间隔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styleId="137">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8">
    <w:name w:val="Body text|1"/>
    <w:basedOn w:val="1"/>
    <w:autoRedefine/>
    <w:qFormat/>
    <w:uiPriority w:val="0"/>
    <w:pPr>
      <w:spacing w:line="360" w:lineRule="auto"/>
      <w:ind w:firstLine="400"/>
    </w:pPr>
    <w:rPr>
      <w:rFonts w:ascii="宋体" w:hAnsi="宋体" w:eastAsia="宋体" w:cs="宋体"/>
      <w:color w:val="auto"/>
      <w:szCs w:val="20"/>
      <w:lang w:val="zh-CN" w:eastAsia="zh-CN" w:bidi="zh-CN"/>
    </w:rPr>
  </w:style>
  <w:style w:type="paragraph" w:customStyle="1" w:styleId="139">
    <w:name w:val="正文_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40">
    <w:name w:val="p0"/>
    <w:basedOn w:val="1"/>
    <w:autoRedefine/>
    <w:qFormat/>
    <w:uiPriority w:val="99"/>
    <w:pPr>
      <w:widowControl/>
    </w:pPr>
    <w:rPr>
      <w:rFonts w:ascii="Calibri" w:hAnsi="Calibri" w:cs="Calibri"/>
      <w:kern w:val="0"/>
    </w:rPr>
  </w:style>
  <w:style w:type="paragraph" w:customStyle="1" w:styleId="141">
    <w:name w:val="无间隔1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42">
    <w:name w:val="_Style 140"/>
    <w:autoRedefine/>
    <w:semiHidden/>
    <w:qFormat/>
    <w:uiPriority w:val="99"/>
    <w:rPr>
      <w:rFonts w:ascii="Times New Roman" w:hAnsi="Times New Roman" w:eastAsia="宋体" w:cs="Times New Roman"/>
      <w:kern w:val="2"/>
      <w:sz w:val="21"/>
      <w:szCs w:val="21"/>
      <w:lang w:val="en-US" w:eastAsia="zh-CN" w:bidi="ar-SA"/>
    </w:rPr>
  </w:style>
  <w:style w:type="paragraph" w:customStyle="1" w:styleId="143">
    <w:name w:val="Char Char Char Char Char Char Char"/>
    <w:basedOn w:val="1"/>
    <w:autoRedefine/>
    <w:qFormat/>
    <w:uiPriority w:val="99"/>
    <w:pPr>
      <w:widowControl/>
      <w:spacing w:after="160" w:line="240" w:lineRule="exact"/>
      <w:jc w:val="left"/>
    </w:pPr>
  </w:style>
  <w:style w:type="paragraph" w:customStyle="1" w:styleId="144">
    <w:name w:val="TOC 标题1"/>
    <w:basedOn w:val="3"/>
    <w:next w:val="1"/>
    <w:autoRedefine/>
    <w:qFormat/>
    <w:uiPriority w:val="99"/>
    <w:pPr>
      <w:spacing w:before="340" w:after="330" w:line="576" w:lineRule="auto"/>
      <w:outlineLvl w:val="9"/>
    </w:pPr>
    <w:rPr>
      <w:rFonts w:ascii="Calibri" w:hAnsi="Calibri" w:cs="Calibri"/>
      <w:sz w:val="44"/>
      <w:szCs w:val="44"/>
    </w:rPr>
  </w:style>
  <w:style w:type="paragraph" w:customStyle="1" w:styleId="145">
    <w:name w:val="_Style 37"/>
    <w:basedOn w:val="1"/>
    <w:next w:val="1"/>
    <w:autoRedefine/>
    <w:qFormat/>
    <w:uiPriority w:val="99"/>
  </w:style>
  <w:style w:type="paragraph" w:customStyle="1" w:styleId="146">
    <w:name w:val="列出段落2"/>
    <w:basedOn w:val="1"/>
    <w:autoRedefine/>
    <w:qFormat/>
    <w:uiPriority w:val="99"/>
    <w:pPr>
      <w:ind w:firstLine="420" w:firstLineChars="200"/>
    </w:pPr>
    <w:rPr>
      <w:rFonts w:ascii="Calibri" w:hAnsi="Calibri" w:cs="Calibri"/>
    </w:rPr>
  </w:style>
  <w:style w:type="paragraph" w:customStyle="1" w:styleId="147">
    <w:name w:val="Char1"/>
    <w:basedOn w:val="1"/>
    <w:autoRedefine/>
    <w:qFormat/>
    <w:uiPriority w:val="99"/>
    <w:pPr>
      <w:widowControl/>
      <w:spacing w:after="160" w:line="240" w:lineRule="exact"/>
      <w:jc w:val="left"/>
    </w:pPr>
  </w:style>
  <w:style w:type="paragraph" w:customStyle="1" w:styleId="148">
    <w:name w:val="reader-word-layer"/>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149">
    <w:name w:val="修订1"/>
    <w:autoRedefine/>
    <w:qFormat/>
    <w:uiPriority w:val="99"/>
    <w:rPr>
      <w:rFonts w:ascii="Times New Roman" w:hAnsi="Times New Roman" w:eastAsia="宋体" w:cs="Times New Roman"/>
      <w:kern w:val="2"/>
      <w:sz w:val="21"/>
      <w:szCs w:val="21"/>
      <w:lang w:val="en-US" w:eastAsia="zh-CN" w:bidi="ar-SA"/>
    </w:rPr>
  </w:style>
  <w:style w:type="paragraph" w:customStyle="1" w:styleId="150">
    <w:name w:val="样式 标题 2 + Times New Roman 四号 非加粗 段前: 5 磅 段后: 0 磅 行距: 固定值 20..."/>
    <w:basedOn w:val="4"/>
    <w:autoRedefine/>
    <w:qFormat/>
    <w:uiPriority w:val="99"/>
    <w:pPr>
      <w:spacing w:before="100" w:after="0" w:line="400" w:lineRule="exact"/>
    </w:pPr>
    <w:rPr>
      <w:rFonts w:ascii="Times New Roman" w:hAnsi="Times New Roman" w:cs="Times New Roman"/>
      <w:b w:val="0"/>
      <w:bCs w:val="0"/>
      <w:kern w:val="0"/>
      <w:sz w:val="28"/>
      <w:szCs w:val="28"/>
    </w:rPr>
  </w:style>
  <w:style w:type="paragraph" w:customStyle="1" w:styleId="151">
    <w:name w:val="Default"/>
    <w:autoRedefine/>
    <w:qFormat/>
    <w:uiPriority w:val="99"/>
    <w:pPr>
      <w:widowControl w:val="0"/>
      <w:autoSpaceDE w:val="0"/>
      <w:autoSpaceDN w:val="0"/>
      <w:adjustRightInd w:val="0"/>
    </w:pPr>
    <w:rPr>
      <w:rFonts w:ascii="Times New Roman" w:hAnsi="Times New Roman" w:eastAsia="宋体" w:cs="Times New Roman"/>
      <w:color w:val="000000"/>
      <w:kern w:val="2"/>
      <w:sz w:val="24"/>
      <w:szCs w:val="24"/>
      <w:lang w:val="en-US" w:eastAsia="zh-CN" w:bidi="ar-SA"/>
    </w:rPr>
  </w:style>
  <w:style w:type="paragraph" w:styleId="152">
    <w:name w:val="List Paragraph"/>
    <w:basedOn w:val="1"/>
    <w:autoRedefine/>
    <w:qFormat/>
    <w:uiPriority w:val="34"/>
    <w:pPr>
      <w:ind w:firstLine="420" w:firstLineChars="200"/>
    </w:pPr>
  </w:style>
  <w:style w:type="paragraph" w:customStyle="1" w:styleId="153">
    <w:name w:val="2-2ji"/>
    <w:basedOn w:val="4"/>
    <w:autoRedefine/>
    <w:qFormat/>
    <w:uiPriority w:val="99"/>
    <w:pPr>
      <w:spacing w:before="0" w:after="0" w:line="360" w:lineRule="auto"/>
      <w:jc w:val="center"/>
    </w:pPr>
    <w:rPr>
      <w:rFonts w:ascii="宋体" w:hAnsi="宋体" w:eastAsia="宋体" w:cs="宋体"/>
      <w:sz w:val="36"/>
      <w:szCs w:val="36"/>
    </w:rPr>
  </w:style>
  <w:style w:type="paragraph" w:customStyle="1" w:styleId="154">
    <w:name w:val="空半行"/>
    <w:basedOn w:val="1"/>
    <w:autoRedefine/>
    <w:qFormat/>
    <w:uiPriority w:val="99"/>
    <w:pPr>
      <w:adjustRightInd w:val="0"/>
      <w:spacing w:line="120" w:lineRule="exact"/>
      <w:textAlignment w:val="baseline"/>
    </w:pPr>
    <w:rPr>
      <w:rFonts w:eastAsia="仿宋_GB2312"/>
      <w:color w:val="FFFFFF"/>
      <w:kern w:val="0"/>
      <w:sz w:val="30"/>
      <w:szCs w:val="30"/>
    </w:rPr>
  </w:style>
  <w:style w:type="paragraph" w:customStyle="1" w:styleId="155">
    <w:name w:val="样式1"/>
    <w:basedOn w:val="1"/>
    <w:next w:val="6"/>
    <w:autoRedefine/>
    <w:qFormat/>
    <w:uiPriority w:val="99"/>
    <w:pPr>
      <w:spacing w:line="360" w:lineRule="auto"/>
      <w:ind w:firstLine="420" w:firstLineChars="200"/>
    </w:pPr>
    <w:rPr>
      <w:rFonts w:ascii="宋体" w:hAnsi="宋体" w:cs="宋体"/>
    </w:rPr>
  </w:style>
  <w:style w:type="paragraph" w:customStyle="1" w:styleId="156">
    <w:name w:val="Char"/>
    <w:basedOn w:val="1"/>
    <w:autoRedefine/>
    <w:qFormat/>
    <w:uiPriority w:val="99"/>
    <w:pPr>
      <w:widowControl/>
      <w:spacing w:after="160" w:line="240" w:lineRule="exact"/>
      <w:jc w:val="left"/>
    </w:pPr>
  </w:style>
  <w:style w:type="paragraph" w:customStyle="1" w:styleId="157">
    <w:name w:val="Char Char Char Char"/>
    <w:basedOn w:val="1"/>
    <w:autoRedefine/>
    <w:qFormat/>
    <w:uiPriority w:val="99"/>
    <w:pPr>
      <w:widowControl/>
      <w:spacing w:line="500" w:lineRule="exact"/>
      <w:outlineLvl w:val="2"/>
    </w:pPr>
    <w:rPr>
      <w:rFonts w:ascii="黑体" w:hAnsi="Verdana" w:eastAsia="黑体" w:cs="黑体"/>
      <w:kern w:val="0"/>
      <w:sz w:val="28"/>
      <w:szCs w:val="28"/>
      <w:lang w:eastAsia="en-US"/>
    </w:rPr>
  </w:style>
  <w:style w:type="paragraph" w:customStyle="1" w:styleId="158">
    <w:name w:val="正文_5"/>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9">
    <w:name w:val="Table Text"/>
    <w:basedOn w:val="1"/>
    <w:autoRedefine/>
    <w:qFormat/>
    <w:uiPriority w:val="0"/>
    <w:rPr>
      <w:rFonts w:ascii="Arial" w:hAnsi="Arial" w:eastAsia="Arial" w:cs="Arial"/>
      <w:szCs w:val="21"/>
      <w:lang w:eastAsia="en-US"/>
    </w:rPr>
  </w:style>
  <w:style w:type="table" w:customStyle="1" w:styleId="160">
    <w:name w:val="Table Normal"/>
    <w:autoRedefine/>
    <w:qFormat/>
    <w:uiPriority w:val="0"/>
    <w:rPr>
      <w:rFonts w:ascii="等线" w:hAnsi="等线" w:eastAsia="等线" w:cs="Times New Roman"/>
    </w:rPr>
    <w:tblPr>
      <w:tblCellMar>
        <w:top w:w="0" w:type="dxa"/>
        <w:left w:w="0" w:type="dxa"/>
        <w:bottom w:w="0" w:type="dxa"/>
        <w:right w:w="0" w:type="dxa"/>
      </w:tblCellMar>
    </w:tblPr>
  </w:style>
  <w:style w:type="paragraph" w:customStyle="1" w:styleId="161">
    <w:name w:val="Table Paragraph"/>
    <w:basedOn w:val="1"/>
    <w:autoRedefine/>
    <w:qFormat/>
    <w:uiPriority w:val="0"/>
    <w:rPr>
      <w:rFonts w:ascii="Times New Roman" w:hAnsi="Times New Roman" w:eastAsia="宋体" w:cs="Times New Roman"/>
    </w:rPr>
  </w:style>
  <w:style w:type="paragraph" w:customStyle="1" w:styleId="162">
    <w:name w:val="Normal_0"/>
    <w:autoRedefine/>
    <w:qFormat/>
    <w:uiPriority w:val="0"/>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220</Pages>
  <Words>2597</Words>
  <Characters>3125</Characters>
  <Lines>1483</Lines>
  <Paragraphs>417</Paragraphs>
  <TotalTime>22</TotalTime>
  <ScaleCrop>false</ScaleCrop>
  <LinksUpToDate>false</LinksUpToDate>
  <CharactersWithSpaces>3590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2022-04-03T00:37:00Z</dcterms:created>
  <dc:creator>微软用户</dc:creator>
  <cp:lastModifiedBy>LZ</cp:lastModifiedBy>
  <cp:lastPrinted>2026-04-08T09:30:00Z</cp:lastPrinted>
  <dcterms:modified xsi:type="dcterms:W3CDTF">2026-07-03T15:10:22Z</dcterms:modified>
  <dc:title>广西壮族自治区房屋建筑和市政工程施工电子招标文件范本（2015年版）</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eyJoZGlkIjoiNGI4NDIwMWY3ZDk1ZTU5MDlkMzIxNjM0YTRmNTQxZWMiLCJ1c2VySWQiOiIzMjY3NTIzMzMifQ==</vt:lpwstr>
  </property>
  <property fmtid="{D5CDD505-2E9C-101B-9397-08002B2CF9AE}" pid="4" name="ICV">
    <vt:lpwstr>54380E48F00D4645868A5E5AC50628DB_13</vt:lpwstr>
  </property>
</Properties>
</file>